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rPr>
          <w:rFonts w:hint="eastAsia" w:ascii="仿宋_GB2312" w:eastAsia="仿宋_GB2312"/>
          <w:color w:val="ED1C24"/>
          <w:w w:val="95"/>
          <w:sz w:val="32"/>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关于规范医药领域违纪款物清退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有关事项的通知</w:t>
      </w:r>
    </w:p>
    <w:p>
      <w:pPr>
        <w:pStyle w:val="2"/>
        <w:keepNext w:val="0"/>
        <w:keepLines w:val="0"/>
        <w:pageBreakBefore w:val="0"/>
        <w:kinsoku/>
        <w:wordWrap/>
        <w:overflowPunct/>
        <w:topLinePunct w:val="0"/>
        <w:autoSpaceDE/>
        <w:autoSpaceDN/>
        <w:bidi w:val="0"/>
        <w:adjustRightInd/>
        <w:snapToGrid/>
        <w:spacing w:line="6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自治区医药领域腐败问题集中整治工作协作机制成员单位：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列入整治范围的单位工作</w:t>
      </w:r>
      <w:r>
        <w:rPr>
          <w:rFonts w:hint="default" w:eastAsia="仿宋_GB2312" w:cs="Times New Roman"/>
          <w:b w:val="0"/>
          <w:bCs w:val="0"/>
          <w:color w:val="auto"/>
          <w:sz w:val="32"/>
          <w:szCs w:val="32"/>
          <w:lang w:val="en-US" w:eastAsia="zh-CN"/>
        </w:rPr>
        <w:t>人员，</w:t>
      </w:r>
      <w:r>
        <w:rPr>
          <w:rFonts w:hint="eastAsia" w:eastAsia="仿宋_GB2312" w:cs="Times New Roman"/>
          <w:b w:val="0"/>
          <w:bCs w:val="0"/>
          <w:color w:val="auto"/>
          <w:sz w:val="32"/>
          <w:szCs w:val="32"/>
          <w:lang w:val="en-US" w:eastAsia="zh-CN"/>
        </w:rPr>
        <w:t>收取明显超过正常礼尚往来的</w:t>
      </w:r>
      <w:r>
        <w:rPr>
          <w:rFonts w:hint="default" w:eastAsia="仿宋_GB2312" w:cs="Times New Roman"/>
          <w:b w:val="0"/>
          <w:bCs w:val="0"/>
          <w:color w:val="auto"/>
          <w:sz w:val="32"/>
          <w:szCs w:val="32"/>
          <w:lang w:val="en-US" w:eastAsia="zh-CN"/>
        </w:rPr>
        <w:t>礼品、礼金、购物卡、消费卡和有价证券</w:t>
      </w:r>
      <w:r>
        <w:rPr>
          <w:rFonts w:hint="eastAsia" w:eastAsia="仿宋_GB2312" w:cs="Times New Roman"/>
          <w:b w:val="0"/>
          <w:bCs w:val="0"/>
          <w:color w:val="auto"/>
          <w:sz w:val="32"/>
          <w:szCs w:val="32"/>
          <w:lang w:val="en-US" w:eastAsia="zh-CN"/>
        </w:rPr>
        <w:t>等</w:t>
      </w:r>
      <w:r>
        <w:rPr>
          <w:rFonts w:hint="default" w:eastAsia="仿宋_GB2312" w:cs="Times New Roman"/>
          <w:b w:val="0"/>
          <w:bCs w:val="0"/>
          <w:color w:val="auto"/>
          <w:sz w:val="32"/>
          <w:szCs w:val="32"/>
          <w:lang w:val="en-US" w:eastAsia="zh-CN"/>
        </w:rPr>
        <w:t>财物均应认定</w:t>
      </w:r>
      <w:r>
        <w:rPr>
          <w:rFonts w:hint="eastAsia" w:ascii="仿宋_GB2312" w:hAnsi="仿宋_GB2312" w:eastAsia="仿宋_GB2312" w:cs="仿宋_GB2312"/>
          <w:b w:val="0"/>
          <w:bCs w:val="0"/>
          <w:color w:val="auto"/>
          <w:sz w:val="32"/>
          <w:szCs w:val="32"/>
          <w:lang w:val="en-US" w:eastAsia="zh-CN"/>
        </w:rPr>
        <w:t>为违纪款物</w:t>
      </w:r>
      <w:r>
        <w:rPr>
          <w:rFonts w:hint="eastAsia" w:eastAsia="仿宋_GB2312" w:cs="Times New Roman"/>
          <w:b w:val="0"/>
          <w:bCs w:val="0"/>
          <w:color w:val="auto"/>
          <w:sz w:val="32"/>
          <w:szCs w:val="32"/>
          <w:lang w:val="en-US" w:eastAsia="zh-CN"/>
        </w:rPr>
        <w:t>。根据全区医药领域腐败问题集中整治工作安排，为进一步规范违纪款物清退和管理，现将有关事项通知如下：</w:t>
      </w:r>
    </w:p>
    <w:p>
      <w:pPr>
        <w:pStyle w:val="2"/>
        <w:keepNext w:val="0"/>
        <w:keepLines w:val="0"/>
        <w:pageBreakBefore w:val="0"/>
        <w:numPr>
          <w:ilvl w:val="0"/>
          <w:numId w:val="1"/>
        </w:numP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lang w:val="en-US" w:eastAsia="zh-CN"/>
        </w:rPr>
        <w:t>列入整治工作范围的单位应</w:t>
      </w:r>
      <w:r>
        <w:rPr>
          <w:rFonts w:hint="eastAsia" w:ascii="仿宋_GB2312" w:hAnsi="仿宋_GB2312" w:eastAsia="仿宋_GB2312" w:cs="仿宋_GB2312"/>
          <w:b w:val="0"/>
          <w:bCs w:val="0"/>
          <w:color w:val="auto"/>
          <w:sz w:val="32"/>
          <w:szCs w:val="32"/>
          <w:lang w:val="en-US" w:eastAsia="zh-CN"/>
        </w:rPr>
        <w:t>建立违纪款物上缴登记和档案管理制度，对上缴的违纪款物应当出具凭证、建立台帐</w:t>
      </w:r>
      <w:r>
        <w:rPr>
          <w:rFonts w:hint="eastAsia" w:cs="仿宋_GB2312"/>
          <w:b w:val="0"/>
          <w:bCs w:val="0"/>
          <w:color w:val="auto"/>
          <w:sz w:val="32"/>
          <w:szCs w:val="32"/>
          <w:lang w:val="en-US" w:eastAsia="zh-CN"/>
        </w:rPr>
        <w:t>，并</w:t>
      </w:r>
      <w:r>
        <w:rPr>
          <w:rFonts w:hint="eastAsia" w:ascii="仿宋_GB2312" w:hAnsi="仿宋_GB2312" w:eastAsia="仿宋_GB2312" w:cs="仿宋_GB2312"/>
          <w:b w:val="0"/>
          <w:bCs w:val="0"/>
          <w:color w:val="auto"/>
          <w:sz w:val="32"/>
          <w:szCs w:val="32"/>
          <w:lang w:val="en-US" w:eastAsia="zh-CN"/>
        </w:rPr>
        <w:t>指定专人负责违纪款项清退的统计和上报工作。</w:t>
      </w:r>
    </w:p>
    <w:p>
      <w:pPr>
        <w:pStyle w:val="2"/>
        <w:keepNext w:val="0"/>
        <w:keepLines w:val="0"/>
        <w:pageBreakBefore w:val="0"/>
        <w:numPr>
          <w:ilvl w:val="0"/>
          <w:numId w:val="1"/>
        </w:numP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区直有关单位</w:t>
      </w:r>
      <w:r>
        <w:rPr>
          <w:rFonts w:hint="eastAsia" w:cs="仿宋_GB2312"/>
          <w:b w:val="0"/>
          <w:bCs w:val="0"/>
          <w:color w:val="auto"/>
          <w:sz w:val="32"/>
          <w:szCs w:val="32"/>
          <w:lang w:val="en-US" w:eastAsia="zh-CN"/>
        </w:rPr>
        <w:t>工作人员</w:t>
      </w:r>
      <w:r>
        <w:rPr>
          <w:rFonts w:hint="eastAsia" w:ascii="仿宋_GB2312" w:hAnsi="仿宋_GB2312" w:eastAsia="仿宋_GB2312" w:cs="仿宋_GB2312"/>
          <w:b w:val="0"/>
          <w:bCs w:val="0"/>
          <w:color w:val="auto"/>
          <w:sz w:val="32"/>
          <w:szCs w:val="32"/>
          <w:lang w:val="en-US" w:eastAsia="zh-CN"/>
        </w:rPr>
        <w:t>进行违纪款项上缴的，存入广西清廉账户，并妥善保存银行出具的存款凭条。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户名：广西清廉账户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开户行：南宁市区农村信用合作联社琅西分社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账号：178512010105407039</w:t>
      </w:r>
    </w:p>
    <w:p>
      <w:pPr>
        <w:pStyle w:val="2"/>
        <w:keepNext w:val="0"/>
        <w:keepLines w:val="0"/>
        <w:pageBreakBefore w:val="0"/>
        <w:numPr>
          <w:ilvl w:val="0"/>
          <w:numId w:val="1"/>
        </w:numPr>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各地所辖列入整治范围单位</w:t>
      </w:r>
      <w:r>
        <w:rPr>
          <w:rFonts w:hint="eastAsia" w:cs="仿宋_GB2312"/>
          <w:b w:val="0"/>
          <w:bCs w:val="0"/>
          <w:color w:val="auto"/>
          <w:sz w:val="32"/>
          <w:szCs w:val="32"/>
          <w:lang w:val="en-US" w:eastAsia="zh-CN"/>
        </w:rPr>
        <w:t>的工作人员</w:t>
      </w:r>
      <w:r>
        <w:rPr>
          <w:rFonts w:hint="eastAsia" w:ascii="仿宋_GB2312" w:hAnsi="仿宋_GB2312" w:eastAsia="仿宋_GB2312" w:cs="仿宋_GB2312"/>
          <w:b w:val="0"/>
          <w:bCs w:val="0"/>
          <w:color w:val="auto"/>
          <w:sz w:val="32"/>
          <w:szCs w:val="32"/>
          <w:lang w:val="en-US" w:eastAsia="zh-CN"/>
        </w:rPr>
        <w:t>进行违纪款项上缴的，可存入广西清廉账户或本地纪检监察机关指定的廉政专用账户。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firstLine="3200" w:firstLineChars="10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广西壮族自治区</w:t>
      </w:r>
      <w:r>
        <w:rPr>
          <w:rFonts w:hint="eastAsia" w:ascii="仿宋_GB2312" w:hAnsi="仿宋_GB2312" w:eastAsia="仿宋_GB2312" w:cs="仿宋_GB2312"/>
          <w:sz w:val="32"/>
          <w:szCs w:val="32"/>
          <w:lang w:eastAsia="zh-CN"/>
        </w:rPr>
        <w:t>医药领域腐败问题</w:t>
      </w:r>
    </w:p>
    <w:p>
      <w:pPr>
        <w:keepNext w:val="0"/>
        <w:keepLines w:val="0"/>
        <w:pageBreakBefore w:val="0"/>
        <w:widowControl w:val="0"/>
        <w:kinsoku/>
        <w:wordWrap/>
        <w:overflowPunct/>
        <w:topLinePunct w:val="0"/>
        <w:autoSpaceDE/>
        <w:autoSpaceDN/>
        <w:bidi w:val="0"/>
        <w:adjustRightInd/>
        <w:snapToGrid/>
        <w:spacing w:line="640" w:lineRule="exact"/>
        <w:ind w:firstLine="3520" w:firstLineChars="11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集中整治工作协作机制（代章）</w:t>
      </w:r>
    </w:p>
    <w:p>
      <w:pPr>
        <w:keepNext w:val="0"/>
        <w:keepLines w:val="0"/>
        <w:pageBreakBefore w:val="0"/>
        <w:widowControl w:val="0"/>
        <w:kinsoku/>
        <w:wordWrap/>
        <w:overflowPunct/>
        <w:topLinePunct w:val="0"/>
        <w:autoSpaceDE/>
        <w:autoSpaceDN/>
        <w:bidi w:val="0"/>
        <w:adjustRightInd/>
        <w:snapToGrid/>
        <w:spacing w:line="640" w:lineRule="exact"/>
        <w:ind w:firstLine="5120" w:firstLineChars="1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日 </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（信息公开形式：主动公开）</w:t>
      </w: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050" w:leftChars="100" w:hanging="840" w:hangingChars="300"/>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1119" w:leftChars="133" w:hanging="840" w:hangingChars="300"/>
        <w:jc w:val="both"/>
        <w:textAlignment w:val="auto"/>
        <w:outlineLvl w:val="9"/>
        <w:rPr>
          <w:rFonts w:hint="eastAsia"/>
          <w:lang w:val="en-US" w:eastAsia="zh-CN"/>
        </w:rPr>
      </w:pPr>
      <w:r>
        <w:rPr>
          <w:rFonts w:hint="eastAsia" w:ascii="仿宋_GB2312" w:hAnsi="仿宋_GB2312" w:eastAsia="仿宋_GB2312" w:cs="仿宋_GB2312"/>
          <w:sz w:val="28"/>
          <w:szCs w:val="28"/>
          <w:lang w:eastAsia="zh-CN"/>
        </w:rPr>
        <w:t>抄送：</w:t>
      </w:r>
      <w:r>
        <w:rPr>
          <w:rFonts w:hint="eastAsia" w:ascii="仿宋_GB2312" w:hAnsi="仿宋_GB2312" w:eastAsia="仿宋_GB2312" w:cs="仿宋_GB2312"/>
          <w:color w:val="000000"/>
          <w:kern w:val="0"/>
          <w:sz w:val="28"/>
          <w:szCs w:val="28"/>
          <w:lang w:val="en-US" w:eastAsia="zh-CN" w:bidi="ar-SA"/>
        </w:rPr>
        <w:t>自治区纪委监委驻自治区医领域腐败问题集中整治协作机制成员单位纪检监察组。</w:t>
      </w:r>
      <w:r>
        <w:rPr>
          <w:rFonts w:hint="eastAsia" w:ascii="仿宋_GB2312" w:hAnsi="仿宋_GB2312" w:eastAsia="仿宋_GB2312" w:cs="仿宋_GB2312"/>
          <w:color w:val="000000"/>
          <w:kern w:val="0"/>
          <w:sz w:val="28"/>
          <w:szCs w:val="28"/>
          <w:lang w:val="en-US" w:eastAsia="zh-CN" w:bidi="ar-SA"/>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4" name="图片 5" descr="/tmp/公文二维码v169269377418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tmp/公文二维码v169269377418671.png"/>
                    <pic:cNvPicPr>
                      <a:picLocks noChangeAspect="1"/>
                    </pic:cNvPicPr>
                  </pic:nvPicPr>
                  <pic:blipFill>
                    <a:blip r:embed="rId6" r:link="rId7"/>
                    <a:stretch>
                      <a:fillRect/>
                    </a:stretch>
                  </pic:blipFill>
                  <pic:spPr>
                    <a:xfrm>
                      <a:off x="0" y="0"/>
                      <a:ext cx="1790700" cy="476250"/>
                    </a:xfrm>
                    <a:prstGeom prst="rect">
                      <a:avLst/>
                    </a:prstGeom>
                    <a:noFill/>
                    <a:ln>
                      <a:noFill/>
                    </a:ln>
                  </pic:spPr>
                </pic:pic>
              </a:graphicData>
            </a:graphic>
          </wp:anchor>
        </w:drawing>
      </w:r>
    </w:p>
    <w:sectPr>
      <w:footerReference r:id="rId4" w:type="first"/>
      <w:footerReference r:id="rId3" w:type="default"/>
      <w:pgSz w:w="11906" w:h="16838"/>
      <w:pgMar w:top="1701" w:right="1417" w:bottom="1417" w:left="1701" w:header="851" w:footer="992" w:gutter="0"/>
      <w:pgNumType w:fmt="decimal"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34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default"/>
        <w:sz w:val="69"/>
        <w:szCs w:val="24"/>
      </w:rPr>
      <mc:AlternateContent>
        <mc:Choice Requires="wps">
          <w:drawing>
            <wp:anchor distT="0" distB="0" distL="114300" distR="114300" simplePos="0" relativeHeight="251659264" behindDoc="1" locked="0" layoutInCell="1" allowOverlap="1">
              <wp:simplePos x="0" y="0"/>
              <wp:positionH relativeFrom="page">
                <wp:posOffset>681355</wp:posOffset>
              </wp:positionH>
              <wp:positionV relativeFrom="page">
                <wp:posOffset>9925050</wp:posOffset>
              </wp:positionV>
              <wp:extent cx="6160770" cy="12700"/>
              <wp:effectExtent l="0" t="10795" r="11430" b="33655"/>
              <wp:wrapNone/>
              <wp:docPr id="5" name="任意多边形 1"/>
              <wp:cNvGraphicFramePr/>
              <a:graphic xmlns:a="http://schemas.openxmlformats.org/drawingml/2006/main">
                <a:graphicData uri="http://schemas.microsoft.com/office/word/2010/wordprocessingShape">
                  <wps:wsp>
                    <wps:cNvSpPr/>
                    <wps:spPr>
                      <a:xfrm>
                        <a:off x="0" y="0"/>
                        <a:ext cx="6160770" cy="12700"/>
                      </a:xfrm>
                      <a:custGeom>
                        <a:avLst/>
                        <a:gdLst/>
                        <a:ahLst/>
                        <a:cxnLst/>
                        <a:pathLst>
                          <a:path w="9702" h="20">
                            <a:moveTo>
                              <a:pt x="0" y="0"/>
                            </a:moveTo>
                            <a:lnTo>
                              <a:pt x="9701" y="0"/>
                            </a:lnTo>
                          </a:path>
                        </a:pathLst>
                      </a:custGeom>
                      <a:noFill/>
                      <a:ln w="66675" cap="flat" cmpd="sng">
                        <a:solidFill>
                          <a:srgbClr val="ED1C24"/>
                        </a:solidFill>
                        <a:prstDash val="solid"/>
                        <a:headEnd type="none" w="med" len="med"/>
                        <a:tailEnd type="none" w="med" len="med"/>
                      </a:ln>
                    </wps:spPr>
                    <wps:bodyPr wrap="square" upright="1"/>
                  </wps:wsp>
                </a:graphicData>
              </a:graphic>
            </wp:anchor>
          </w:drawing>
        </mc:Choice>
        <mc:Fallback>
          <w:pict>
            <v:shape id="任意多边形 1" o:spid="_x0000_s1026" o:spt="100" style="position:absolute;left:0pt;margin-left:53.65pt;margin-top:781.5pt;height:1pt;width:485.1pt;mso-position-horizontal-relative:page;mso-position-vertical-relative:page;z-index:-251657216;mso-width-relative:page;mso-height-relative:page;" filled="f" stroked="t" coordsize="9702,20" o:gfxdata="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aOHtzbAAAADgEAAA8AAAAAAAAAAQAg&#10;AAAAIgAAAGRycy9kb3ducmV2LnhtbFBLAQIUABQAAAAIAIdO4kDdjcglRAIAAJwEAAAOAAAAAAAA&#10;AAEAIAAAACoBAABkcnMvZTJvRG9jLnhtbFBLBQYAAAAABgAGAFkBAADgBQAAAAA=&#10;" path="m0,0l9701,0e">
              <v:fill on="f" focussize="0,0"/>
              <v:stroke weight="5.25pt" color="#ED1C24" joinstyle="round"/>
              <v:imagedata o:title=""/>
              <o:lock v:ext="edit" aspectratio="f"/>
            </v:shape>
          </w:pict>
        </mc:Fallback>
      </mc:AlternateContent>
    </w:r>
    <w:r>
      <w:rPr>
        <w:rFonts w:hint="default"/>
        <w:sz w:val="69"/>
        <w:szCs w:val="24"/>
      </w:rPr>
      <mc:AlternateContent>
        <mc:Choice Requires="wps">
          <w:drawing>
            <wp:anchor distT="0" distB="0" distL="114300" distR="114300" simplePos="0" relativeHeight="251660288" behindDoc="1" locked="0" layoutInCell="0" allowOverlap="1">
              <wp:simplePos x="0" y="0"/>
              <wp:positionH relativeFrom="page">
                <wp:posOffset>692785</wp:posOffset>
              </wp:positionH>
              <wp:positionV relativeFrom="page">
                <wp:posOffset>9848850</wp:posOffset>
              </wp:positionV>
              <wp:extent cx="6160770" cy="12700"/>
              <wp:effectExtent l="0" t="9525" r="11430" b="0"/>
              <wp:wrapNone/>
              <wp:docPr id="6" name="任意多边形 3"/>
              <wp:cNvGraphicFramePr/>
              <a:graphic xmlns:a="http://schemas.openxmlformats.org/drawingml/2006/main">
                <a:graphicData uri="http://schemas.microsoft.com/office/word/2010/wordprocessingShape">
                  <wps:wsp>
                    <wps:cNvSpPr/>
                    <wps:spPr>
                      <a:xfrm>
                        <a:off x="0" y="0"/>
                        <a:ext cx="6160770" cy="12700"/>
                      </a:xfrm>
                      <a:custGeom>
                        <a:avLst/>
                        <a:gdLst/>
                        <a:ahLst/>
                        <a:cxnLst/>
                        <a:pathLst>
                          <a:path w="9702" h="20">
                            <a:moveTo>
                              <a:pt x="0" y="0"/>
                            </a:moveTo>
                            <a:lnTo>
                              <a:pt x="9701" y="0"/>
                            </a:lnTo>
                          </a:path>
                        </a:pathLst>
                      </a:custGeom>
                      <a:noFill/>
                      <a:ln w="19050" cap="flat" cmpd="sng">
                        <a:solidFill>
                          <a:srgbClr val="ED1C24"/>
                        </a:solidFill>
                        <a:prstDash val="solid"/>
                        <a:headEnd type="none" w="med" len="med"/>
                        <a:tailEnd type="none" w="med" len="med"/>
                      </a:ln>
                    </wps:spPr>
                    <wps:bodyPr wrap="square" upright="1"/>
                  </wps:wsp>
                </a:graphicData>
              </a:graphic>
            </wp:anchor>
          </w:drawing>
        </mc:Choice>
        <mc:Fallback>
          <w:pict>
            <v:shape id="任意多边形 3" o:spid="_x0000_s1026" o:spt="100" style="position:absolute;left:0pt;margin-left:54.55pt;margin-top:775.5pt;height:1pt;width:485.1pt;mso-position-horizontal-relative:page;mso-position-vertical-relative:page;z-index:-251656192;mso-width-relative:page;mso-height-relative:page;" filled="f" stroked="t" coordsize="9702,20" o:allowincell="f" o:gfxdata="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276xHbAAAADgEAAA8AAAAAAAAAAQAg&#10;AAAAIgAAAGRycy9kb3ducmV2LnhtbFBLAQIUABQAAAAIAIdO4kATb4B2RAIAAJwEAAAOAAAAAAAA&#10;AAEAIAAAACoBAABkcnMvZTJvRG9jLnhtbFBLBQYAAAAABgAGAFkBAADgBQAAAAA=&#10;" path="m0,0l9701,0e">
              <v:fill on="f" focussize="0,0"/>
              <v:stroke weight="1.5pt" color="#ED1C24" joinstyle="round"/>
              <v:imagedata o:title=""/>
              <o:lock v:ext="edit" aspectratio="f"/>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A4FEE"/>
    <w:multiLevelType w:val="singleLevel"/>
    <w:tmpl w:val="546A4F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FFCBA4D6"/>
    <w:rsid w:val="034D4F14"/>
    <w:rsid w:val="04BB5407"/>
    <w:rsid w:val="0F63654C"/>
    <w:rsid w:val="0FFEE4E9"/>
    <w:rsid w:val="13BEB8B4"/>
    <w:rsid w:val="179B4DC7"/>
    <w:rsid w:val="17ED3E61"/>
    <w:rsid w:val="1DE360E1"/>
    <w:rsid w:val="1FCFBFF3"/>
    <w:rsid w:val="1FEF19A2"/>
    <w:rsid w:val="1FFFE43D"/>
    <w:rsid w:val="27D90D2C"/>
    <w:rsid w:val="27E74C60"/>
    <w:rsid w:val="2D67FF6E"/>
    <w:rsid w:val="2EFF8C6B"/>
    <w:rsid w:val="2FF36EC6"/>
    <w:rsid w:val="32FFDA78"/>
    <w:rsid w:val="35ABACDE"/>
    <w:rsid w:val="379D5962"/>
    <w:rsid w:val="3ABD71C4"/>
    <w:rsid w:val="3ACA6633"/>
    <w:rsid w:val="3EFFF1B4"/>
    <w:rsid w:val="3F3BA096"/>
    <w:rsid w:val="3F76FD63"/>
    <w:rsid w:val="3F7F8BF3"/>
    <w:rsid w:val="3FA16F64"/>
    <w:rsid w:val="3FBB0F9C"/>
    <w:rsid w:val="3FED5D72"/>
    <w:rsid w:val="3FFC7D64"/>
    <w:rsid w:val="3FFCE765"/>
    <w:rsid w:val="47FE9854"/>
    <w:rsid w:val="4A6F2244"/>
    <w:rsid w:val="4CBFB5B5"/>
    <w:rsid w:val="537F63DA"/>
    <w:rsid w:val="55D7F577"/>
    <w:rsid w:val="58356FD7"/>
    <w:rsid w:val="5BBECAF0"/>
    <w:rsid w:val="5D7D0CDF"/>
    <w:rsid w:val="5EDD1A55"/>
    <w:rsid w:val="5FBB20D3"/>
    <w:rsid w:val="5FBE5B69"/>
    <w:rsid w:val="5FCDD033"/>
    <w:rsid w:val="5FEDB5FB"/>
    <w:rsid w:val="5FF526D1"/>
    <w:rsid w:val="5FFF696B"/>
    <w:rsid w:val="67738E4D"/>
    <w:rsid w:val="67B622D0"/>
    <w:rsid w:val="67F796E3"/>
    <w:rsid w:val="680A73DE"/>
    <w:rsid w:val="6BDFB6E0"/>
    <w:rsid w:val="6BFEEE02"/>
    <w:rsid w:val="6CE7FC06"/>
    <w:rsid w:val="6E5F5423"/>
    <w:rsid w:val="6EEDBA7E"/>
    <w:rsid w:val="6F582DA2"/>
    <w:rsid w:val="6F6B7607"/>
    <w:rsid w:val="6F7FE7AD"/>
    <w:rsid w:val="6FD300A2"/>
    <w:rsid w:val="6FDD1026"/>
    <w:rsid w:val="6FEFBFD8"/>
    <w:rsid w:val="6FF71A86"/>
    <w:rsid w:val="6FF7687B"/>
    <w:rsid w:val="6FFF29E7"/>
    <w:rsid w:val="71F58D73"/>
    <w:rsid w:val="733F018F"/>
    <w:rsid w:val="74F562F9"/>
    <w:rsid w:val="75EF5A05"/>
    <w:rsid w:val="75FFB53A"/>
    <w:rsid w:val="77FDD32A"/>
    <w:rsid w:val="77FF2C64"/>
    <w:rsid w:val="79B7DB9B"/>
    <w:rsid w:val="79FB289C"/>
    <w:rsid w:val="7A2FF2C5"/>
    <w:rsid w:val="7A7D0808"/>
    <w:rsid w:val="7AEFA7A8"/>
    <w:rsid w:val="7AFDC5C5"/>
    <w:rsid w:val="7B5E33AB"/>
    <w:rsid w:val="7B7FCB27"/>
    <w:rsid w:val="7BB7F5EA"/>
    <w:rsid w:val="7BDDC53F"/>
    <w:rsid w:val="7BFE24C0"/>
    <w:rsid w:val="7DB845C0"/>
    <w:rsid w:val="7DBD4828"/>
    <w:rsid w:val="7DD93307"/>
    <w:rsid w:val="7DDF601C"/>
    <w:rsid w:val="7DFECA80"/>
    <w:rsid w:val="7E3A3269"/>
    <w:rsid w:val="7EB3FF5D"/>
    <w:rsid w:val="7EE26B49"/>
    <w:rsid w:val="7EFF743F"/>
    <w:rsid w:val="7F3F0A2E"/>
    <w:rsid w:val="7F5FA526"/>
    <w:rsid w:val="7F6FDFAE"/>
    <w:rsid w:val="7F9CA2F0"/>
    <w:rsid w:val="7F9FEF51"/>
    <w:rsid w:val="7FBFA5B2"/>
    <w:rsid w:val="7FE6BAD1"/>
    <w:rsid w:val="7FEBFA45"/>
    <w:rsid w:val="7FF35738"/>
    <w:rsid w:val="7FF5C6F5"/>
    <w:rsid w:val="7FFD63C0"/>
    <w:rsid w:val="7FFE10E2"/>
    <w:rsid w:val="7FFF2BF4"/>
    <w:rsid w:val="7FFF42A3"/>
    <w:rsid w:val="877F79E8"/>
    <w:rsid w:val="8B1FD762"/>
    <w:rsid w:val="8B7E6FBC"/>
    <w:rsid w:val="8EDF451A"/>
    <w:rsid w:val="8EF23D95"/>
    <w:rsid w:val="8EFECF57"/>
    <w:rsid w:val="8F7699C3"/>
    <w:rsid w:val="8FDFC593"/>
    <w:rsid w:val="95707328"/>
    <w:rsid w:val="9F69AE53"/>
    <w:rsid w:val="9F6E4231"/>
    <w:rsid w:val="AE7F8BEF"/>
    <w:rsid w:val="AEDF188E"/>
    <w:rsid w:val="B57E6F36"/>
    <w:rsid w:val="B5DF7420"/>
    <w:rsid w:val="B65FB0AF"/>
    <w:rsid w:val="B7AE8CE8"/>
    <w:rsid w:val="B7DF786E"/>
    <w:rsid w:val="B7F31FD3"/>
    <w:rsid w:val="B9EFA633"/>
    <w:rsid w:val="BA76BABF"/>
    <w:rsid w:val="BABA9BD7"/>
    <w:rsid w:val="BBDFC7CC"/>
    <w:rsid w:val="BBFF041D"/>
    <w:rsid w:val="BC4FA22C"/>
    <w:rsid w:val="BDD92D85"/>
    <w:rsid w:val="BDFA91E1"/>
    <w:rsid w:val="BDFF24B6"/>
    <w:rsid w:val="BE77D64E"/>
    <w:rsid w:val="BEBE785B"/>
    <w:rsid w:val="BEFEFCC6"/>
    <w:rsid w:val="BF3FAAF5"/>
    <w:rsid w:val="BF7EB269"/>
    <w:rsid w:val="CFEB8E27"/>
    <w:rsid w:val="D5D57CC7"/>
    <w:rsid w:val="D6DB22A6"/>
    <w:rsid w:val="D6F77022"/>
    <w:rsid w:val="D6FBA0A1"/>
    <w:rsid w:val="D6FF6069"/>
    <w:rsid w:val="D7FC855D"/>
    <w:rsid w:val="DA7D7893"/>
    <w:rsid w:val="DDF9BCBC"/>
    <w:rsid w:val="DDFF9878"/>
    <w:rsid w:val="DE3259EE"/>
    <w:rsid w:val="DFA76FA6"/>
    <w:rsid w:val="DFBC0D2B"/>
    <w:rsid w:val="DFCB294D"/>
    <w:rsid w:val="DFE52EC6"/>
    <w:rsid w:val="DFED35BF"/>
    <w:rsid w:val="DFEE1668"/>
    <w:rsid w:val="DFF3622D"/>
    <w:rsid w:val="DFFF3121"/>
    <w:rsid w:val="E37F4432"/>
    <w:rsid w:val="E6AF83E5"/>
    <w:rsid w:val="E6E70125"/>
    <w:rsid w:val="E6FF6096"/>
    <w:rsid w:val="E7FF2039"/>
    <w:rsid w:val="E9CF1871"/>
    <w:rsid w:val="EC8F8355"/>
    <w:rsid w:val="ECF9D224"/>
    <w:rsid w:val="ED977D2A"/>
    <w:rsid w:val="EDDF5D47"/>
    <w:rsid w:val="EE968E7F"/>
    <w:rsid w:val="EECF0E56"/>
    <w:rsid w:val="EF87EB53"/>
    <w:rsid w:val="EFBF4745"/>
    <w:rsid w:val="EFDF3BE5"/>
    <w:rsid w:val="EFF7BEBD"/>
    <w:rsid w:val="F17E0563"/>
    <w:rsid w:val="F377B483"/>
    <w:rsid w:val="F3D2474A"/>
    <w:rsid w:val="F3E7A9B4"/>
    <w:rsid w:val="F3F7478D"/>
    <w:rsid w:val="F3FE5206"/>
    <w:rsid w:val="F4FF7110"/>
    <w:rsid w:val="F5FF8AFB"/>
    <w:rsid w:val="F6FF9DA7"/>
    <w:rsid w:val="F75DEA0C"/>
    <w:rsid w:val="F7BF8F2B"/>
    <w:rsid w:val="F7FB3987"/>
    <w:rsid w:val="F7FE522B"/>
    <w:rsid w:val="F7FEEFE8"/>
    <w:rsid w:val="F87D0449"/>
    <w:rsid w:val="F89CC776"/>
    <w:rsid w:val="F977AFF0"/>
    <w:rsid w:val="F9F3F5F6"/>
    <w:rsid w:val="FABF860B"/>
    <w:rsid w:val="FB532F15"/>
    <w:rsid w:val="FBDF121B"/>
    <w:rsid w:val="FBE29582"/>
    <w:rsid w:val="FBF48F1D"/>
    <w:rsid w:val="FBFDF3A9"/>
    <w:rsid w:val="FCFAE622"/>
    <w:rsid w:val="FD73F6C8"/>
    <w:rsid w:val="FD772EB1"/>
    <w:rsid w:val="FD7FD58D"/>
    <w:rsid w:val="FDDDAA80"/>
    <w:rsid w:val="FDF8AE85"/>
    <w:rsid w:val="FDFD2593"/>
    <w:rsid w:val="FE9FAA1B"/>
    <w:rsid w:val="FEB9A5BE"/>
    <w:rsid w:val="FEFB21B6"/>
    <w:rsid w:val="FF27F0A3"/>
    <w:rsid w:val="FF4F7ED9"/>
    <w:rsid w:val="FF6657C7"/>
    <w:rsid w:val="FF7F6C2F"/>
    <w:rsid w:val="FF8BE8FE"/>
    <w:rsid w:val="FF97F604"/>
    <w:rsid w:val="FFBABF42"/>
    <w:rsid w:val="FFBBE5E1"/>
    <w:rsid w:val="FFCBA4D6"/>
    <w:rsid w:val="FFCF475A"/>
    <w:rsid w:val="FFD90647"/>
    <w:rsid w:val="FFDBACA5"/>
    <w:rsid w:val="FFE3889A"/>
    <w:rsid w:val="FFF293FD"/>
    <w:rsid w:val="FFF7EE84"/>
    <w:rsid w:val="FFF7F48C"/>
    <w:rsid w:val="FFFB474D"/>
    <w:rsid w:val="FFFE9A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600" w:lineRule="exact"/>
      <w:ind w:firstLine="200" w:firstLineChars="200"/>
    </w:pPr>
  </w:style>
  <w:style w:type="paragraph" w:styleId="3">
    <w:name w:val="Body Text"/>
    <w:basedOn w:val="1"/>
    <w:qFormat/>
    <w:uiPriority w:val="1"/>
    <w:pPr>
      <w:ind w:left="106"/>
    </w:pPr>
    <w:rPr>
      <w:rFonts w:ascii="仿宋_GB2312" w:hAnsi="仿宋_GB2312"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tmp/&#20844;&#25991;&#20108;&#32500;&#30721;v169269377418671.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2023-08-19T01:38:00Z</dcterms:created>
  <dc:creator>医政刘建华</dc:creator>
  <cp:lastModifiedBy>网络媒体部</cp:lastModifiedBy>
  <cp:lastPrinted>2023-08-23T16:29:00Z</cp:lastPrinted>
  <dcterms:modified xsi:type="dcterms:W3CDTF">2023-08-22T10:13:20Z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8775BFCA541F436793CEF5C68C7C3065_12</vt:lpwstr>
  </property>
</Properties>
</file>