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insoku w:val="0"/>
        <w:overflowPunct w:val="0"/>
        <w:spacing w:beforeLines="0" w:afterLines="0"/>
        <w:rPr>
          <w:rFonts w:hint="eastAsia" w:ascii="仿宋_GB2312" w:eastAsia="仿宋_GB2312"/>
          <w:color w:val="FF0000"/>
          <w:w w:val="95"/>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关于开展2024年《职业病防治法》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宣传周活动的通知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pacing w:val="1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11"/>
          <w:kern w:val="2"/>
          <w:sz w:val="32"/>
          <w:szCs w:val="32"/>
          <w:lang w:val="en-US" w:eastAsia="zh-CN" w:bidi="ar-SA"/>
        </w:rPr>
        <w:t>各市卫生健康委、民政局、人力资源社会保障局、医保局、疾控局、</w:t>
      </w:r>
      <w:r>
        <w:rPr>
          <w:rFonts w:hint="eastAsia" w:ascii="仿宋_GB2312" w:hAnsi="仿宋_GB2312" w:eastAsia="仿宋_GB2312" w:cs="仿宋_GB2312"/>
          <w:color w:val="auto"/>
          <w:kern w:val="2"/>
          <w:sz w:val="32"/>
          <w:szCs w:val="32"/>
          <w:lang w:val="en-US" w:eastAsia="zh-CN" w:bidi="ar-SA"/>
        </w:rPr>
        <w:t>总工会，区直各有关卫生健康单位：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根据国家卫生健康委办公厅等</w:t>
      </w:r>
      <w:r>
        <w:rPr>
          <w:rFonts w:hint="eastAsia" w:ascii="仿宋_GB2312" w:hAnsi="仿宋_GB2312" w:eastAsia="仿宋_GB2312" w:cs="仿宋_GB2312"/>
          <w:color w:val="auto"/>
          <w:sz w:val="32"/>
          <w:szCs w:val="32"/>
          <w:lang w:val="en-US" w:eastAsia="zh-CN"/>
        </w:rPr>
        <w:t>6部门</w:t>
      </w:r>
      <w:r>
        <w:rPr>
          <w:rFonts w:hint="eastAsia" w:ascii="仿宋_GB2312" w:hAnsi="仿宋_GB2312" w:eastAsia="仿宋_GB2312" w:cs="仿宋_GB2312"/>
          <w:color w:val="auto"/>
          <w:sz w:val="32"/>
          <w:szCs w:val="32"/>
          <w:lang w:eastAsia="zh-CN"/>
        </w:rPr>
        <w:t>《关于开展2024年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职业病防治法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宣传周活动的通知》（国卫办职健函〔2024〕122号）要求，自治区卫生健康委、民政厅、人力资源社会保障厅、医保局、疾控局、总工会决定在2024年4月25日至5月1日开展第22个广西《职业病防治法》宣传周活动，</w:t>
      </w:r>
      <w:r>
        <w:rPr>
          <w:rFonts w:hint="eastAsia" w:ascii="仿宋_GB2312" w:hAnsi="仿宋_GB2312" w:eastAsia="仿宋_GB2312" w:cs="仿宋_GB2312"/>
          <w:sz w:val="32"/>
          <w:szCs w:val="32"/>
          <w:lang w:val="en-US" w:eastAsia="zh-CN"/>
        </w:rPr>
        <w:t>进一步推动落实用人单位职业病防治主体责任，提升劳动者职业健康素养水平，切实保障广大劳动者职业健康权益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现就有关事宜通知如下。</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一</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总体要求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以习近平新时代中国特色社会主义思想为指导，全面贯彻落实党的二十大和二十届二中全会精神，深入学习贯彻习近平总书记关于卫生健康工作的一系列重要论述和重要指示批示精神，贯彻落实党中央、国务院关于职业病防治工作的决策部署</w:t>
      </w:r>
      <w:r>
        <w:rPr>
          <w:rFonts w:hint="default" w:ascii="仿宋_GB2312" w:hAnsi="仿宋_GB2312" w:eastAsia="仿宋_GB2312" w:cs="仿宋_GB2312"/>
          <w:sz w:val="32"/>
          <w:szCs w:val="32"/>
          <w:lang w:val="en-US" w:eastAsia="zh-CN"/>
        </w:rPr>
        <w:t>和自治区党委、政府的工作要求</w:t>
      </w:r>
      <w:r>
        <w:rPr>
          <w:rFonts w:hint="eastAsia" w:ascii="仿宋_GB2312" w:hAnsi="仿宋_GB2312" w:eastAsia="仿宋_GB2312" w:cs="仿宋_GB2312"/>
          <w:sz w:val="32"/>
          <w:szCs w:val="32"/>
          <w:lang w:val="en-US" w:eastAsia="zh-CN"/>
        </w:rPr>
        <w:t>，以宣传落实《职业病防治法》和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广西</w:t>
      </w:r>
      <w:r>
        <w:rPr>
          <w:rFonts w:hint="eastAsia" w:ascii="仿宋_GB2312" w:hAnsi="仿宋_GB2312" w:eastAsia="仿宋_GB2312" w:cs="仿宋_GB2312"/>
          <w:color w:val="auto"/>
          <w:sz w:val="32"/>
          <w:szCs w:val="32"/>
        </w:rPr>
        <w:t>职业病防治</w:t>
      </w:r>
      <w:r>
        <w:rPr>
          <w:rFonts w:hint="eastAsia" w:ascii="仿宋_GB2312" w:hAnsi="仿宋_GB2312" w:eastAsia="仿宋_GB2312" w:cs="仿宋_GB2312"/>
          <w:color w:val="auto"/>
          <w:sz w:val="32"/>
          <w:szCs w:val="32"/>
          <w:lang w:eastAsia="zh-CN"/>
        </w:rPr>
        <w:t>“十四五”</w:t>
      </w:r>
      <w:r>
        <w:rPr>
          <w:rFonts w:hint="eastAsia" w:ascii="仿宋_GB2312" w:hAnsi="仿宋_GB2312" w:eastAsia="仿宋_GB2312" w:cs="仿宋_GB2312"/>
          <w:color w:val="auto"/>
          <w:sz w:val="32"/>
          <w:szCs w:val="32"/>
        </w:rPr>
        <w:t>规划》为主要内容，聚焦提升劳动者职业健康素养水平和保障劳动者职业健康权益，普及职业病防治和职业健康知识，进一步推动落实各级</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政府及有关部门、用人单位和劳动者的责任，营造全社会关心关注职业健康的浓厚氛围，以实际行动迎接中华人民共和国成立75周年。</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二、活动主题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坚持预防为主，守护职业健康</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三、活动时间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2024年4月25日至5月1日。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四</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活动内容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sz w:val="32"/>
          <w:szCs w:val="32"/>
          <w:lang w:val="en-US" w:eastAsia="zh-CN"/>
        </w:rPr>
        <w:t>各地、各单位要紧密围绕主题，结合实际组织开展宣传周活动，营造氛围、凝聚力量，为实现自治区“十四五”职业病防治规划各项目标任务提供强大动力。</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（一）围绕新中国成立75周年以来职业健康工作成效开展宣传活动。</w:t>
      </w:r>
      <w:r>
        <w:rPr>
          <w:rFonts w:hint="eastAsia" w:ascii="仿宋_GB2312" w:hAnsi="仿宋_GB2312" w:eastAsia="仿宋_GB2312" w:cs="仿宋_GB2312"/>
          <w:sz w:val="32"/>
          <w:szCs w:val="32"/>
          <w:lang w:val="en-US" w:eastAsia="zh-CN"/>
        </w:rPr>
        <w:t>要将宣传周活动与庆祝新中国成立75周年活动结合起来，通过专题讲座、故事分享、视频演示、图文展览等方式，回顾新中国成立以来，在中国共产党的坚强领导下，</w:t>
      </w:r>
      <w:r>
        <w:rPr>
          <w:rFonts w:hint="default"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val="en-US" w:eastAsia="zh-CN"/>
        </w:rPr>
        <w:t>区职业健康工作所取得的显著成就，大力宣传党和国家对广大劳动者职业健康的关心关怀，努力增强广大劳动者职业健康的获得感、幸福感和安全感。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（二）围绕实施职业病防治“三项行动”开展宣传活动。</w:t>
      </w:r>
      <w:r>
        <w:rPr>
          <w:rFonts w:hint="eastAsia" w:ascii="仿宋_GB2312" w:hAnsi="仿宋_GB2312" w:eastAsia="仿宋_GB2312" w:cs="仿宋_GB2312"/>
          <w:sz w:val="32"/>
          <w:szCs w:val="32"/>
          <w:lang w:val="en-US" w:eastAsia="zh-CN"/>
        </w:rPr>
        <w:t>要聚焦职业病危害项目申报扩面、中小微企业职业健康帮扶、职业病防治机构提质合规三项行动，突出职业健康高质量发展这条主线，进一步贯彻落实预防为主方针，面向用人单位和职业病防治机构深入宣传解读《职业病防治法》《基本医疗卫生与健康促进法》等有关法律法规规定，着力推进用人单位依法申报并严格控制职业病危害因素，采取综合治理措施改善工作环境和劳动条件，帮扶中小微企业落实职业病防治主体责任，促进职业病防治机构提高服务质量和能力，推动职业健康工作迈上新台阶、创出新水平。</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（三）围绕推进职业健康保护行动，提升劳动者职业健康素养水平开展宣传活动。</w:t>
      </w:r>
      <w:r>
        <w:rPr>
          <w:rFonts w:hint="eastAsia" w:ascii="仿宋_GB2312" w:hAnsi="仿宋_GB2312" w:eastAsia="仿宋_GB2312" w:cs="仿宋_GB2312"/>
          <w:sz w:val="32"/>
          <w:szCs w:val="32"/>
          <w:lang w:val="en-US" w:eastAsia="zh-CN"/>
        </w:rPr>
        <w:t>要广泛宣传健康企业建设优秀案例、职业健康达人典型事例、职业健康优秀传播作品，加强用人单位职业健康培训，深入推进职业健康知识进机构、进企业、进学校、进乡村、进社区“五进”活动，加大重点人群职业健康素养监测与干预力度。要贴近基层一线、贴近工作实际，大力开展线上线下培训、专家访谈、网络公开课等活动，着力提升劳动者职业健康素养水平，不断擦亮职业健康保护行动品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val="en-US" w:eastAsia="zh-CN"/>
        </w:rPr>
        <w:t>（四）围绕实施《广西职业病防治“十四五”规划》开展宣传活动。</w:t>
      </w:r>
      <w:r>
        <w:rPr>
          <w:rFonts w:hint="eastAsia" w:ascii="仿宋_GB2312" w:hAnsi="仿宋_GB2312" w:eastAsia="仿宋_GB2312" w:cs="仿宋_GB2312"/>
          <w:sz w:val="32"/>
          <w:szCs w:val="32"/>
          <w:lang w:val="en-US" w:eastAsia="zh-CN"/>
        </w:rPr>
        <w:t>要充分发挥职业病防治工作议事协调机制作用，卫生健康、民政、人力资源社会保障、医保、疾控和总工会等部门要充分利用本系统宣传阵地和工作优势，广泛宣传各地预防控制职业病危害、扩大工伤保险覆盖面、开展职业病诊疗康复、加强职业卫生监督执法、落实职业病患者救助扶助政策、维护劳动者职业健康权益的政策措施和实践经验，立足有形有感开展正面宣传，形象化、具象化开展政策宣传，解疑释惑、凝聚人心。要围绕“十四五”时期职业健康工作重点任务和“防、治、管、教、建”各项保障措施，精准有效开展主题宣传、形势宣传、成就宣传、典型宣传，巩固壮大职业健康奋进新时代的思想舆论，为实现自治区“十四五”规划目标任务奠定坚实基础。</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五</w:t>
      </w:r>
      <w:r>
        <w:rPr>
          <w:rFonts w:ascii="Times New Roman" w:hAnsi="Times New Roman" w:eastAsia="黑体" w:cs="Times New Roman"/>
          <w:color w:val="auto"/>
          <w:sz w:val="32"/>
          <w:szCs w:val="32"/>
        </w:rPr>
        <w:t>、活动</w:t>
      </w:r>
      <w:r>
        <w:rPr>
          <w:rFonts w:hint="eastAsia" w:ascii="Times New Roman" w:hAnsi="Times New Roman" w:eastAsia="黑体" w:cs="Times New Roman"/>
          <w:color w:val="auto"/>
          <w:sz w:val="32"/>
          <w:szCs w:val="32"/>
          <w:lang w:eastAsia="zh-CN"/>
        </w:rPr>
        <w:t>安排</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eastAsia="zh-CN"/>
        </w:rPr>
        <w:t>（一）自治区层面。</w:t>
      </w:r>
      <w:r>
        <w:rPr>
          <w:rFonts w:hint="eastAsia" w:ascii="Times New Roman" w:hAnsi="Times New Roman" w:eastAsia="仿宋_GB2312" w:cs="Times New Roman"/>
          <w:color w:val="auto"/>
          <w:sz w:val="32"/>
          <w:szCs w:val="32"/>
          <w:lang w:eastAsia="zh-CN"/>
        </w:rPr>
        <w:t>本次宣传周活动采取</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线上+线下</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的形式举行。</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线上活动。通过自治区有关部门开设的宣传平台与外部宣传媒体相结合、新媒体与传统媒体相结合、充分利用公益广告平台开展宣传活动。在自治区卫生健康委官网的职业健康保护行动专栏转载和报道各级宣传周启动仪式活动情况，刊登各市宣传周活动内容，播放职业健康动画、短视频等宣传作品；邀请自治区职防院专家接受新闻媒体采访，就职业病预防、诊断、治疗、康复等方面进行健康科普；将职业健康传播作品投放到抖音、微信公众号等平台，全面覆盖区直各医疗机构微信公众号、健康八桂等卫生健康系统负责的宣传平台。</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4月2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晚上</w:t>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0-20: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eastAsia="zh-CN"/>
        </w:rPr>
        <w:t>，组织开展一期</w:t>
      </w:r>
      <w:r>
        <w:rPr>
          <w:rFonts w:hint="eastAsia" w:ascii="仿宋_GB2312" w:hAnsi="仿宋_GB2312" w:eastAsia="仿宋_GB2312" w:cs="仿宋_GB2312"/>
          <w:color w:val="auto"/>
          <w:sz w:val="32"/>
          <w:szCs w:val="32"/>
          <w:lang w:val="en-US" w:eastAsia="zh-CN"/>
        </w:rPr>
        <w:t>职业健康知识进企业直播活动。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线下活动。自治区卫生健康委、民政厅、人力资源社会保障厅、医保局、 疾控局、总工会将联合桂林市人民政府，在桂林市联合举办广西《职业病防治法》宣传周启动仪式并开展系列宣传活动；开展防治知识进学校，为即将步入职业岗位的学生普及职业病防治知识。开展职业健康知识、健康义诊进乡村，并进行健康义诊，普及职业健康知识；开展“送法到企业”、放射卫生防护知识等宣传活动，增强劳动者职业健康意识；印制短</w:t>
      </w:r>
      <w:r>
        <w:rPr>
          <w:rFonts w:hint="eastAsia" w:ascii="仿宋_GB2312" w:hAnsi="仿宋_GB2312" w:eastAsia="仿宋_GB2312" w:cs="仿宋_GB2312"/>
          <w:color w:val="auto"/>
          <w:sz w:val="32"/>
          <w:szCs w:val="32"/>
        </w:rPr>
        <w:t>视频宣传片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宣传折页、宣传板报</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宣传资料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eastAsia="zh-CN"/>
        </w:rPr>
        <w:t>（二）市、县级层面。</w:t>
      </w:r>
      <w:r>
        <w:rPr>
          <w:rFonts w:hint="eastAsia" w:ascii="Times New Roman" w:hAnsi="Times New Roman" w:eastAsia="仿宋_GB2312" w:cs="Times New Roman"/>
          <w:color w:val="auto"/>
          <w:sz w:val="32"/>
          <w:szCs w:val="32"/>
          <w:lang w:eastAsia="zh-CN"/>
        </w:rPr>
        <w:t>各地职业病防治工作联席会议成员单位参照自治区层面活动方案，结合本地实际和特色，组织开展宣传周活动。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eastAsia="zh-CN"/>
        </w:rPr>
        <w:t>（三）社会层面。</w:t>
      </w:r>
      <w:r>
        <w:rPr>
          <w:rFonts w:hint="eastAsia" w:ascii="Times New Roman" w:hAnsi="Times New Roman" w:eastAsia="仿宋_GB2312" w:cs="Times New Roman"/>
          <w:color w:val="auto"/>
          <w:sz w:val="32"/>
          <w:szCs w:val="32"/>
          <w:lang w:eastAsia="zh-CN"/>
        </w:rPr>
        <w:t>各</w:t>
      </w:r>
      <w:r>
        <w:rPr>
          <w:rFonts w:hint="eastAsia" w:eastAsia="仿宋_GB2312" w:cs="Times New Roman"/>
          <w:color w:val="auto"/>
          <w:sz w:val="32"/>
          <w:szCs w:val="32"/>
          <w:lang w:eastAsia="zh-CN"/>
        </w:rPr>
        <w:t>地</w:t>
      </w:r>
      <w:r>
        <w:rPr>
          <w:rFonts w:hint="eastAsia" w:ascii="Times New Roman" w:hAnsi="Times New Roman" w:eastAsia="仿宋_GB2312" w:cs="Times New Roman"/>
          <w:color w:val="auto"/>
          <w:sz w:val="32"/>
          <w:szCs w:val="32"/>
          <w:lang w:eastAsia="zh-CN"/>
        </w:rPr>
        <w:t>、各单位要动员和指导各类社会团体、市场主体、行业协（学）会，广泛开展面向广大劳动者、企业负责人和媒体记者</w:t>
      </w:r>
      <w:r>
        <w:rPr>
          <w:rFonts w:hint="eastAsia"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eastAsia="zh-CN"/>
        </w:rPr>
        <w:t>职业病防治主题宣传活动。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六</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活动要求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sz w:val="32"/>
          <w:szCs w:val="32"/>
          <w:lang w:val="en-US" w:eastAsia="zh-CN"/>
        </w:rPr>
        <w:t>高度重视，强化组织领导。</w:t>
      </w:r>
      <w:r>
        <w:rPr>
          <w:rFonts w:hint="eastAsia" w:ascii="仿宋_GB2312" w:hAnsi="仿宋_GB2312" w:eastAsia="仿宋_GB2312" w:cs="仿宋_GB2312"/>
          <w:sz w:val="32"/>
          <w:szCs w:val="32"/>
          <w:lang w:val="en-US" w:eastAsia="zh-CN"/>
        </w:rPr>
        <w:t>各地、各单位要充分认识开展《职业病防治法》宣传周活动的重要意义，切实加强组织领导，制定具体活动方案，保障活动所需经费，认真抓好组织实施，确保宣传活动顺利开展。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sz w:val="32"/>
          <w:szCs w:val="32"/>
          <w:lang w:val="en-US" w:eastAsia="zh-CN"/>
        </w:rPr>
        <w:t>积极发动，</w:t>
      </w:r>
      <w:r>
        <w:rPr>
          <w:rFonts w:hint="eastAsia" w:ascii="楷体_GB2312" w:hAnsi="楷体_GB2312" w:eastAsia="楷体_GB2312" w:cs="楷体_GB2312"/>
          <w:color w:val="auto"/>
          <w:sz w:val="32"/>
          <w:szCs w:val="32"/>
          <w:lang w:eastAsia="zh-CN"/>
        </w:rPr>
        <w:t>扩大宣传范围</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各单位要加强组织协调，积极发动各行各业劳动者积极参与宣传活动。要充分发挥广播电视、报刊杂志、城市户外广告、城市广场、车站、机场、地铁、公交车、厂区广播电视及工地标语等媒介平台作用，通过张贴、播放宣传周推荐宣传用语（见附件1）等方式，大力宣传活动主题和重点活动内容，宣传职业病防治、职业健康知识及有效举措。</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sz w:val="32"/>
          <w:szCs w:val="32"/>
          <w:lang w:val="en-US" w:eastAsia="zh-CN"/>
        </w:rPr>
        <w:t>认真总结，做好信息报送</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、各单位要认真总结宣传周活动期间的典型经验和创新做法，及时报送有关视频、图片和文字等资料，</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卫生健康委将会同有关部门加强对各地活动开展情况的宣传报道，营造浓厚舆论氛围。</w:t>
      </w:r>
      <w:r>
        <w:rPr>
          <w:rFonts w:hint="eastAsia" w:ascii="仿宋_GB2312" w:hAnsi="仿宋_GB2312" w:eastAsia="仿宋_GB2312" w:cs="仿宋_GB2312"/>
          <w:color w:val="auto"/>
          <w:sz w:val="32"/>
          <w:szCs w:val="32"/>
          <w:lang w:eastAsia="zh-CN"/>
        </w:rPr>
        <w:t>请各市卫生健康委将</w:t>
      </w:r>
      <w:r>
        <w:rPr>
          <w:rFonts w:hint="eastAsia" w:ascii="仿宋_GB2312" w:hAnsi="仿宋_GB2312" w:eastAsia="仿宋_GB2312" w:cs="仿宋_GB2312"/>
          <w:color w:val="auto"/>
          <w:sz w:val="32"/>
          <w:szCs w:val="32"/>
        </w:rPr>
        <w:t>宣传周活动情况统计表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及活动</w:t>
      </w:r>
      <w:r>
        <w:rPr>
          <w:rFonts w:hint="eastAsia" w:ascii="仿宋_GB2312" w:hAnsi="仿宋_GB2312" w:eastAsia="仿宋_GB2312" w:cs="仿宋_GB2312"/>
          <w:color w:val="auto"/>
          <w:sz w:val="32"/>
          <w:szCs w:val="32"/>
          <w:lang w:eastAsia="zh-CN"/>
        </w:rPr>
        <w:t>总结</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年5月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日前报送自治区</w:t>
      </w:r>
      <w:r>
        <w:rPr>
          <w:rFonts w:hint="eastAsia" w:ascii="仿宋_GB2312" w:hAnsi="仿宋_GB2312" w:eastAsia="仿宋_GB2312" w:cs="仿宋_GB2312"/>
          <w:color w:val="auto"/>
          <w:sz w:val="32"/>
          <w:szCs w:val="32"/>
          <w:lang w:eastAsia="zh-CN"/>
        </w:rPr>
        <w:t>卫生健康委职业健康处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及电话</w:t>
      </w:r>
      <w:r>
        <w:rPr>
          <w:rFonts w:hint="eastAsia" w:ascii="仿宋_GB2312" w:hAnsi="仿宋_GB2312" w:eastAsia="仿宋_GB2312" w:cs="仿宋_GB2312"/>
          <w:color w:val="auto"/>
          <w:sz w:val="32"/>
          <w:szCs w:val="32"/>
        </w:rPr>
        <w:t>：周祖丞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0771-2800136</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电子邮箱：</w:t>
      </w:r>
      <w:r>
        <w:rPr>
          <w:rFonts w:hint="default" w:ascii="Times New Roman" w:hAnsi="Times New Roman" w:eastAsia="仿宋_GB2312" w:cs="Times New Roman"/>
          <w:color w:val="auto"/>
          <w:sz w:val="32"/>
          <w:szCs w:val="32"/>
        </w:rPr>
        <w:t>zyjkc@wsjkw.gxzf.gov.cn</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附件：1.202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年《职业病防治法》宣传周推荐宣传用语</w:t>
      </w:r>
    </w:p>
    <w:p>
      <w:pPr>
        <w:keepNext w:val="0"/>
        <w:keepLines w:val="0"/>
        <w:pageBreakBefore w:val="0"/>
        <w:widowControl w:val="0"/>
        <w:kinsoku/>
        <w:wordWrap/>
        <w:overflowPunct/>
        <w:topLinePunct w:val="0"/>
        <w:autoSpaceDE/>
        <w:autoSpaceDN/>
        <w:bidi w:val="0"/>
        <w:spacing w:line="520" w:lineRule="exact"/>
        <w:ind w:firstLine="1600" w:firstLine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年《职业病防治法》宣传周活动情况统计表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outlineLvl w:val="9"/>
        <w:rPr>
          <w:rFonts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3.2024年《职业病防治法》宣传周海报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广西壮族自治区</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卫生健康委员会 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民政厅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广西壮族自治区</w:t>
      </w:r>
      <w:r>
        <w:rPr>
          <w:rFonts w:hint="eastAsia" w:ascii="Times New Roman" w:hAnsi="Times New Roman" w:eastAsia="仿宋_GB2312" w:cs="Times New Roman"/>
          <w:color w:val="auto"/>
          <w:sz w:val="32"/>
          <w:szCs w:val="32"/>
          <w:lang w:val="en-US" w:eastAsia="zh-CN"/>
        </w:rPr>
        <w:t xml:space="preserve">                 广西壮族自治区</w:t>
      </w:r>
    </w:p>
    <w:p>
      <w:pPr>
        <w:keepNext w:val="0"/>
        <w:keepLines w:val="0"/>
        <w:pageBreakBefore w:val="0"/>
        <w:widowControl w:val="0"/>
        <w:kinsoku/>
        <w:wordWrap/>
        <w:overflowPunct/>
        <w:topLinePunct w:val="0"/>
        <w:autoSpaceDE/>
        <w:autoSpaceDN/>
        <w:bidi w:val="0"/>
        <w:adjustRightInd/>
        <w:snapToGrid/>
        <w:spacing w:line="520" w:lineRule="exact"/>
        <w:ind w:left="105" w:leftChars="50" w:right="0" w:rightChars="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人力资源和社会保障厅</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pacing w:val="6"/>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医疗保障局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eastAsia="zh-CN"/>
        </w:rPr>
      </w:pPr>
    </w:p>
    <w:p>
      <w:pPr>
        <w:keepNext w:val="0"/>
        <w:keepLines w:val="0"/>
        <w:pageBreakBefore w:val="0"/>
        <w:widowControl w:val="0"/>
        <w:tabs>
          <w:tab w:val="left" w:pos="1470"/>
          <w:tab w:val="left" w:pos="1680"/>
          <w:tab w:val="left" w:pos="6930"/>
        </w:tabs>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广西壮族自治区</w:t>
      </w:r>
      <w:r>
        <w:rPr>
          <w:rFonts w:hint="default" w:eastAsia="仿宋_GB2312" w:cs="Times New Roman"/>
          <w:color w:val="auto"/>
          <w:sz w:val="32"/>
          <w:szCs w:val="32"/>
          <w:lang w:val="en" w:eastAsia="zh-CN"/>
        </w:rPr>
        <w:t xml:space="preserve">             </w:t>
      </w:r>
      <w:r>
        <w:rPr>
          <w:rFonts w:hint="eastAsia" w:eastAsia="仿宋_GB2312" w:cs="Times New Roman"/>
          <w:color w:val="auto"/>
          <w:sz w:val="32"/>
          <w:szCs w:val="32"/>
          <w:lang w:val="en-US" w:eastAsia="zh-CN"/>
        </w:rPr>
        <w:t xml:space="preserve"> </w:t>
      </w:r>
      <w:r>
        <w:rPr>
          <w:rFonts w:hint="default" w:eastAsia="仿宋_GB2312" w:cs="Times New Roman"/>
          <w:color w:val="auto"/>
          <w:sz w:val="32"/>
          <w:szCs w:val="32"/>
          <w:lang w:val="en" w:eastAsia="zh-CN"/>
        </w:rPr>
        <w:t xml:space="preserve">    </w:t>
      </w:r>
      <w:r>
        <w:rPr>
          <w:rFonts w:hint="eastAsia" w:ascii="Times New Roman" w:hAnsi="Times New Roman" w:eastAsia="仿宋_GB2312" w:cs="Times New Roman"/>
          <w:color w:val="auto"/>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lang w:val="en" w:eastAsia="zh-CN"/>
        </w:rPr>
        <w:t>疾病预防控制局</w:t>
      </w:r>
      <w:r>
        <w:rPr>
          <w:rFonts w:hint="default" w:ascii="仿宋_GB2312" w:hAnsi="仿宋_GB2312" w:eastAsia="仿宋_GB2312" w:cs="仿宋_GB2312"/>
          <w:sz w:val="32"/>
          <w:szCs w:val="32"/>
          <w:lang w:val="en" w:eastAsia="zh-CN"/>
        </w:rPr>
        <w:t xml:space="preserve">                      </w:t>
      </w:r>
      <w:r>
        <w:rPr>
          <w:rFonts w:hint="eastAsia" w:ascii="Times New Roman" w:hAnsi="Times New Roman" w:eastAsia="仿宋_GB2312" w:cs="Times New Roman"/>
          <w:color w:val="auto"/>
          <w:sz w:val="32"/>
          <w:szCs w:val="32"/>
          <w:lang w:eastAsia="zh-CN"/>
        </w:rPr>
        <w:t>总工会</w:t>
      </w:r>
    </w:p>
    <w:p>
      <w:pPr>
        <w:keepNext w:val="0"/>
        <w:keepLines w:val="0"/>
        <w:pageBreakBefore w:val="0"/>
        <w:widowControl w:val="0"/>
        <w:tabs>
          <w:tab w:val="left" w:pos="5460"/>
        </w:tabs>
        <w:kinsoku/>
        <w:wordWrap/>
        <w:overflowPunct/>
        <w:topLinePunct w:val="0"/>
        <w:autoSpaceDE/>
        <w:autoSpaceDN/>
        <w:bidi w:val="0"/>
        <w:adjustRightInd/>
        <w:snapToGrid/>
        <w:spacing w:line="520" w:lineRule="exact"/>
        <w:ind w:firstLine="5440" w:firstLineChars="17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年4月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tabs>
          <w:tab w:val="left" w:pos="5460"/>
        </w:tabs>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kinsoku/>
        <w:wordWrap/>
        <w:overflowPunct/>
        <w:topLinePunct w:val="0"/>
        <w:autoSpaceDN/>
        <w:bidi w:val="0"/>
        <w:spacing w:line="560" w:lineRule="exact"/>
        <w:textAlignment w:val="auto"/>
        <w:outlineLvl w:val="9"/>
        <w:rPr>
          <w:rFonts w:hint="eastAsia"/>
        </w:rPr>
      </w:pP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b w:val="0"/>
          <w:bCs/>
          <w:spacing w:val="0"/>
          <w:kern w:val="2"/>
          <w:sz w:val="44"/>
          <w:szCs w:val="44"/>
        </w:rPr>
      </w:pPr>
      <w:r>
        <w:rPr>
          <w:rFonts w:hint="eastAsia" w:ascii="方正小标宋简体" w:hAnsi="方正小标宋简体" w:eastAsia="方正小标宋简体" w:cs="方正小标宋简体"/>
          <w:b w:val="0"/>
          <w:bCs/>
          <w:spacing w:val="0"/>
          <w:kern w:val="2"/>
          <w:sz w:val="44"/>
          <w:szCs w:val="44"/>
          <w:lang w:val="en-US" w:eastAsia="zh-CN" w:bidi="ar"/>
        </w:rPr>
        <w:t>2024年《职业病防治法》宣传周推荐宣传用语</w:t>
      </w:r>
    </w:p>
    <w:p>
      <w:pPr>
        <w:keepNext w:val="0"/>
        <w:keepLines w:val="0"/>
        <w:pageBreakBefore w:val="0"/>
        <w:widowControl/>
        <w:kinsoku/>
        <w:wordWrap/>
        <w:overflowPunct/>
        <w:topLinePunct w:val="0"/>
        <w:autoSpaceDN/>
        <w:bidi w:val="0"/>
        <w:spacing w:line="560" w:lineRule="exact"/>
        <w:jc w:val="left"/>
        <w:textAlignment w:val="auto"/>
        <w:outlineLvl w:val="9"/>
        <w:rPr>
          <w:rFonts w:hint="eastAsia" w:ascii="宋体" w:hAnsi="宋体" w:cs="宋体"/>
          <w:spacing w:val="0"/>
          <w:kern w:val="0"/>
          <w:sz w:val="32"/>
          <w:szCs w:val="28"/>
          <w:lang w:bidi="ar"/>
        </w:rPr>
      </w:pP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1.</w:t>
      </w:r>
      <w:r>
        <w:rPr>
          <w:rFonts w:hint="eastAsia" w:ascii="仿宋_GB2312" w:hAnsi="仿宋_GB2312" w:eastAsia="仿宋_GB2312" w:cs="仿宋_GB2312"/>
          <w:spacing w:val="0"/>
          <w:kern w:val="2"/>
          <w:sz w:val="32"/>
          <w:szCs w:val="32"/>
          <w:lang w:val="en-US" w:eastAsia="zh-CN" w:bidi="ar"/>
        </w:rPr>
        <w:t>职业健康，你我同行</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Times New Roman"/>
          <w:spacing w:val="0"/>
          <w:kern w:val="2"/>
          <w:sz w:val="32"/>
          <w:szCs w:val="32"/>
        </w:rPr>
      </w:pPr>
      <w:r>
        <w:rPr>
          <w:rFonts w:hint="eastAsia" w:ascii="仿宋_GB2312" w:hAnsi="仿宋_GB2312" w:eastAsia="仿宋_GB2312" w:cs="仿宋_GB2312"/>
          <w:i w:val="0"/>
          <w:caps w:val="0"/>
          <w:spacing w:val="0"/>
          <w:kern w:val="2"/>
          <w:sz w:val="32"/>
          <w:szCs w:val="32"/>
          <w:lang w:val="en-US" w:eastAsia="zh-CN" w:bidi="ar"/>
        </w:rPr>
        <w:t>2.坚持预防为主，守护职业健康</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3.</w:t>
      </w:r>
      <w:r>
        <w:rPr>
          <w:rFonts w:hint="eastAsia" w:ascii="仿宋_GB2312" w:hAnsi="仿宋_GB2312" w:eastAsia="仿宋_GB2312" w:cs="仿宋_GB2312"/>
          <w:spacing w:val="0"/>
          <w:kern w:val="2"/>
          <w:sz w:val="32"/>
          <w:szCs w:val="32"/>
          <w:lang w:val="en-US" w:eastAsia="zh-CN" w:bidi="ar"/>
        </w:rPr>
        <w:t>体面劳动，健康工作，快乐生活</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4.</w:t>
      </w:r>
      <w:r>
        <w:rPr>
          <w:rFonts w:hint="eastAsia" w:ascii="仿宋_GB2312" w:hAnsi="仿宋_GB2312" w:eastAsia="仿宋_GB2312" w:cs="仿宋_GB2312"/>
          <w:spacing w:val="0"/>
          <w:kern w:val="2"/>
          <w:sz w:val="32"/>
          <w:szCs w:val="32"/>
          <w:lang w:val="en-US" w:eastAsia="zh-CN" w:bidi="ar"/>
        </w:rPr>
        <w:t>保障劳动者健康，助力健康中国</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5.</w:t>
      </w:r>
      <w:r>
        <w:rPr>
          <w:rFonts w:hint="eastAsia" w:ascii="仿宋_GB2312" w:hAnsi="仿宋_GB2312" w:eastAsia="仿宋_GB2312" w:cs="仿宋_GB2312"/>
          <w:spacing w:val="0"/>
          <w:kern w:val="2"/>
          <w:sz w:val="32"/>
          <w:szCs w:val="32"/>
          <w:lang w:val="en-US" w:eastAsia="zh-CN" w:bidi="ar"/>
        </w:rPr>
        <w:t>守护职业健康，同享幸福人生</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6.</w:t>
      </w:r>
      <w:r>
        <w:rPr>
          <w:rFonts w:hint="eastAsia" w:ascii="仿宋_GB2312" w:hAnsi="仿宋_GB2312" w:eastAsia="仿宋_GB2312" w:cs="仿宋_GB2312"/>
          <w:spacing w:val="0"/>
          <w:kern w:val="2"/>
          <w:sz w:val="32"/>
          <w:szCs w:val="32"/>
          <w:lang w:val="en-US" w:eastAsia="zh-CN" w:bidi="ar"/>
        </w:rPr>
        <w:t>崇尚职业健康，远离职业危害</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7.</w:t>
      </w:r>
      <w:r>
        <w:rPr>
          <w:rFonts w:hint="eastAsia" w:ascii="仿宋_GB2312" w:hAnsi="仿宋_GB2312" w:eastAsia="仿宋_GB2312" w:cs="仿宋_GB2312"/>
          <w:spacing w:val="0"/>
          <w:kern w:val="2"/>
          <w:sz w:val="32"/>
          <w:szCs w:val="32"/>
          <w:lang w:val="en-US" w:eastAsia="zh-CN" w:bidi="ar"/>
        </w:rPr>
        <w:t>建设健康企业，争做健康达人</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8.</w:t>
      </w:r>
      <w:r>
        <w:rPr>
          <w:rFonts w:hint="eastAsia" w:ascii="仿宋_GB2312" w:hAnsi="仿宋_GB2312" w:eastAsia="仿宋_GB2312" w:cs="仿宋_GB2312"/>
          <w:spacing w:val="0"/>
          <w:kern w:val="2"/>
          <w:sz w:val="32"/>
          <w:szCs w:val="32"/>
          <w:lang w:val="en-US" w:eastAsia="zh-CN" w:bidi="ar"/>
        </w:rPr>
        <w:t>关注职业健康，守护最美劳动者</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9.</w:t>
      </w:r>
      <w:r>
        <w:rPr>
          <w:rFonts w:hint="eastAsia" w:ascii="仿宋_GB2312" w:hAnsi="仿宋_GB2312" w:eastAsia="仿宋_GB2312" w:cs="仿宋_GB2312"/>
          <w:spacing w:val="0"/>
          <w:kern w:val="2"/>
          <w:sz w:val="32"/>
          <w:szCs w:val="32"/>
          <w:lang w:val="en-US" w:eastAsia="zh-CN" w:bidi="ar"/>
        </w:rPr>
        <w:t>预防职业病危害，守护劳动者健康</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10.</w:t>
      </w:r>
      <w:r>
        <w:rPr>
          <w:rFonts w:hint="eastAsia" w:ascii="仿宋_GB2312" w:hAnsi="仿宋_GB2312" w:eastAsia="仿宋_GB2312" w:cs="仿宋_GB2312"/>
          <w:spacing w:val="0"/>
          <w:kern w:val="2"/>
          <w:sz w:val="32"/>
          <w:szCs w:val="32"/>
          <w:lang w:val="en-US" w:eastAsia="zh-CN" w:bidi="ar"/>
        </w:rPr>
        <w:t>提升职业健康素养，助力高质量发展</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11.</w:t>
      </w:r>
      <w:r>
        <w:rPr>
          <w:rFonts w:hint="eastAsia" w:ascii="仿宋_GB2312" w:hAnsi="仿宋_GB2312" w:eastAsia="仿宋_GB2312" w:cs="仿宋_GB2312"/>
          <w:spacing w:val="0"/>
          <w:kern w:val="2"/>
          <w:sz w:val="32"/>
          <w:szCs w:val="32"/>
          <w:lang w:val="en-US" w:eastAsia="zh-CN" w:bidi="ar"/>
        </w:rPr>
        <w:t>打造健康劳动者队伍，支撑中国式现代化建设</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12.</w:t>
      </w:r>
      <w:r>
        <w:rPr>
          <w:rFonts w:hint="eastAsia" w:ascii="仿宋_GB2312" w:hAnsi="仿宋_GB2312" w:eastAsia="仿宋_GB2312" w:cs="仿宋_GB2312"/>
          <w:spacing w:val="0"/>
          <w:kern w:val="2"/>
          <w:sz w:val="32"/>
          <w:szCs w:val="32"/>
          <w:lang w:val="en-US" w:eastAsia="zh-CN" w:bidi="ar"/>
        </w:rPr>
        <w:t>依法依规开展职业健康技术服务</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kern w:val="2"/>
          <w:sz w:val="32"/>
          <w:szCs w:val="32"/>
        </w:rPr>
      </w:pPr>
      <w:r>
        <w:rPr>
          <w:rFonts w:hint="default" w:ascii="仿宋_GB2312" w:hAnsi="仿宋_GB2312" w:eastAsia="仿宋_GB2312" w:cs="Times New Roman"/>
          <w:spacing w:val="0"/>
          <w:kern w:val="2"/>
          <w:sz w:val="32"/>
          <w:szCs w:val="32"/>
          <w:lang w:val="en-US" w:eastAsia="zh-CN" w:bidi="ar"/>
        </w:rPr>
        <w:t>13.</w:t>
      </w:r>
      <w:r>
        <w:rPr>
          <w:rFonts w:hint="eastAsia" w:ascii="仿宋_GB2312" w:hAnsi="仿宋_GB2312" w:eastAsia="仿宋_GB2312" w:cs="仿宋_GB2312"/>
          <w:spacing w:val="0"/>
          <w:kern w:val="2"/>
          <w:sz w:val="32"/>
          <w:szCs w:val="32"/>
          <w:lang w:val="en-US" w:eastAsia="zh-CN" w:bidi="ar"/>
        </w:rPr>
        <w:t>职业病危害项目申报是用人单位的法定义务</w:t>
      </w:r>
      <w:r>
        <w:rPr>
          <w:rFonts w:hint="eastAsia" w:ascii="仿宋_GB2312" w:hAnsi="仿宋_GB2312" w:eastAsia="仿宋_GB2312" w:cs="Times New Roman"/>
          <w:spacing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spacing w:val="-6"/>
          <w:kern w:val="2"/>
          <w:sz w:val="32"/>
          <w:szCs w:val="32"/>
        </w:rPr>
      </w:pPr>
      <w:r>
        <w:rPr>
          <w:rFonts w:hint="default" w:ascii="仿宋_GB2312" w:hAnsi="仿宋_GB2312" w:eastAsia="仿宋_GB2312" w:cs="Times New Roman"/>
          <w:spacing w:val="0"/>
          <w:kern w:val="2"/>
          <w:sz w:val="32"/>
          <w:szCs w:val="32"/>
          <w:lang w:val="en-US" w:eastAsia="zh-CN" w:bidi="ar"/>
        </w:rPr>
        <w:t>14.</w:t>
      </w:r>
      <w:r>
        <w:rPr>
          <w:rFonts w:hint="eastAsia" w:ascii="仿宋_GB2312" w:hAnsi="仿宋_GB2312" w:eastAsia="仿宋_GB2312" w:cs="仿宋_GB2312"/>
          <w:spacing w:val="-6"/>
          <w:kern w:val="2"/>
          <w:sz w:val="32"/>
          <w:szCs w:val="32"/>
          <w:lang w:val="en-US" w:eastAsia="zh-CN" w:bidi="ar"/>
        </w:rPr>
        <w:t>开展中小微企业职业健康帮扶，保障劳动者职业健康权益</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仿宋_GB2312" w:hAnsi="Calibri" w:eastAsia="仿宋_GB2312" w:cs="仿宋_GB2312"/>
          <w:spacing w:val="0"/>
          <w:kern w:val="2"/>
          <w:sz w:val="32"/>
          <w:szCs w:val="32"/>
          <w:lang w:val="en-US" w:eastAsia="zh-CN" w:bidi="ar"/>
        </w:rPr>
      </w:pPr>
      <w:r>
        <w:rPr>
          <w:rFonts w:hint="default" w:ascii="仿宋_GB2312" w:hAnsi="仿宋_GB2312" w:eastAsia="仿宋_GB2312" w:cs="Times New Roman"/>
          <w:spacing w:val="0"/>
          <w:kern w:val="2"/>
          <w:sz w:val="32"/>
          <w:szCs w:val="32"/>
          <w:lang w:val="en-US" w:eastAsia="zh-CN" w:bidi="ar"/>
        </w:rPr>
        <w:t>15.</w:t>
      </w:r>
      <w:r>
        <w:rPr>
          <w:rFonts w:hint="eastAsia" w:ascii="仿宋_GB2312" w:hAnsi="仿宋_GB2312" w:eastAsia="仿宋_GB2312" w:cs="仿宋_GB2312"/>
          <w:spacing w:val="0"/>
          <w:kern w:val="2"/>
          <w:sz w:val="32"/>
          <w:szCs w:val="32"/>
          <w:lang w:val="en-US" w:eastAsia="zh-CN" w:bidi="ar"/>
        </w:rPr>
        <w:t>推进职业健康保护行动</w:t>
      </w:r>
      <w:r>
        <w:rPr>
          <w:rFonts w:hint="default" w:ascii="仿宋_GB2312" w:hAnsi="仿宋_GB2312" w:cs="Times New Roman"/>
          <w:spacing w:val="0"/>
          <w:kern w:val="2"/>
          <w:sz w:val="32"/>
          <w:szCs w:val="32"/>
          <w:lang w:eastAsia="zh-CN" w:bidi="ar"/>
        </w:rPr>
        <w:t>，</w:t>
      </w:r>
      <w:r>
        <w:rPr>
          <w:rFonts w:hint="eastAsia" w:ascii="仿宋_GB2312" w:hAnsi="仿宋_GB2312" w:eastAsia="仿宋_GB2312" w:cs="仿宋_GB2312"/>
          <w:spacing w:val="0"/>
          <w:kern w:val="2"/>
          <w:sz w:val="32"/>
          <w:szCs w:val="32"/>
          <w:lang w:val="en-US" w:eastAsia="zh-CN" w:bidi="ar"/>
        </w:rPr>
        <w:t>提升劳动者职业健康素养</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Calibri" w:eastAsia="仿宋_GB2312" w:cs="仿宋_GB2312"/>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Calibri" w:eastAsia="仿宋_GB2312" w:cs="仿宋_GB2312"/>
          <w:spacing w:val="0"/>
          <w:kern w:val="2"/>
          <w:sz w:val="32"/>
          <w:szCs w:val="32"/>
          <w:lang w:val="en-US" w:eastAsia="zh-CN" w:bidi="ar"/>
        </w:rPr>
      </w:pPr>
    </w:p>
    <w:p>
      <w:pPr>
        <w:pStyle w:val="4"/>
        <w:widowControl w:val="0"/>
        <w:autoSpaceDE w:val="0"/>
        <w:spacing w:line="560" w:lineRule="exact"/>
        <w:ind w:firstLine="0" w:firstLineChars="0"/>
        <w:rPr>
          <w:rFonts w:hint="eastAsia" w:ascii="黑体" w:hAnsi="宋体" w:eastAsia="黑体" w:cs="黑体"/>
          <w:kern w:val="2"/>
          <w:sz w:val="32"/>
          <w:szCs w:val="32"/>
        </w:rPr>
      </w:pPr>
      <w:r>
        <w:rPr>
          <w:rFonts w:hint="eastAsia" w:ascii="黑体" w:hAnsi="宋体" w:eastAsia="黑体" w:cs="黑体"/>
          <w:spacing w:val="0"/>
          <w:kern w:val="2"/>
          <w:sz w:val="32"/>
          <w:szCs w:val="32"/>
          <w:lang w:val="en-US" w:eastAsia="zh-CN" w:bidi="ar"/>
        </w:rPr>
        <w:br w:type="page"/>
      </w:r>
      <w:r>
        <w:rPr>
          <w:rFonts w:hint="eastAsia" w:ascii="黑体" w:hAnsi="宋体" w:eastAsia="黑体" w:cs="黑体"/>
          <w:kern w:val="2"/>
          <w:sz w:val="32"/>
          <w:szCs w:val="32"/>
          <w:lang w:val="en-US" w:eastAsia="zh-CN" w:bidi="ar"/>
        </w:rPr>
        <w:t>附件2</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 xml:space="preserve"> </w:t>
      </w:r>
    </w:p>
    <w:p>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
        </w:rPr>
      </w:pPr>
      <w:r>
        <w:rPr>
          <w:rFonts w:hint="eastAsia" w:ascii="方正小标宋简体" w:hAnsi="方正小标宋简体" w:eastAsia="方正小标宋简体" w:cs="方正小标宋简体"/>
          <w:b w:val="0"/>
          <w:bCs/>
          <w:spacing w:val="0"/>
          <w:kern w:val="0"/>
          <w:sz w:val="44"/>
          <w:szCs w:val="44"/>
          <w:lang w:val="en-US" w:eastAsia="zh-CN" w:bidi="ar"/>
        </w:rPr>
        <w:t>2024年《职业病防治法》宣传周活动情况</w:t>
      </w:r>
    </w:p>
    <w:p>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pacing w:val="0"/>
          <w:kern w:val="0"/>
          <w:sz w:val="44"/>
          <w:szCs w:val="44"/>
        </w:rPr>
      </w:pPr>
      <w:r>
        <w:rPr>
          <w:rFonts w:hint="eastAsia" w:ascii="方正小标宋简体" w:hAnsi="方正小标宋简体" w:eastAsia="方正小标宋简体" w:cs="方正小标宋简体"/>
          <w:b w:val="0"/>
          <w:bCs/>
          <w:spacing w:val="0"/>
          <w:kern w:val="0"/>
          <w:sz w:val="44"/>
          <w:szCs w:val="44"/>
          <w:lang w:val="en-US" w:eastAsia="zh-CN" w:bidi="ar"/>
        </w:rPr>
        <w:t>统计表</w:t>
      </w:r>
    </w:p>
    <w:p>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left"/>
        <w:textAlignment w:val="auto"/>
        <w:rPr>
          <w:rFonts w:hint="eastAsia" w:ascii="仿宋_GB2312" w:hAnsi="宋体" w:eastAsia="仿宋_GB2312" w:cs="宋体"/>
          <w:spacing w:val="0"/>
          <w:kern w:val="0"/>
          <w:sz w:val="32"/>
          <w:szCs w:val="32"/>
        </w:rPr>
      </w:pPr>
      <w:r>
        <w:rPr>
          <w:rFonts w:hint="eastAsia" w:ascii="仿宋_GB2312" w:hAnsi="宋体" w:eastAsia="仿宋_GB2312" w:cs="宋体"/>
          <w:spacing w:val="0"/>
          <w:kern w:val="0"/>
          <w:sz w:val="32"/>
          <w:szCs w:val="32"/>
          <w:lang w:val="en-US" w:eastAsia="zh-CN" w:bidi="ar"/>
        </w:rPr>
        <w:t xml:space="preserve"> </w:t>
      </w:r>
    </w:p>
    <w:p>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jc w:val="left"/>
        <w:textAlignment w:val="auto"/>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val="en-US" w:eastAsia="zh-CN" w:bidi="ar"/>
        </w:rPr>
        <w:t>单位：</w:t>
      </w:r>
    </w:p>
    <w:tbl>
      <w:tblPr>
        <w:tblStyle w:val="10"/>
        <w:tblW w:w="9158"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4"/>
        <w:gridCol w:w="5403"/>
        <w:gridCol w:w="2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5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序号</w:t>
            </w:r>
          </w:p>
        </w:tc>
        <w:tc>
          <w:tcPr>
            <w:tcW w:w="540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形式（次数/人数）</w:t>
            </w:r>
          </w:p>
        </w:tc>
        <w:tc>
          <w:tcPr>
            <w:tcW w:w="2701" w:type="dxa"/>
            <w:tcBorders>
              <w:top w:val="single" w:color="auto" w:sz="6" w:space="0"/>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1054"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w:t>
            </w:r>
          </w:p>
        </w:tc>
        <w:tc>
          <w:tcPr>
            <w:tcW w:w="5403"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widowControl/>
              <w:suppressLineNumbers w:val="0"/>
              <w:spacing w:before="0" w:beforeAutospacing="0" w:after="0" w:afterAutospacing="0" w:line="500" w:lineRule="exact"/>
              <w:ind w:left="0" w:leftChars="0" w:right="0" w:rightChars="0"/>
              <w:jc w:val="left"/>
              <w:rPr>
                <w:rFonts w:hint="eastAsia" w:ascii="仿宋_GB2312" w:hAnsi="Times New Roman"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
              </w:rPr>
              <w:t>开展主题宣讲活动次数</w:t>
            </w:r>
          </w:p>
        </w:tc>
        <w:tc>
          <w:tcPr>
            <w:tcW w:w="2701" w:type="dxa"/>
            <w:tcBorders>
              <w:top w:val="nil"/>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outlineLvl w:val="9"/>
              <w:rPr>
                <w:rFonts w:hint="eastAsia" w:ascii="宋体" w:hAnsi="宋体" w:eastAsia="宋体" w:cs="宋体"/>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1054"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w:t>
            </w:r>
          </w:p>
        </w:tc>
        <w:tc>
          <w:tcPr>
            <w:tcW w:w="5403"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widowControl/>
              <w:suppressLineNumbers w:val="0"/>
              <w:spacing w:before="0" w:beforeAutospacing="0" w:after="0" w:afterAutospacing="0" w:line="500" w:lineRule="exact"/>
              <w:ind w:left="0" w:leftChars="0" w:right="0" w:rightChars="0"/>
              <w:jc w:val="left"/>
              <w:rPr>
                <w:rFonts w:hint="eastAsia" w:ascii="仿宋_GB2312" w:hAnsi="Times New Roman"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
              </w:rPr>
              <w:t>印发宣传材料份数</w:t>
            </w:r>
          </w:p>
        </w:tc>
        <w:tc>
          <w:tcPr>
            <w:tcW w:w="2701" w:type="dxa"/>
            <w:tcBorders>
              <w:top w:val="nil"/>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outlineLvl w:val="9"/>
              <w:rPr>
                <w:rFonts w:hint="eastAsia" w:ascii="Times New Roman" w:hAnsi="Times New Roman" w:eastAsia="宋体" w:cs="Times New Roman"/>
                <w:kern w:val="0"/>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54"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3</w:t>
            </w:r>
          </w:p>
        </w:tc>
        <w:tc>
          <w:tcPr>
            <w:tcW w:w="5403"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widowControl/>
              <w:suppressLineNumbers w:val="0"/>
              <w:spacing w:before="0" w:beforeAutospacing="0" w:after="0" w:afterAutospacing="0" w:line="500" w:lineRule="exact"/>
              <w:ind w:left="0" w:leftChars="0" w:right="0" w:rightChars="0"/>
              <w:jc w:val="left"/>
              <w:rPr>
                <w:rFonts w:hint="eastAsia" w:ascii="仿宋_GB2312" w:hAnsi="Times New Roman"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
              </w:rPr>
              <w:t>制作宣传视频份数</w:t>
            </w:r>
          </w:p>
        </w:tc>
        <w:tc>
          <w:tcPr>
            <w:tcW w:w="2701" w:type="dxa"/>
            <w:tcBorders>
              <w:top w:val="nil"/>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outlineLvl w:val="9"/>
              <w:rPr>
                <w:rFonts w:hint="eastAsia" w:ascii="Times New Roman" w:hAnsi="Times New Roman" w:eastAsia="宋体" w:cs="Times New Roman"/>
                <w:kern w:val="0"/>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54"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4</w:t>
            </w:r>
          </w:p>
        </w:tc>
        <w:tc>
          <w:tcPr>
            <w:tcW w:w="5403"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widowControl/>
              <w:suppressLineNumbers w:val="0"/>
              <w:spacing w:before="0" w:beforeAutospacing="0" w:after="0" w:afterAutospacing="0" w:line="500" w:lineRule="exact"/>
              <w:ind w:left="0" w:leftChars="0" w:right="0" w:rightChars="0"/>
              <w:jc w:val="left"/>
              <w:rPr>
                <w:rFonts w:hint="default" w:ascii="仿宋_GB2312" w:hAnsi="Times New Roman"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
              </w:rPr>
              <w:t>出动宣传人员数</w:t>
            </w:r>
          </w:p>
        </w:tc>
        <w:tc>
          <w:tcPr>
            <w:tcW w:w="2701" w:type="dxa"/>
            <w:tcBorders>
              <w:top w:val="nil"/>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outlineLvl w:val="9"/>
              <w:rPr>
                <w:rFonts w:hint="eastAsia" w:ascii="Times New Roman" w:hAnsi="Times New Roman" w:eastAsia="宋体" w:cs="Times New Roman"/>
                <w:kern w:val="0"/>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54"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w:t>
            </w:r>
          </w:p>
        </w:tc>
        <w:tc>
          <w:tcPr>
            <w:tcW w:w="5403" w:type="dxa"/>
            <w:tcBorders>
              <w:top w:val="nil"/>
              <w:left w:val="single" w:color="auto" w:sz="6" w:space="0"/>
              <w:bottom w:val="single" w:color="auto" w:sz="6" w:space="0"/>
              <w:right w:val="single" w:color="auto" w:sz="6" w:space="0"/>
            </w:tcBorders>
            <w:tcMar>
              <w:left w:w="105" w:type="dxa"/>
              <w:right w:w="105" w:type="dxa"/>
            </w:tcMar>
            <w:vAlign w:val="center"/>
          </w:tcPr>
          <w:p>
            <w:pPr>
              <w:keepNext w:val="0"/>
              <w:keepLines w:val="0"/>
              <w:widowControl/>
              <w:suppressLineNumbers w:val="0"/>
              <w:spacing w:before="0" w:beforeAutospacing="0" w:after="0" w:afterAutospacing="0" w:line="500" w:lineRule="exact"/>
              <w:ind w:left="0" w:leftChars="0" w:right="0" w:rightChars="0"/>
              <w:jc w:val="left"/>
              <w:rPr>
                <w:rFonts w:hint="eastAsia" w:ascii="仿宋_GB2312" w:hAnsi="Times New Roman"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
              </w:rPr>
              <w:t>宣传受众人数</w:t>
            </w:r>
          </w:p>
        </w:tc>
        <w:tc>
          <w:tcPr>
            <w:tcW w:w="2701" w:type="dxa"/>
            <w:tcBorders>
              <w:top w:val="nil"/>
              <w:left w:val="nil"/>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outlineLvl w:val="9"/>
              <w:rPr>
                <w:rFonts w:hint="eastAsia" w:ascii="Times New Roman" w:hAnsi="Times New Roman" w:eastAsia="宋体" w:cs="Times New Roman"/>
                <w:kern w:val="0"/>
                <w:sz w:val="32"/>
                <w:szCs w:val="32"/>
                <w:lang w:val="en-US" w:eastAsia="zh-CN" w:bidi="ar-SA"/>
              </w:rPr>
            </w:pPr>
          </w:p>
        </w:tc>
      </w:tr>
    </w:tbl>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填表人：                         联系手机：</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pStyle w:val="4"/>
        <w:rPr>
          <w:rFonts w:hint="eastAsia"/>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（单位盖章）</w:t>
      </w:r>
    </w:p>
    <w:p>
      <w:pPr>
        <w:pStyle w:val="4"/>
        <w:pageBreakBefore w:val="0"/>
        <w:widowControl w:val="0"/>
        <w:kinsoku/>
        <w:wordWrap/>
        <w:overflowPunct/>
        <w:topLinePunct w:val="0"/>
        <w:autoSpaceDE w:val="0"/>
        <w:autoSpaceDN/>
        <w:bidi w:val="0"/>
        <w:spacing w:line="560" w:lineRule="exact"/>
        <w:ind w:firstLine="5440" w:firstLineChars="17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w:t>
      </w:r>
      <w:r>
        <w:rPr>
          <w:rFonts w:hint="eastAsia" w:ascii="仿宋_GB2312" w:cs="仿宋_GB2312"/>
          <w:kern w:val="2"/>
          <w:sz w:val="32"/>
          <w:szCs w:val="32"/>
          <w:lang w:val="en-US" w:eastAsia="zh-CN" w:bidi="ar"/>
        </w:rPr>
        <w:t>4</w:t>
      </w:r>
      <w:r>
        <w:rPr>
          <w:rFonts w:hint="eastAsia" w:ascii="仿宋_GB2312" w:hAnsi="Calibri" w:eastAsia="仿宋_GB2312" w:cs="仿宋_GB2312"/>
          <w:kern w:val="2"/>
          <w:sz w:val="32"/>
          <w:szCs w:val="32"/>
          <w:lang w:val="en-US" w:eastAsia="zh-CN" w:bidi="ar"/>
        </w:rPr>
        <w:t>年  月  日</w:t>
      </w:r>
    </w:p>
    <w:p>
      <w:pPr>
        <w:pStyle w:val="4"/>
        <w:widowControl w:val="0"/>
        <w:autoSpaceDE w:val="0"/>
        <w:spacing w:line="560" w:lineRule="exact"/>
        <w:ind w:firstLine="0" w:firstLineChars="0"/>
        <w:rPr>
          <w:rFonts w:hint="eastAsia" w:ascii="黑体" w:hAnsi="宋体" w:eastAsia="黑体" w:cs="黑体"/>
          <w:kern w:val="2"/>
          <w:sz w:val="32"/>
          <w:szCs w:val="32"/>
          <w:lang w:val="en-US" w:eastAsia="zh-CN" w:bidi="ar"/>
        </w:rPr>
      </w:pPr>
    </w:p>
    <w:p>
      <w:pPr>
        <w:pStyle w:val="4"/>
        <w:widowControl w:val="0"/>
        <w:autoSpaceDE w:val="0"/>
        <w:spacing w:line="560" w:lineRule="exact"/>
        <w:ind w:firstLine="0" w:firstLineChars="0"/>
        <w:rPr>
          <w:rFonts w:hint="eastAsia" w:ascii="黑体" w:hAnsi="宋体" w:eastAsia="黑体" w:cs="黑体"/>
          <w:kern w:val="2"/>
          <w:sz w:val="32"/>
          <w:szCs w:val="32"/>
          <w:lang w:val="en-US" w:eastAsia="zh-CN" w:bidi="ar"/>
        </w:rPr>
      </w:pPr>
    </w:p>
    <w:p>
      <w:pPr>
        <w:pStyle w:val="4"/>
        <w:widowControl w:val="0"/>
        <w:autoSpaceDE w:val="0"/>
        <w:spacing w:line="560" w:lineRule="exact"/>
        <w:ind w:firstLine="0" w:firstLineChars="0"/>
        <w:rPr>
          <w:rFonts w:hint="eastAsia" w:ascii="黑体" w:hAnsi="宋体" w:eastAsia="黑体" w:cs="黑体"/>
          <w:kern w:val="2"/>
          <w:sz w:val="32"/>
          <w:szCs w:val="32"/>
          <w:lang w:val="en-US" w:eastAsia="zh-CN" w:bidi="ar"/>
        </w:rPr>
      </w:pPr>
    </w:p>
    <w:p>
      <w:pPr>
        <w:pStyle w:val="4"/>
        <w:widowControl w:val="0"/>
        <w:autoSpaceDE w:val="0"/>
        <w:spacing w:line="560" w:lineRule="exact"/>
        <w:ind w:firstLine="0" w:firstLineChars="0"/>
        <w:rPr>
          <w:rFonts w:hint="eastAsia" w:ascii="黑体" w:hAnsi="宋体" w:eastAsia="黑体" w:cs="黑体"/>
          <w:kern w:val="2"/>
          <w:sz w:val="32"/>
          <w:szCs w:val="32"/>
          <w:lang w:val="en-US" w:eastAsia="zh-CN" w:bidi="ar"/>
        </w:rPr>
      </w:pPr>
    </w:p>
    <w:p>
      <w:pPr>
        <w:pStyle w:val="4"/>
        <w:widowControl w:val="0"/>
        <w:autoSpaceDE w:val="0"/>
        <w:spacing w:line="560" w:lineRule="exact"/>
        <w:ind w:firstLine="0" w:firstLineChars="0"/>
        <w:rPr>
          <w:rFonts w:hint="eastAsia" w:ascii="黑体" w:hAnsi="宋体" w:eastAsia="黑体" w:cs="黑体"/>
          <w:kern w:val="2"/>
          <w:sz w:val="32"/>
          <w:szCs w:val="32"/>
          <w:lang w:val="en-US" w:eastAsia="zh-CN" w:bidi="ar"/>
        </w:rPr>
      </w:pPr>
    </w:p>
    <w:p>
      <w:pP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br w:type="page"/>
      </w:r>
    </w:p>
    <w:p>
      <w:pPr>
        <w:pStyle w:val="4"/>
        <w:widowControl w:val="0"/>
        <w:autoSpaceDE w:val="0"/>
        <w:spacing w:line="560" w:lineRule="exact"/>
        <w:ind w:firstLine="0" w:firstLineChars="0"/>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附件3</w:t>
      </w:r>
    </w:p>
    <w:p>
      <w:pPr>
        <w:pStyle w:val="4"/>
        <w:pageBreakBefore w:val="0"/>
        <w:widowControl w:val="0"/>
        <w:kinsoku/>
        <w:wordWrap/>
        <w:overflowPunct/>
        <w:topLinePunct w:val="0"/>
        <w:autoSpaceDE w:val="0"/>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4"/>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
        </w:rPr>
      </w:pPr>
      <w:r>
        <w:rPr>
          <w:rFonts w:hint="eastAsia" w:ascii="方正小标宋简体" w:hAnsi="方正小标宋简体" w:eastAsia="方正小标宋简体" w:cs="方正小标宋简体"/>
          <w:b w:val="0"/>
          <w:bCs/>
          <w:spacing w:val="0"/>
          <w:kern w:val="0"/>
          <w:sz w:val="44"/>
          <w:szCs w:val="44"/>
          <w:lang w:val="en-US" w:eastAsia="zh-CN" w:bidi="ar"/>
        </w:rPr>
        <w:t>2024年《职业病防治法》宣传周海报</w:t>
      </w:r>
    </w:p>
    <w:p>
      <w:pPr>
        <w:pStyle w:val="4"/>
        <w:pageBreakBefore w:val="0"/>
        <w:widowControl w:val="0"/>
        <w:kinsoku/>
        <w:wordWrap/>
        <w:overflowPunct/>
        <w:topLinePunct w:val="0"/>
        <w:autoSpaceDE w:val="0"/>
        <w:autoSpaceDN/>
        <w:bidi w:val="0"/>
        <w:spacing w:line="560" w:lineRule="exact"/>
        <w:ind w:left="0" w:leftChars="0" w:firstLine="0" w:firstLineChars="0"/>
        <w:jc w:val="both"/>
        <w:textAlignment w:val="auto"/>
        <w:rPr>
          <w:rFonts w:hint="eastAsia" w:ascii="方正小标宋简体" w:hAnsi="方正小标宋简体" w:eastAsia="方正小标宋简体" w:cs="方正小标宋简体"/>
          <w:b w:val="0"/>
          <w:bCs/>
          <w:spacing w:val="0"/>
          <w:kern w:val="0"/>
          <w:sz w:val="44"/>
          <w:szCs w:val="44"/>
          <w:lang w:val="en-US" w:eastAsia="zh-CN" w:bidi="ar"/>
        </w:rPr>
      </w:pPr>
    </w:p>
    <w:p>
      <w:pPr>
        <w:pStyle w:val="4"/>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
        </w:rPr>
      </w:pPr>
    </w:p>
    <w:p>
      <w:pPr>
        <w:pStyle w:val="4"/>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
        </w:rPr>
      </w:pPr>
      <w:r>
        <w:rPr>
          <w:rFonts w:hint="eastAsia"/>
          <w:lang w:val="en-US" w:eastAsia="zh-CN"/>
        </w:rPr>
        <w:drawing>
          <wp:anchor distT="0" distB="0" distL="114300" distR="114300" simplePos="0" relativeHeight="251659264" behindDoc="0" locked="0" layoutInCell="1" allowOverlap="1">
            <wp:simplePos x="0" y="0"/>
            <wp:positionH relativeFrom="column">
              <wp:posOffset>1279525</wp:posOffset>
            </wp:positionH>
            <wp:positionV relativeFrom="paragraph">
              <wp:posOffset>49530</wp:posOffset>
            </wp:positionV>
            <wp:extent cx="3044190" cy="4568190"/>
            <wp:effectExtent l="0" t="0" r="3810" b="3810"/>
            <wp:wrapTopAndBottom/>
            <wp:docPr id="2" name="图片 2" descr="附件3.2024年《职业病防治法》宣传周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3.2024年《职业病防治法》宣传周海报"/>
                    <pic:cNvPicPr>
                      <a:picLocks noChangeAspect="1"/>
                    </pic:cNvPicPr>
                  </pic:nvPicPr>
                  <pic:blipFill>
                    <a:blip r:embed="rId6"/>
                    <a:stretch>
                      <a:fillRect/>
                    </a:stretch>
                  </pic:blipFill>
                  <pic:spPr>
                    <a:xfrm>
                      <a:off x="0" y="0"/>
                      <a:ext cx="3044190" cy="4568190"/>
                    </a:xfrm>
                    <a:prstGeom prst="rect">
                      <a:avLst/>
                    </a:prstGeom>
                  </pic:spPr>
                </pic:pic>
              </a:graphicData>
            </a:graphic>
          </wp:anchor>
        </w:drawing>
      </w:r>
    </w:p>
    <w:p>
      <w:pPr>
        <w:pStyle w:val="4"/>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
        </w:rPr>
      </w:pPr>
    </w:p>
    <w:p>
      <w:pPr>
        <w:pStyle w:val="4"/>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lang w:val="en-US" w:eastAsia="zh-CN"/>
        </w:rPr>
      </w:pPr>
    </w:p>
    <w:sectPr>
      <w:headerReference r:id="rId3" w:type="default"/>
      <w:footerReference r:id="rId4" w:type="default"/>
      <w:pgSz w:w="11906" w:h="16838"/>
      <w:pgMar w:top="1701" w:right="1417" w:bottom="1417" w:left="1701" w:header="851" w:footer="992"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DJkZDliODMxNzFmMTZjNzUxNDk3OTgxOWMzZjQifQ=="/>
  </w:docVars>
  <w:rsids>
    <w:rsidRoot w:val="00DF1A20"/>
    <w:rsid w:val="0000199F"/>
    <w:rsid w:val="000350E2"/>
    <w:rsid w:val="0005274B"/>
    <w:rsid w:val="000577FF"/>
    <w:rsid w:val="00057A1F"/>
    <w:rsid w:val="000615D2"/>
    <w:rsid w:val="00081F33"/>
    <w:rsid w:val="00094CE7"/>
    <w:rsid w:val="00097621"/>
    <w:rsid w:val="000E116D"/>
    <w:rsid w:val="00126CD3"/>
    <w:rsid w:val="00126D6C"/>
    <w:rsid w:val="00144BE3"/>
    <w:rsid w:val="001A24D6"/>
    <w:rsid w:val="001C63B1"/>
    <w:rsid w:val="001C6AFC"/>
    <w:rsid w:val="001D588A"/>
    <w:rsid w:val="001D7ADB"/>
    <w:rsid w:val="001E5998"/>
    <w:rsid w:val="002074D3"/>
    <w:rsid w:val="00216748"/>
    <w:rsid w:val="00220A35"/>
    <w:rsid w:val="00224ABC"/>
    <w:rsid w:val="00245F71"/>
    <w:rsid w:val="002516E7"/>
    <w:rsid w:val="00253436"/>
    <w:rsid w:val="00272DBA"/>
    <w:rsid w:val="002A04D0"/>
    <w:rsid w:val="002D3BFC"/>
    <w:rsid w:val="002E1F8A"/>
    <w:rsid w:val="002F2BB3"/>
    <w:rsid w:val="002F3D59"/>
    <w:rsid w:val="0030247A"/>
    <w:rsid w:val="00346ABA"/>
    <w:rsid w:val="00370B15"/>
    <w:rsid w:val="003807C1"/>
    <w:rsid w:val="00380AE6"/>
    <w:rsid w:val="003918F2"/>
    <w:rsid w:val="003921F1"/>
    <w:rsid w:val="0039717F"/>
    <w:rsid w:val="00397775"/>
    <w:rsid w:val="003A024B"/>
    <w:rsid w:val="003D18ED"/>
    <w:rsid w:val="004127DE"/>
    <w:rsid w:val="00422411"/>
    <w:rsid w:val="004251E6"/>
    <w:rsid w:val="00435C8D"/>
    <w:rsid w:val="00473471"/>
    <w:rsid w:val="004A122D"/>
    <w:rsid w:val="004B7B0A"/>
    <w:rsid w:val="004E1242"/>
    <w:rsid w:val="004E1572"/>
    <w:rsid w:val="00531F92"/>
    <w:rsid w:val="00541439"/>
    <w:rsid w:val="005C331F"/>
    <w:rsid w:val="005C5F96"/>
    <w:rsid w:val="005C779C"/>
    <w:rsid w:val="005D0D4B"/>
    <w:rsid w:val="005D23A5"/>
    <w:rsid w:val="005F62E4"/>
    <w:rsid w:val="0060357D"/>
    <w:rsid w:val="00617C43"/>
    <w:rsid w:val="00633DBB"/>
    <w:rsid w:val="00634310"/>
    <w:rsid w:val="00650DD4"/>
    <w:rsid w:val="00670349"/>
    <w:rsid w:val="00681531"/>
    <w:rsid w:val="006E0EE1"/>
    <w:rsid w:val="007234C5"/>
    <w:rsid w:val="0072608A"/>
    <w:rsid w:val="007323A7"/>
    <w:rsid w:val="0076764F"/>
    <w:rsid w:val="00794919"/>
    <w:rsid w:val="007B2A5E"/>
    <w:rsid w:val="007B36FD"/>
    <w:rsid w:val="007C4E8F"/>
    <w:rsid w:val="007D2810"/>
    <w:rsid w:val="007E4EC3"/>
    <w:rsid w:val="00826ECC"/>
    <w:rsid w:val="00832C72"/>
    <w:rsid w:val="00856130"/>
    <w:rsid w:val="00856750"/>
    <w:rsid w:val="0087603C"/>
    <w:rsid w:val="0088418E"/>
    <w:rsid w:val="00884B36"/>
    <w:rsid w:val="008B1859"/>
    <w:rsid w:val="008B316C"/>
    <w:rsid w:val="008E606B"/>
    <w:rsid w:val="008F5A3D"/>
    <w:rsid w:val="00917491"/>
    <w:rsid w:val="00931601"/>
    <w:rsid w:val="009610A9"/>
    <w:rsid w:val="00994EE5"/>
    <w:rsid w:val="009B166F"/>
    <w:rsid w:val="009D676B"/>
    <w:rsid w:val="009E0CF2"/>
    <w:rsid w:val="00A059FB"/>
    <w:rsid w:val="00A149BA"/>
    <w:rsid w:val="00A208AE"/>
    <w:rsid w:val="00A33AB1"/>
    <w:rsid w:val="00A34D1B"/>
    <w:rsid w:val="00A94DD7"/>
    <w:rsid w:val="00A97E61"/>
    <w:rsid w:val="00AE3E6E"/>
    <w:rsid w:val="00B03739"/>
    <w:rsid w:val="00B0487A"/>
    <w:rsid w:val="00B372DE"/>
    <w:rsid w:val="00B4083E"/>
    <w:rsid w:val="00B53C9F"/>
    <w:rsid w:val="00B81995"/>
    <w:rsid w:val="00BA7713"/>
    <w:rsid w:val="00BB6626"/>
    <w:rsid w:val="00BE7101"/>
    <w:rsid w:val="00BF231E"/>
    <w:rsid w:val="00BF5E4C"/>
    <w:rsid w:val="00C02B10"/>
    <w:rsid w:val="00C26117"/>
    <w:rsid w:val="00C302DE"/>
    <w:rsid w:val="00C34946"/>
    <w:rsid w:val="00C420D5"/>
    <w:rsid w:val="00C60AA4"/>
    <w:rsid w:val="00D33273"/>
    <w:rsid w:val="00D3345C"/>
    <w:rsid w:val="00D539E8"/>
    <w:rsid w:val="00D826DC"/>
    <w:rsid w:val="00DD3921"/>
    <w:rsid w:val="00DF1A20"/>
    <w:rsid w:val="00DF336C"/>
    <w:rsid w:val="00E03EBF"/>
    <w:rsid w:val="00E22B46"/>
    <w:rsid w:val="00E25D8B"/>
    <w:rsid w:val="00E574CB"/>
    <w:rsid w:val="00E81E94"/>
    <w:rsid w:val="00E875CF"/>
    <w:rsid w:val="00E950F5"/>
    <w:rsid w:val="00ED39D4"/>
    <w:rsid w:val="00EF7B37"/>
    <w:rsid w:val="00F159EF"/>
    <w:rsid w:val="00F1621D"/>
    <w:rsid w:val="00F43FD4"/>
    <w:rsid w:val="00F7195D"/>
    <w:rsid w:val="00F7561E"/>
    <w:rsid w:val="00F75AF1"/>
    <w:rsid w:val="00F9467B"/>
    <w:rsid w:val="00FD5653"/>
    <w:rsid w:val="00FE6193"/>
    <w:rsid w:val="015408C4"/>
    <w:rsid w:val="044B1B39"/>
    <w:rsid w:val="044E1223"/>
    <w:rsid w:val="04CE1293"/>
    <w:rsid w:val="053E6CB1"/>
    <w:rsid w:val="05444497"/>
    <w:rsid w:val="07B50006"/>
    <w:rsid w:val="081744F8"/>
    <w:rsid w:val="08D1306E"/>
    <w:rsid w:val="095244E5"/>
    <w:rsid w:val="09BC7F1D"/>
    <w:rsid w:val="0AE818C1"/>
    <w:rsid w:val="0B81618D"/>
    <w:rsid w:val="0BC96675"/>
    <w:rsid w:val="0C0A0765"/>
    <w:rsid w:val="0C423957"/>
    <w:rsid w:val="16F73A06"/>
    <w:rsid w:val="19BF1E22"/>
    <w:rsid w:val="1A0E6F51"/>
    <w:rsid w:val="1C2C3DB5"/>
    <w:rsid w:val="1CAD147E"/>
    <w:rsid w:val="1CC24E54"/>
    <w:rsid w:val="1E63529F"/>
    <w:rsid w:val="1EFE6B6A"/>
    <w:rsid w:val="20136B65"/>
    <w:rsid w:val="20AF2F37"/>
    <w:rsid w:val="20E879FE"/>
    <w:rsid w:val="21CF1D61"/>
    <w:rsid w:val="22105FB5"/>
    <w:rsid w:val="228D7EF8"/>
    <w:rsid w:val="25B75C2F"/>
    <w:rsid w:val="261A7018"/>
    <w:rsid w:val="2B66571D"/>
    <w:rsid w:val="2C561C38"/>
    <w:rsid w:val="2D86725E"/>
    <w:rsid w:val="2E3C157D"/>
    <w:rsid w:val="2E663D0F"/>
    <w:rsid w:val="2E6F6146"/>
    <w:rsid w:val="2FFFD268"/>
    <w:rsid w:val="3045448E"/>
    <w:rsid w:val="30671D9C"/>
    <w:rsid w:val="31207BC4"/>
    <w:rsid w:val="32EC1057"/>
    <w:rsid w:val="32FC335E"/>
    <w:rsid w:val="3371014D"/>
    <w:rsid w:val="33E22686"/>
    <w:rsid w:val="35345BED"/>
    <w:rsid w:val="354C664A"/>
    <w:rsid w:val="366C50D5"/>
    <w:rsid w:val="36FC28AC"/>
    <w:rsid w:val="38CA5F7A"/>
    <w:rsid w:val="38D60474"/>
    <w:rsid w:val="3A8A1396"/>
    <w:rsid w:val="3BD04D53"/>
    <w:rsid w:val="3C476D95"/>
    <w:rsid w:val="3CE93CB8"/>
    <w:rsid w:val="3F354E33"/>
    <w:rsid w:val="3FFE9935"/>
    <w:rsid w:val="426F5288"/>
    <w:rsid w:val="42AC112E"/>
    <w:rsid w:val="454930BC"/>
    <w:rsid w:val="48622538"/>
    <w:rsid w:val="4E415A6D"/>
    <w:rsid w:val="4E9742B4"/>
    <w:rsid w:val="4F2555C5"/>
    <w:rsid w:val="501209BD"/>
    <w:rsid w:val="5198645A"/>
    <w:rsid w:val="51AF74C1"/>
    <w:rsid w:val="521320C3"/>
    <w:rsid w:val="539F5872"/>
    <w:rsid w:val="54537C2E"/>
    <w:rsid w:val="560617CE"/>
    <w:rsid w:val="577F970C"/>
    <w:rsid w:val="59390AA9"/>
    <w:rsid w:val="599C3704"/>
    <w:rsid w:val="5A9B1A01"/>
    <w:rsid w:val="5B872F25"/>
    <w:rsid w:val="5BB60AE1"/>
    <w:rsid w:val="5DA54DC0"/>
    <w:rsid w:val="5DB6110B"/>
    <w:rsid w:val="5E663310"/>
    <w:rsid w:val="5FFE6A9E"/>
    <w:rsid w:val="60716E98"/>
    <w:rsid w:val="61954F25"/>
    <w:rsid w:val="61F744D2"/>
    <w:rsid w:val="6284355B"/>
    <w:rsid w:val="64F1EFE9"/>
    <w:rsid w:val="65AE3F2A"/>
    <w:rsid w:val="6655229B"/>
    <w:rsid w:val="67775FDA"/>
    <w:rsid w:val="69820813"/>
    <w:rsid w:val="6E097E9E"/>
    <w:rsid w:val="6E986ECC"/>
    <w:rsid w:val="6F055B7E"/>
    <w:rsid w:val="6FDA2617"/>
    <w:rsid w:val="70D97F1F"/>
    <w:rsid w:val="728677E9"/>
    <w:rsid w:val="72A85AE6"/>
    <w:rsid w:val="74936837"/>
    <w:rsid w:val="75125BB4"/>
    <w:rsid w:val="76775DB1"/>
    <w:rsid w:val="7866868D"/>
    <w:rsid w:val="7C885F20"/>
    <w:rsid w:val="7EEFA93F"/>
    <w:rsid w:val="7F0D1B15"/>
    <w:rsid w:val="7FD4E11C"/>
    <w:rsid w:val="7FFF37A4"/>
    <w:rsid w:val="A77FFE96"/>
    <w:rsid w:val="B77B7AEC"/>
    <w:rsid w:val="BB2B211E"/>
    <w:rsid w:val="BBEBFFF3"/>
    <w:rsid w:val="DDDB8CEA"/>
    <w:rsid w:val="DF4E4B86"/>
    <w:rsid w:val="E8BF0695"/>
    <w:rsid w:val="EB997DF8"/>
    <w:rsid w:val="EEFF77AE"/>
    <w:rsid w:val="EF1A442E"/>
    <w:rsid w:val="F17CCEB8"/>
    <w:rsid w:val="F6A7787B"/>
    <w:rsid w:val="F71F2217"/>
    <w:rsid w:val="FAF7C233"/>
    <w:rsid w:val="FECD59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300" w:after="200"/>
      <w:contextualSpacing/>
    </w:pPr>
    <w:rPr>
      <w:sz w:val="48"/>
      <w:szCs w:val="48"/>
    </w:rPr>
  </w:style>
  <w:style w:type="paragraph" w:styleId="4">
    <w:name w:val="Normal Indent"/>
    <w:basedOn w:val="1"/>
    <w:qFormat/>
    <w:uiPriority w:val="0"/>
    <w:pPr>
      <w:ind w:firstLine="420" w:firstLineChars="200"/>
    </w:pPr>
    <w:rPr>
      <w:rFonts w:ascii="Calibri" w:hAnsi="Calibri" w:eastAsia="仿宋_GB2312" w:cs="Times New Roman"/>
      <w:sz w:val="32"/>
    </w:rPr>
  </w:style>
  <w:style w:type="paragraph" w:styleId="5">
    <w:name w:val="Body Text"/>
    <w:basedOn w:val="1"/>
    <w:unhideWhenUsed/>
    <w:qFormat/>
    <w:uiPriority w:val="99"/>
    <w:rPr>
      <w:rFonts w:hint="eastAsia"/>
      <w:sz w:val="52"/>
      <w:szCs w:val="24"/>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spacing w:after="57"/>
      <w:ind w:left="283"/>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脚 Char"/>
    <w:basedOn w:val="12"/>
    <w:link w:val="6"/>
    <w:qFormat/>
    <w:uiPriority w:val="99"/>
    <w:rPr>
      <w:kern w:val="2"/>
      <w:sz w:val="18"/>
      <w:szCs w:val="18"/>
    </w:rPr>
  </w:style>
  <w:style w:type="character" w:customStyle="1" w:styleId="15">
    <w:name w:val="页眉 Char"/>
    <w:basedOn w:val="12"/>
    <w:link w:val="7"/>
    <w:qFormat/>
    <w:uiPriority w:val="0"/>
    <w:rPr>
      <w:kern w:val="2"/>
      <w:sz w:val="18"/>
      <w:szCs w:val="18"/>
    </w:rPr>
  </w:style>
  <w:style w:type="paragraph" w:customStyle="1" w:styleId="16">
    <w:name w:val="列出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Pages>
  <Words>2791</Words>
  <Characters>2871</Characters>
  <Lines>9</Lines>
  <Paragraphs>2</Paragraphs>
  <TotalTime>3</TotalTime>
  <ScaleCrop>false</ScaleCrop>
  <LinksUpToDate>false</LinksUpToDate>
  <CharactersWithSpaces>3008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2018-07-03T01:31:00Z</dcterms:created>
  <dc:creator>中科软</dc:creator>
  <cp:lastModifiedBy>张凯莹</cp:lastModifiedBy>
  <cp:lastPrinted>2024-04-19T15:36:00Z</cp:lastPrinted>
  <dcterms:modified xsi:type="dcterms:W3CDTF">2024-04-22T03:09:52Z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EA1848F8C9004C8D82C55307B319D011_13</vt:lpwstr>
  </property>
</Properties>
</file>