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eastAsia="黑体"/>
          <w:color w:val="000000"/>
          <w:sz w:val="32"/>
          <w:szCs w:val="32"/>
        </w:rPr>
      </w:pPr>
      <w:r>
        <w:rPr>
          <w:rFonts w:hint="eastAsia" w:ascii="黑体" w:eastAsia="黑体"/>
          <w:color w:val="000000"/>
          <w:sz w:val="32"/>
          <w:szCs w:val="32"/>
        </w:rPr>
        <w:t>附件1</w:t>
      </w:r>
    </w:p>
    <w:p>
      <w:pPr>
        <w:adjustRightInd w:val="0"/>
        <w:snapToGrid w:val="0"/>
        <w:spacing w:line="560" w:lineRule="exact"/>
        <w:rPr>
          <w:rFonts w:ascii="黑体" w:eastAsia="黑体"/>
          <w:color w:val="000000"/>
          <w:sz w:val="32"/>
          <w:szCs w:val="32"/>
        </w:rPr>
      </w:pPr>
    </w:p>
    <w:p>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2021年原12类基本公共卫生服务项目</w:t>
      </w:r>
    </w:p>
    <w:p>
      <w:pPr>
        <w:adjustRightInd w:val="0"/>
        <w:snapToGrid w:val="0"/>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主要目标任务</w:t>
      </w:r>
    </w:p>
    <w:p>
      <w:pPr>
        <w:adjustRightInd w:val="0"/>
        <w:snapToGrid w:val="0"/>
        <w:spacing w:line="560" w:lineRule="exact"/>
        <w:rPr>
          <w:rFonts w:ascii="方正小标宋简体" w:eastAsia="方正小标宋简体"/>
          <w:color w:val="000000"/>
          <w:sz w:val="44"/>
          <w:szCs w:val="44"/>
        </w:rPr>
      </w:pPr>
    </w:p>
    <w:p>
      <w:pPr>
        <w:adjustRightInd w:val="0"/>
        <w:snapToGrid w:val="0"/>
        <w:spacing w:line="560" w:lineRule="exact"/>
        <w:ind w:firstLine="640" w:firstLineChars="200"/>
        <w:rPr>
          <w:rFonts w:ascii="黑体" w:eastAsia="黑体"/>
          <w:color w:val="000000"/>
          <w:sz w:val="32"/>
          <w:szCs w:val="32"/>
        </w:rPr>
      </w:pPr>
      <w:r>
        <w:rPr>
          <w:rFonts w:hint="eastAsia" w:ascii="黑体" w:eastAsia="黑体"/>
          <w:color w:val="000000"/>
          <w:sz w:val="32"/>
          <w:szCs w:val="32"/>
        </w:rPr>
        <w:t>以县（市、区）为单位：</w:t>
      </w:r>
    </w:p>
    <w:p>
      <w:pPr>
        <w:adjustRightInd w:val="0"/>
        <w:snapToGrid w:val="0"/>
        <w:spacing w:line="560" w:lineRule="exact"/>
        <w:ind w:firstLine="640" w:firstLineChars="200"/>
        <w:rPr>
          <w:rFonts w:ascii="仿宋_GB2312"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olor w:val="000000"/>
          <w:sz w:val="32"/>
          <w:szCs w:val="32"/>
        </w:rPr>
        <w:t>居民规范化电子健康档案覆盖率保持在60%以上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仿宋_GB2312"/>
          <w:color w:val="000000"/>
          <w:sz w:val="32"/>
          <w:szCs w:val="32"/>
        </w:rPr>
        <w:t>各乡镇、街道适龄儿童国家免疫规划疫苗接种率保持在90%以上</w:t>
      </w:r>
    </w:p>
    <w:p>
      <w:pPr>
        <w:adjustRightInd w:val="0"/>
        <w:snapToGrid w:val="0"/>
        <w:spacing w:line="56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7岁以下儿童健康管理率达到90%以上，</w:t>
      </w:r>
      <w:r>
        <w:rPr>
          <w:rFonts w:hint="eastAsia" w:ascii="Times New Roman" w:hAnsi="Times New Roman" w:eastAsia="仿宋_GB2312"/>
          <w:color w:val="000000"/>
          <w:sz w:val="32"/>
          <w:szCs w:val="32"/>
        </w:rPr>
        <w:t>0-6岁儿童眼保健和视力检查覆盖率保持在90%以上</w:t>
      </w:r>
    </w:p>
    <w:p>
      <w:pPr>
        <w:adjustRightInd w:val="0"/>
        <w:snapToGrid w:val="0"/>
        <w:spacing w:line="560" w:lineRule="exact"/>
        <w:ind w:firstLine="640" w:firstLineChars="200"/>
        <w:rPr>
          <w:rFonts w:hint="default" w:ascii="Times New Roman" w:hAnsi="Times New Roman" w:eastAsia="仿宋_GB2312"/>
          <w:color w:val="000000"/>
          <w:sz w:val="32"/>
          <w:szCs w:val="32"/>
          <w:highlight w:val="none"/>
          <w:lang w:val="en-US" w:eastAsia="zh-CN"/>
        </w:rPr>
      </w:pP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3岁以下儿童系统管理率</w:t>
      </w:r>
      <w:r>
        <w:rPr>
          <w:rFonts w:hint="eastAsia" w:ascii="Times New Roman" w:hAnsi="Times New Roman" w:eastAsia="仿宋_GB2312"/>
          <w:color w:val="000000"/>
          <w:sz w:val="32"/>
          <w:szCs w:val="32"/>
          <w:highlight w:val="none"/>
          <w:lang w:eastAsia="zh-CN"/>
        </w:rPr>
        <w:t>达到</w:t>
      </w:r>
      <w:r>
        <w:rPr>
          <w:rFonts w:hint="eastAsia" w:ascii="Times New Roman" w:hAnsi="Times New Roman" w:eastAsia="仿宋_GB2312"/>
          <w:color w:val="000000"/>
          <w:sz w:val="32"/>
          <w:szCs w:val="32"/>
          <w:highlight w:val="none"/>
          <w:lang w:val="en-US" w:eastAsia="zh-CN"/>
        </w:rPr>
        <w:t>80%以上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孕产妇系统管理率达到90%以上</w:t>
      </w:r>
    </w:p>
    <w:p>
      <w:pPr>
        <w:adjustRightInd w:val="0"/>
        <w:snapToGrid w:val="0"/>
        <w:spacing w:line="560" w:lineRule="exact"/>
        <w:ind w:firstLine="640" w:firstLineChars="200"/>
        <w:rPr>
          <w:rFonts w:ascii="仿宋_GB2312" w:eastAsia="仿宋_GB2312"/>
          <w:color w:val="000000"/>
          <w:sz w:val="32"/>
          <w:szCs w:val="32"/>
        </w:rPr>
      </w:pPr>
      <w:r>
        <w:rPr>
          <w:rFonts w:ascii="Times New Roman" w:hAnsi="Times New Roman" w:eastAsia="仿宋_GB2312"/>
          <w:color w:val="000000"/>
          <w:sz w:val="32"/>
          <w:szCs w:val="32"/>
        </w:rPr>
        <w:t>——</w:t>
      </w:r>
      <w:r>
        <w:rPr>
          <w:rFonts w:hint="eastAsia" w:ascii="仿宋_GB2312" w:eastAsia="仿宋_GB2312"/>
          <w:color w:val="000000"/>
          <w:sz w:val="32"/>
          <w:szCs w:val="32"/>
        </w:rPr>
        <w:t>65岁及以上老年人城乡社区规范健康管理服务率达到60%以上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高血压患者基层规范管理服务率达到60%以上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2型糖尿病患者基层规范管理服务率达到60%以上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社区在册居家严重精神障碍患者健康管理率达到80%以上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肺结核患者管理率达到90%以上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老年人、儿童中医药健康管理率分别达到65%以上</w:t>
      </w:r>
    </w:p>
    <w:p>
      <w:pPr>
        <w:adjustRightInd w:val="0"/>
        <w:snapToGrid w:val="0"/>
        <w:spacing w:line="560" w:lineRule="exact"/>
        <w:ind w:firstLine="640" w:firstLineChars="200"/>
        <w:rPr>
          <w:rFonts w:ascii="仿宋_GB2312" w:eastAsia="仿宋_GB2312" w:cs="Arial"/>
          <w:color w:val="000000"/>
          <w:sz w:val="32"/>
          <w:szCs w:val="32"/>
        </w:rPr>
      </w:pPr>
      <w:r>
        <w:rPr>
          <w:rFonts w:ascii="Times New Roman" w:hAnsi="Times New Roman" w:eastAsia="仿宋_GB2312"/>
          <w:color w:val="000000"/>
          <w:sz w:val="32"/>
          <w:szCs w:val="32"/>
        </w:rPr>
        <w:t>——</w:t>
      </w:r>
      <w:r>
        <w:rPr>
          <w:rFonts w:hint="eastAsia" w:ascii="仿宋_GB2312" w:eastAsia="仿宋_GB2312" w:cs="Arial"/>
          <w:color w:val="000000"/>
          <w:sz w:val="32"/>
          <w:szCs w:val="32"/>
        </w:rPr>
        <w:t>传染病和突发公共卫生事件报告率和处置率均达到95%以上</w:t>
      </w:r>
    </w:p>
    <w:p>
      <w:pPr>
        <w:rPr>
          <w:rFonts w:ascii="黑体" w:eastAsia="黑体"/>
          <w:color w:val="000000"/>
          <w:sz w:val="32"/>
          <w:szCs w:val="32"/>
        </w:rPr>
      </w:pPr>
      <w:r>
        <w:rPr>
          <w:rFonts w:ascii="黑体" w:eastAsia="黑体"/>
          <w:color w:val="000000"/>
          <w:sz w:val="32"/>
          <w:szCs w:val="32"/>
        </w:rPr>
        <w:br w:type="page"/>
      </w:r>
    </w:p>
    <w:p>
      <w:pPr>
        <w:adjustRightInd w:val="0"/>
        <w:snapToGrid w:val="0"/>
        <w:spacing w:line="540" w:lineRule="exact"/>
        <w:ind w:left="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adjustRightInd w:val="0"/>
        <w:snapToGrid w:val="0"/>
        <w:spacing w:line="540" w:lineRule="exact"/>
        <w:ind w:left="0"/>
        <w:rPr>
          <w:rFonts w:hint="eastAsia" w:ascii="仿宋_GB2312" w:eastAsia="仿宋_GB2312"/>
          <w:sz w:val="32"/>
          <w:szCs w:val="32"/>
        </w:rPr>
      </w:pPr>
    </w:p>
    <w:p>
      <w:pPr>
        <w:adjustRightInd w:val="0"/>
        <w:snapToGrid w:val="0"/>
        <w:spacing w:line="560" w:lineRule="exact"/>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年各地市高血压和糖尿病患者管理任务</w:t>
      </w:r>
    </w:p>
    <w:p>
      <w:pPr>
        <w:adjustRightInd w:val="0"/>
        <w:snapToGrid w:val="0"/>
        <w:spacing w:line="520" w:lineRule="exact"/>
        <w:jc w:val="center"/>
        <w:rPr>
          <w:rFonts w:hint="eastAsia" w:ascii="方正小标宋简体" w:eastAsia="方正小标宋简体"/>
          <w:sz w:val="44"/>
          <w:szCs w:val="44"/>
        </w:rPr>
      </w:pPr>
    </w:p>
    <w:tbl>
      <w:tblPr>
        <w:tblStyle w:val="5"/>
        <w:tblW w:w="9000" w:type="dxa"/>
        <w:jc w:val="center"/>
        <w:tblLayout w:type="fixed"/>
        <w:tblCellMar>
          <w:top w:w="15" w:type="dxa"/>
          <w:left w:w="15" w:type="dxa"/>
          <w:bottom w:w="15" w:type="dxa"/>
          <w:right w:w="15" w:type="dxa"/>
        </w:tblCellMar>
      </w:tblPr>
      <w:tblGrid>
        <w:gridCol w:w="2598"/>
        <w:gridCol w:w="3276"/>
        <w:gridCol w:w="3126"/>
      </w:tblGrid>
      <w:tr>
        <w:tblPrEx>
          <w:tblCellMar>
            <w:top w:w="15" w:type="dxa"/>
            <w:left w:w="15" w:type="dxa"/>
            <w:bottom w:w="15" w:type="dxa"/>
            <w:right w:w="15" w:type="dxa"/>
          </w:tblCellMar>
        </w:tblPrEx>
        <w:trPr>
          <w:trHeight w:val="554" w:hRule="exact"/>
          <w:jc w:val="center"/>
        </w:trPr>
        <w:tc>
          <w:tcPr>
            <w:tcW w:w="2598" w:type="dxa"/>
            <w:tcBorders>
              <w:top w:val="nil"/>
              <w:left w:val="nil"/>
              <w:bottom w:val="single" w:color="000000" w:sz="4" w:space="0"/>
              <w:right w:val="nil"/>
            </w:tcBorders>
            <w:vAlign w:val="center"/>
          </w:tcPr>
          <w:p>
            <w:pPr>
              <w:widowControl/>
              <w:spacing w:line="520" w:lineRule="exact"/>
              <w:jc w:val="center"/>
              <w:rPr>
                <w:rFonts w:hint="eastAsia" w:ascii="宋体" w:cs="宋体"/>
                <w:b/>
                <w:color w:val="000000"/>
                <w:sz w:val="30"/>
                <w:szCs w:val="30"/>
                <w:lang w:bidi="ar-SA"/>
              </w:rPr>
            </w:pPr>
          </w:p>
        </w:tc>
        <w:tc>
          <w:tcPr>
            <w:tcW w:w="3276" w:type="dxa"/>
            <w:tcBorders>
              <w:top w:val="nil"/>
              <w:left w:val="nil"/>
              <w:bottom w:val="single" w:color="000000" w:sz="4" w:space="0"/>
              <w:right w:val="nil"/>
            </w:tcBorders>
            <w:vAlign w:val="center"/>
          </w:tcPr>
          <w:p>
            <w:pPr>
              <w:widowControl/>
              <w:spacing w:line="520" w:lineRule="exact"/>
              <w:jc w:val="center"/>
              <w:rPr>
                <w:rFonts w:hint="eastAsia" w:ascii="宋体" w:cs="宋体"/>
                <w:b/>
                <w:color w:val="000000"/>
                <w:sz w:val="30"/>
                <w:szCs w:val="30"/>
                <w:lang w:bidi="ar-SA"/>
              </w:rPr>
            </w:pPr>
          </w:p>
        </w:tc>
        <w:tc>
          <w:tcPr>
            <w:tcW w:w="3126" w:type="dxa"/>
            <w:tcBorders>
              <w:top w:val="nil"/>
              <w:left w:val="nil"/>
              <w:bottom w:val="single" w:color="000000" w:sz="4" w:space="0"/>
              <w:right w:val="nil"/>
            </w:tcBorders>
            <w:vAlign w:val="center"/>
          </w:tcPr>
          <w:p>
            <w:pPr>
              <w:widowControl/>
              <w:spacing w:line="520" w:lineRule="exact"/>
              <w:jc w:val="right"/>
              <w:textAlignment w:val="center"/>
              <w:rPr>
                <w:rFonts w:hint="eastAsia" w:ascii="宋体" w:cs="宋体"/>
                <w:color w:val="000000"/>
                <w:sz w:val="30"/>
                <w:szCs w:val="30"/>
                <w:lang w:bidi="ar-SA"/>
              </w:rPr>
            </w:pPr>
            <w:r>
              <w:rPr>
                <w:rFonts w:hint="eastAsia" w:ascii="楷体_GB2312" w:eastAsia="楷体_GB2312" w:cs="楷体_GB2312"/>
                <w:color w:val="000000"/>
                <w:kern w:val="0"/>
                <w:sz w:val="32"/>
                <w:szCs w:val="32"/>
                <w:lang w:bidi="ar-SA"/>
              </w:rPr>
              <w:t>单位：万人</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地区</w:t>
            </w:r>
          </w:p>
        </w:tc>
        <w:tc>
          <w:tcPr>
            <w:tcW w:w="3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高血压</w:t>
            </w:r>
          </w:p>
        </w:tc>
        <w:tc>
          <w:tcPr>
            <w:tcW w:w="3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hint="eastAsia" w:ascii="黑体" w:hAnsi="黑体" w:eastAsia="黑体" w:cs="黑体"/>
                <w:b w:val="0"/>
                <w:bCs/>
                <w:color w:val="000000"/>
                <w:sz w:val="32"/>
                <w:szCs w:val="32"/>
                <w:lang w:bidi="ar-SA"/>
              </w:rPr>
            </w:pPr>
            <w:r>
              <w:rPr>
                <w:rFonts w:hint="eastAsia" w:ascii="黑体" w:hAnsi="黑体" w:eastAsia="黑体" w:cs="黑体"/>
                <w:b w:val="0"/>
                <w:bCs/>
                <w:color w:val="000000"/>
                <w:kern w:val="0"/>
                <w:sz w:val="32"/>
                <w:szCs w:val="32"/>
                <w:lang w:bidi="ar-SA"/>
              </w:rPr>
              <w:t>糖尿病</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b/>
                <w:color w:val="000000"/>
                <w:sz w:val="32"/>
                <w:szCs w:val="32"/>
                <w:lang w:bidi="ar-SA"/>
              </w:rPr>
            </w:pPr>
            <w:r>
              <w:rPr>
                <w:rFonts w:hint="eastAsia" w:ascii="仿宋_GB2312" w:eastAsia="仿宋_GB2312" w:cs="仿宋_GB2312"/>
                <w:b/>
                <w:color w:val="000000"/>
                <w:kern w:val="0"/>
                <w:sz w:val="32"/>
                <w:szCs w:val="32"/>
                <w:lang w:bidi="ar-SA"/>
              </w:rPr>
              <w:t>合计</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b/>
                <w:color w:val="000000"/>
                <w:sz w:val="32"/>
                <w:szCs w:val="32"/>
                <w:lang w:bidi="ar-SA"/>
              </w:rPr>
            </w:pPr>
            <w:r>
              <w:rPr>
                <w:rFonts w:hint="eastAsia" w:ascii="仿宋_GB2312" w:eastAsia="仿宋_GB2312" w:cs="仿宋_GB2312"/>
                <w:b/>
                <w:color w:val="000000"/>
                <w:sz w:val="32"/>
                <w:szCs w:val="32"/>
                <w:lang w:bidi="ar-SA"/>
              </w:rPr>
              <w:t>256</w:t>
            </w:r>
          </w:p>
        </w:tc>
        <w:tc>
          <w:tcPr>
            <w:tcW w:w="312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b/>
                <w:color w:val="000000"/>
                <w:sz w:val="32"/>
                <w:szCs w:val="32"/>
                <w:lang w:bidi="ar-SA"/>
              </w:rPr>
            </w:pPr>
            <w:r>
              <w:rPr>
                <w:rFonts w:hint="eastAsia" w:ascii="仿宋_GB2312" w:eastAsia="仿宋_GB2312" w:cs="仿宋_GB2312"/>
                <w:b/>
                <w:color w:val="000000"/>
                <w:sz w:val="32"/>
                <w:szCs w:val="32"/>
                <w:lang w:bidi="ar-SA"/>
              </w:rPr>
              <w:t>80</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南宁市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37.49</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11.71</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柳州市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20.96</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6.55</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桂林市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26.50</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8.28</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梧州市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15.92</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4.97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北海市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8.72</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2.72</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防城港市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4.93</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1.54</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钦州市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17.19</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5.37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贵港市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22.93</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7.17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玉林市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30.45</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9.52</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百色市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19.11</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5.97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贺州市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10.78</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3.37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河池市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18.47</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5.77</w:t>
            </w:r>
          </w:p>
        </w:tc>
      </w:tr>
      <w:tr>
        <w:tblPrEx>
          <w:tblCellMar>
            <w:top w:w="15" w:type="dxa"/>
            <w:left w:w="15" w:type="dxa"/>
            <w:bottom w:w="15" w:type="dxa"/>
            <w:right w:w="15" w:type="dxa"/>
          </w:tblCellMar>
        </w:tblPrEx>
        <w:trPr>
          <w:trHeight w:val="554"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来宾市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11.63</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3.63</w:t>
            </w:r>
          </w:p>
        </w:tc>
      </w:tr>
      <w:tr>
        <w:tblPrEx>
          <w:tblCellMar>
            <w:top w:w="15" w:type="dxa"/>
            <w:left w:w="15" w:type="dxa"/>
            <w:bottom w:w="15" w:type="dxa"/>
            <w:right w:w="15" w:type="dxa"/>
          </w:tblCellMar>
        </w:tblPrEx>
        <w:trPr>
          <w:trHeight w:val="563" w:hRule="exact"/>
          <w:jc w:val="center"/>
        </w:trPr>
        <w:tc>
          <w:tcPr>
            <w:tcW w:w="25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仿宋_GB2312" w:eastAsia="仿宋_GB2312" w:cs="仿宋_GB2312"/>
                <w:color w:val="000000"/>
                <w:sz w:val="32"/>
                <w:szCs w:val="32"/>
                <w:lang w:bidi="ar-SA"/>
              </w:rPr>
            </w:pPr>
            <w:r>
              <w:rPr>
                <w:rFonts w:hint="eastAsia" w:ascii="仿宋_GB2312" w:eastAsia="仿宋_GB2312" w:cs="仿宋_GB2312"/>
                <w:color w:val="000000"/>
                <w:kern w:val="0"/>
                <w:sz w:val="32"/>
                <w:szCs w:val="32"/>
                <w:lang w:bidi="ar-SA"/>
              </w:rPr>
              <w:t>崇左市</w:t>
            </w:r>
          </w:p>
        </w:tc>
        <w:tc>
          <w:tcPr>
            <w:tcW w:w="327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10.94</w:t>
            </w:r>
          </w:p>
        </w:tc>
        <w:tc>
          <w:tcPr>
            <w:tcW w:w="312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3.42</w:t>
            </w:r>
          </w:p>
        </w:tc>
      </w:tr>
    </w:tbl>
    <w:p>
      <w:pPr>
        <w:rPr>
          <w:rFonts w:hint="eastAsia" w:ascii="黑体" w:eastAsia="黑体"/>
          <w:color w:val="000000"/>
          <w:sz w:val="32"/>
          <w:szCs w:val="32"/>
        </w:rPr>
      </w:pPr>
      <w:r>
        <w:rPr>
          <w:rFonts w:hint="eastAsia" w:ascii="黑体" w:eastAsia="黑体"/>
          <w:color w:val="000000"/>
          <w:sz w:val="32"/>
          <w:szCs w:val="32"/>
        </w:rPr>
        <w:br w:type="page"/>
      </w:r>
    </w:p>
    <w:p>
      <w:pPr>
        <w:adjustRightInd w:val="0"/>
        <w:snapToGrid w:val="0"/>
        <w:spacing w:line="560" w:lineRule="exact"/>
        <w:rPr>
          <w:rFonts w:hint="eastAsia" w:ascii="黑体" w:eastAsia="黑体"/>
          <w:color w:val="000000"/>
          <w:sz w:val="32"/>
          <w:szCs w:val="32"/>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2021年基本公共卫生服务补助资金到位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hAnsi="宋体"/>
          <w:b w:val="0"/>
          <w:bCs/>
          <w:sz w:val="44"/>
          <w:szCs w:val="44"/>
        </w:rPr>
      </w:pPr>
      <w:r>
        <w:rPr>
          <w:rFonts w:hint="eastAsia" w:ascii="方正小标宋简体" w:hAnsi="方正小标宋简体" w:eastAsia="方正小标宋简体" w:cs="方正小标宋简体"/>
          <w:b w:val="0"/>
          <w:bCs/>
          <w:sz w:val="44"/>
          <w:szCs w:val="44"/>
        </w:rPr>
        <w:t>情况统计表</w:t>
      </w:r>
    </w:p>
    <w:p>
      <w:pPr>
        <w:spacing w:line="440" w:lineRule="exact"/>
        <w:rPr>
          <w:rFonts w:ascii="宋体" w:hAnsi="宋体"/>
          <w:b/>
          <w:sz w:val="32"/>
        </w:rPr>
      </w:pPr>
    </w:p>
    <w:tbl>
      <w:tblPr>
        <w:tblStyle w:val="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247"/>
        <w:gridCol w:w="1188"/>
        <w:gridCol w:w="1114"/>
        <w:gridCol w:w="920"/>
        <w:gridCol w:w="740"/>
        <w:gridCol w:w="860"/>
        <w:gridCol w:w="740"/>
        <w:gridCol w:w="820"/>
        <w:gridCol w:w="1220"/>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设区市</w:t>
            </w:r>
          </w:p>
        </w:tc>
        <w:tc>
          <w:tcPr>
            <w:tcW w:w="124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2020年人均基本公共卫生服务补助标准（元，以本地区发文规定的标准为准）</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2021年人均基本公共卫生服务补助标准（元，以本地区发文规定的标准为准）</w:t>
            </w:r>
          </w:p>
        </w:tc>
        <w:tc>
          <w:tcPr>
            <w:tcW w:w="519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2021年预算下达数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（含年初预算安排数和执行中调整预算数，以下达预算指标文件为准）</w:t>
            </w:r>
          </w:p>
        </w:tc>
        <w:tc>
          <w:tcPr>
            <w:tcW w:w="12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2021年资金实际下达数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（万元，含中央资金和地方资金，以国库支出数为准）</w:t>
            </w:r>
          </w:p>
        </w:tc>
        <w:tc>
          <w:tcPr>
            <w:tcW w:w="4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4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w:t>
            </w: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中央财政下达数</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（万元）</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自治区财政下达数（万元）</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地方财政下达数（万元）</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本地区常住人口数（万人）</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2021年人均金额（元）</w:t>
            </w:r>
          </w:p>
        </w:tc>
        <w:tc>
          <w:tcPr>
            <w:tcW w:w="12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49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w:t>
            </w: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D=E+F+G</w:t>
            </w: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F</w:t>
            </w: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I=D/H</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w:t>
            </w:r>
          </w:p>
        </w:tc>
        <w:tc>
          <w:tcPr>
            <w:tcW w:w="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5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8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c>
          <w:tcPr>
            <w:tcW w:w="4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资金拨付日期分别截至2021年9月30日、12月31日，报送截止时间分别为2021年10月8日、次年1月5日。</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rPr>
        <w:t>各地数据以市为单位统一报送。</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3.</w:t>
      </w:r>
      <w:r>
        <w:rPr>
          <w:rFonts w:hint="eastAsia" w:ascii="仿宋_GB2312" w:hAnsi="仿宋_GB2312" w:eastAsia="仿宋_GB2312" w:cs="仿宋_GB2312"/>
          <w:sz w:val="28"/>
        </w:rPr>
        <w:t>资金未按序时进度到位，或在规定时间节点未完全到位的，请在备注栏说明情况。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4.</w:t>
      </w:r>
      <w:r>
        <w:rPr>
          <w:rFonts w:hint="eastAsia" w:ascii="仿宋_GB2312" w:hAnsi="仿宋_GB2312" w:eastAsia="仿宋_GB2312" w:cs="仿宋_GB2312"/>
          <w:sz w:val="28"/>
        </w:rPr>
        <w:t>统计表由各市级财政部门会同卫生健康行政部门汇总后报送，需同时加盖市级卫生健康、财政部门公章。</w:t>
      </w:r>
    </w:p>
    <w:p>
      <w:pPr>
        <w:rPr>
          <w:rFonts w:ascii="仿宋_GB2312" w:eastAsia="仿宋_GB2312"/>
          <w:color w:val="000000"/>
          <w:kern w:val="0"/>
          <w:sz w:val="32"/>
          <w:szCs w:val="32"/>
        </w:rPr>
      </w:pPr>
      <w:r>
        <w:rPr>
          <w:rFonts w:ascii="仿宋_GB2312" w:eastAsia="仿宋_GB2312"/>
          <w:color w:val="000000"/>
          <w:kern w:val="0"/>
          <w:sz w:val="32"/>
          <w:szCs w:val="32"/>
        </w:rPr>
        <w:br w:type="page"/>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附件4</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outlineLvl w:val="9"/>
        <w:rPr>
          <w:sz w:val="44"/>
          <w:szCs w:val="44"/>
        </w:rPr>
      </w:pPr>
      <w:r>
        <w:rPr>
          <w:rFonts w:hint="eastAsia" w:ascii="方正小标宋简体" w:hAnsi="方正小标宋简体" w:eastAsia="方正小标宋简体" w:cs="方正小标宋简体"/>
          <w:color w:val="000000"/>
          <w:kern w:val="0"/>
          <w:sz w:val="44"/>
          <w:szCs w:val="44"/>
          <w:lang w:val="en-US" w:eastAsia="zh-CN" w:bidi="ar"/>
        </w:rPr>
        <w:t>2021年新增绩效指标及解释</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hint="eastAsia" w:ascii="黑体" w:hAnsi="黑体" w:eastAsia="黑体" w:cs="黑体"/>
          <w:color w:val="000000"/>
          <w:kern w:val="0"/>
          <w:sz w:val="32"/>
          <w:szCs w:val="32"/>
          <w:lang w:val="en-US" w:eastAsia="zh-CN" w:bidi="ar"/>
        </w:rPr>
        <w:t>一、2021年新增绩效指标</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（一）居民规范化电子健康档案覆盖率（%）：居民规范</w:t>
      </w:r>
      <w:r>
        <w:rPr>
          <w:rFonts w:hint="eastAsia" w:ascii="仿宋_GB2312" w:hAnsi="宋体" w:eastAsia="仿宋_GB2312" w:cs="仿宋_GB2312"/>
          <w:color w:val="000000"/>
          <w:kern w:val="0"/>
          <w:sz w:val="32"/>
          <w:szCs w:val="32"/>
          <w:lang w:val="en-US" w:eastAsia="zh-CN" w:bidi="ar"/>
        </w:rPr>
        <w:t>化电子健康档案覆盖人数/辖区内常住居民数*100%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（二）65岁及以上老年人城乡社区规范健康管理服</w:t>
      </w:r>
      <w:r>
        <w:rPr>
          <w:rFonts w:hint="eastAsia" w:ascii="仿宋_GB2312" w:hAnsi="宋体" w:eastAsia="仿宋_GB2312" w:cs="仿宋_GB2312"/>
          <w:color w:val="000000"/>
          <w:kern w:val="0"/>
          <w:sz w:val="32"/>
          <w:szCs w:val="32"/>
          <w:lang w:val="en-US" w:eastAsia="zh-CN" w:bidi="ar"/>
        </w:rPr>
        <w:t>务率（%）：65岁及以上老年人城乡社区规范健康管理服务人数/辖区内65岁及以上常住居民数*100%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（三）高血压患者基层规范管理服务率（%）：在基层</w:t>
      </w:r>
      <w:r>
        <w:rPr>
          <w:rFonts w:hint="eastAsia" w:ascii="仿宋_GB2312" w:hAnsi="宋体" w:eastAsia="仿宋_GB2312" w:cs="仿宋_GB2312"/>
          <w:color w:val="000000"/>
          <w:kern w:val="0"/>
          <w:sz w:val="32"/>
          <w:szCs w:val="32"/>
          <w:lang w:val="en-US" w:eastAsia="zh-CN" w:bidi="ar"/>
        </w:rPr>
        <w:t>医疗卫生机构按照规范要求提供高血压患者健康管理服务的人数/年内辖区内已管理的高血压患者人数*100%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（四）2型糖尿病患者基层规范管理服务率（%）：在基</w:t>
      </w:r>
      <w:r>
        <w:rPr>
          <w:rFonts w:hint="eastAsia" w:ascii="仿宋_GB2312" w:hAnsi="宋体" w:eastAsia="仿宋_GB2312" w:cs="仿宋_GB2312"/>
          <w:color w:val="000000"/>
          <w:kern w:val="0"/>
          <w:sz w:val="32"/>
          <w:szCs w:val="32"/>
          <w:lang w:val="en-US" w:eastAsia="zh-CN" w:bidi="ar"/>
        </w:rPr>
        <w:t>层医疗卫生机构按照规范要求提供2型糖尿病患者健康管理服务的人数/年内辖区内已管理的2型糖尿病患者人数*100%</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hint="eastAsia" w:ascii="黑体" w:hAnsi="黑体" w:eastAsia="黑体" w:cs="黑体"/>
          <w:color w:val="000000"/>
          <w:kern w:val="0"/>
          <w:sz w:val="32"/>
          <w:szCs w:val="32"/>
          <w:lang w:val="en-US" w:eastAsia="zh-CN" w:bidi="ar"/>
        </w:rPr>
        <w:t>二、指标解释</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（一）居民规范化电子健康档案覆盖人数（人）：是指</w:t>
      </w:r>
      <w:r>
        <w:rPr>
          <w:rFonts w:hint="eastAsia" w:ascii="仿宋_GB2312" w:hAnsi="宋体" w:eastAsia="仿宋_GB2312" w:cs="仿宋_GB2312"/>
          <w:color w:val="000000"/>
          <w:kern w:val="0"/>
          <w:sz w:val="32"/>
          <w:szCs w:val="32"/>
          <w:lang w:val="en-US" w:eastAsia="zh-CN" w:bidi="ar"/>
        </w:rPr>
        <w:t>到统计时间点，历年累计规范化电子健康档案覆盖人数。规范化电子健康档案覆盖人数是指电子健康档案管理系统完成健康档案封面和个人基本信息表，按照《国家基本公共卫生服务规范》规范记录健康体检结果、重点人群健康管理记录，以及其他医疗卫生服务记录等。其中0～6岁儿童不需要填写个人基本信息表，其基本信息填写在“新生儿家庭访视记录表”上。辖区内规范化电子健康档案覆盖人数应减去死亡、迁出、失访（即不明去向的永久性失访）的健康档案终止人数。注意排除重复建档情况。</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（二）辖区内常住居民数（人）：以当年所在区县分配</w:t>
      </w:r>
      <w:r>
        <w:rPr>
          <w:rFonts w:hint="eastAsia" w:ascii="仿宋_GB2312" w:hAnsi="宋体" w:eastAsia="仿宋_GB2312" w:cs="仿宋_GB2312"/>
          <w:color w:val="000000"/>
          <w:kern w:val="0"/>
          <w:sz w:val="32"/>
          <w:szCs w:val="32"/>
          <w:lang w:val="en-US" w:eastAsia="zh-CN" w:bidi="ar"/>
        </w:rPr>
        <w:t>基本公共卫生服务项目经费时的人口数为准。即上一年度出版的《中国统计年鉴》统计的常住居民数，也即上上一年度末的常住居民数。</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（三）65岁及以上老年人城乡社区规范健康管理服务</w:t>
      </w:r>
      <w:r>
        <w:rPr>
          <w:rFonts w:hint="eastAsia" w:ascii="仿宋_GB2312" w:hAnsi="宋体" w:eastAsia="仿宋_GB2312" w:cs="仿宋_GB2312"/>
          <w:color w:val="000000"/>
          <w:kern w:val="0"/>
          <w:sz w:val="32"/>
          <w:szCs w:val="32"/>
          <w:lang w:val="en-US" w:eastAsia="zh-CN" w:bidi="ar"/>
        </w:rPr>
        <w:t>人数（人）：指从年初到统计时间点，在基层医疗卫生机构接受健康管理的65岁及以上常住居民数。接受健康管理是指建立了健康档案、接受了健康体检，健康指导、健康体检表填写完整。</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（四）辖区内65岁及以上常住居民数（人）：指截止统计时间点，辖区内65岁及以上常住居民数。如无法获取实</w:t>
      </w:r>
      <w:r>
        <w:rPr>
          <w:rFonts w:hint="eastAsia" w:ascii="仿宋_GB2312" w:hAnsi="宋体" w:eastAsia="仿宋_GB2312" w:cs="仿宋_GB2312"/>
          <w:color w:val="000000"/>
          <w:kern w:val="0"/>
          <w:sz w:val="32"/>
          <w:szCs w:val="32"/>
          <w:lang w:val="en-US" w:eastAsia="zh-CN" w:bidi="ar"/>
        </w:rPr>
        <w:t>时数据，可采用上一年末65岁及以上常住居民数。</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outlineLvl w:val="9"/>
      </w:pPr>
      <w:r>
        <w:rPr>
          <w:rFonts w:hint="eastAsia" w:ascii="宋体" w:hAnsi="宋体" w:eastAsia="宋体" w:cs="宋体"/>
          <w:color w:val="000000"/>
          <w:kern w:val="0"/>
          <w:sz w:val="31"/>
          <w:szCs w:val="31"/>
          <w:lang w:val="en-US" w:eastAsia="zh-CN" w:bidi="ar"/>
        </w:rPr>
        <w:t>（</w:t>
      </w:r>
      <w:r>
        <w:rPr>
          <w:rFonts w:ascii="仿宋_GB2312" w:hAnsi="宋体" w:eastAsia="仿宋_GB2312" w:cs="仿宋_GB2312"/>
          <w:color w:val="000000"/>
          <w:kern w:val="0"/>
          <w:sz w:val="32"/>
          <w:szCs w:val="32"/>
          <w:lang w:val="en-US" w:eastAsia="zh-CN" w:bidi="ar"/>
        </w:rPr>
        <w:t>五）在基层医疗卫生机构按照规范要求提供高血压</w:t>
      </w:r>
      <w:r>
        <w:rPr>
          <w:rFonts w:hint="eastAsia" w:ascii="仿宋_GB2312" w:hAnsi="宋体" w:eastAsia="仿宋_GB2312" w:cs="仿宋_GB2312"/>
          <w:color w:val="000000"/>
          <w:kern w:val="0"/>
          <w:sz w:val="32"/>
          <w:szCs w:val="32"/>
          <w:lang w:val="en-US" w:eastAsia="zh-CN" w:bidi="ar"/>
        </w:rPr>
        <w:t>患者健康管理服务的人数（人）：指从年初到统计时间点，在基层医疗卫生机构按照规范要求提供高血压患者健康管理服务的人数。其中按规范要求的界定：第N季度报指从年初到统计时间点随访N次及以上即认为规范管理；第一、二次年报指从年初到统计时间点完成4次随访和1次健康体检即认为是规范管理。随访要求面对面。</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（六）年内辖区内已管理的高血压患者人数（人）：指</w:t>
      </w:r>
      <w:r>
        <w:rPr>
          <w:rFonts w:hint="eastAsia" w:ascii="仿宋_GB2312" w:hAnsi="宋体" w:eastAsia="仿宋_GB2312" w:cs="仿宋_GB2312"/>
          <w:color w:val="000000"/>
          <w:kern w:val="0"/>
          <w:sz w:val="32"/>
          <w:szCs w:val="32"/>
          <w:lang w:val="en-US" w:eastAsia="zh-CN" w:bidi="ar"/>
        </w:rPr>
        <w:t>从年初到统计时间点，接受过一次及以上随访的高血压患者人数。</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（七）在基层医疗卫生机构按照规范要求提供2型糖尿</w:t>
      </w:r>
      <w:r>
        <w:rPr>
          <w:rFonts w:hint="eastAsia" w:ascii="仿宋_GB2312" w:hAnsi="宋体" w:eastAsia="仿宋_GB2312" w:cs="仿宋_GB2312"/>
          <w:color w:val="000000"/>
          <w:kern w:val="0"/>
          <w:sz w:val="32"/>
          <w:szCs w:val="32"/>
          <w:lang w:val="en-US" w:eastAsia="zh-CN" w:bidi="ar"/>
        </w:rPr>
        <w:t>病患者健康管理服务的人数（人）：指从年初到统计时间点，在基层医疗卫生机构按照规范要求提供2型糖尿病患者健康管理服务的人数。其中按规范要求的界定：第N季度报指从年初到统计时间点随访N次及以上即认为规范管理；第一、二次年报指从年初到统计时间点完成4次随访和1次健康体检即认为是规范管理。随访要求面对面。</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outlineLvl w:val="9"/>
      </w:pPr>
      <w:r>
        <w:rPr>
          <w:rFonts w:ascii="仿宋_GB2312" w:hAnsi="宋体" w:eastAsia="仿宋_GB2312" w:cs="仿宋_GB2312"/>
          <w:color w:val="000000"/>
          <w:kern w:val="0"/>
          <w:sz w:val="32"/>
          <w:szCs w:val="32"/>
          <w:lang w:val="en-US" w:eastAsia="zh-CN" w:bidi="ar"/>
        </w:rPr>
        <w:t>（八）年内辖区内已管理的2型糖尿病患者人数（人）</w:t>
      </w:r>
      <w:r>
        <w:rPr>
          <w:rFonts w:hint="eastAsia" w:ascii="仿宋_GB2312" w:hAnsi="宋体" w:eastAsia="仿宋_GB2312" w:cs="仿宋_GB2312"/>
          <w:color w:val="000000"/>
          <w:kern w:val="0"/>
          <w:sz w:val="32"/>
          <w:szCs w:val="32"/>
          <w:lang w:val="en-US" w:eastAsia="zh-CN" w:bidi="ar"/>
        </w:rPr>
        <w:t>：指从年初到统计时间点，接受过一次及以上随访的2型糖尿病患者人数。</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sectPr>
          <w:headerReference r:id="rId3" w:type="first"/>
          <w:footerReference r:id="rId6" w:type="first"/>
          <w:footerReference r:id="rId4" w:type="default"/>
          <w:footerReference r:id="rId5" w:type="even"/>
          <w:pgSz w:w="11907" w:h="16840"/>
          <w:pgMar w:top="1701" w:right="1418" w:bottom="1417" w:left="1701" w:header="851" w:footer="992" w:gutter="0"/>
          <w:pgNumType w:fmt="decimal"/>
          <w:cols w:space="0" w:num="1"/>
          <w:titlePg/>
          <w:rtlGutter w:val="0"/>
          <w:docGrid w:type="lines" w:linePitch="318" w:charSpace="0"/>
        </w:sect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rPr>
          <w:rFonts w:ascii="仿宋_GB2312" w:eastAsia="仿宋_GB2312"/>
          <w:color w:val="000000"/>
          <w:kern w:val="0"/>
          <w:sz w:val="32"/>
          <w:szCs w:val="32"/>
        </w:rPr>
      </w:pPr>
    </w:p>
    <w:p>
      <w:pPr>
        <w:spacing w:line="560" w:lineRule="exact"/>
        <w:ind w:firstLine="280" w:firstLineChars="100"/>
        <w:rPr>
          <w:rFonts w:ascii="仿宋_GB2312" w:eastAsia="仿宋_GB2312"/>
          <w:color w:val="000000"/>
          <w:kern w:val="0"/>
          <w:sz w:val="28"/>
          <w:szCs w:val="28"/>
        </w:rPr>
      </w:pPr>
      <w:bookmarkStart w:id="0" w:name="_GoBack"/>
      <w:bookmarkEnd w:id="0"/>
    </w:p>
    <w:sectPr>
      <w:footerReference r:id="rId9" w:type="first"/>
      <w:footerReference r:id="rId7" w:type="default"/>
      <w:footerReference r:id="rId8" w:type="even"/>
      <w:pgSz w:w="11907" w:h="16840"/>
      <w:pgMar w:top="1701" w:right="1418" w:bottom="1417" w:left="1701" w:header="851" w:footer="992" w:gutter="0"/>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sdt>
      <w:sdtPr>
        <w:id w:val="11027524"/>
      </w:sdtPr>
      <w:sdtContent/>
    </w:sdt>
  </w:p>
  <w:p>
    <w:pPr>
      <w:pStyle w:val="3"/>
    </w:pPr>
    <w:r>
      <w:t xml:space="preserve"> </w: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QeDckBAACZ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RB4N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587375"/>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587375"/>
                      </a:xfrm>
                      <a:prstGeom prst="rect">
                        <a:avLst/>
                      </a:prstGeom>
                      <a:noFill/>
                      <a:ln>
                        <a:noFill/>
                      </a:ln>
                    </wps:spPr>
                    <wps:txbx>
                      <w:txbxContent>
                        <w:sdt>
                          <w:sdtPr>
                            <w:id w:val="11027538"/>
                          </w:sdtPr>
                          <w:sdtEndPr>
                            <w:rPr>
                              <w:rFonts w:asciiTheme="minorEastAsia" w:hAnsiTheme="minorEastAsia" w:eastAsiaTheme="minorEastAsia"/>
                              <w:sz w:val="28"/>
                              <w:szCs w:val="28"/>
                            </w:rPr>
                          </w:sdtEndPr>
                          <w:sdtContent>
                            <w:p>
                              <w:pPr>
                                <w:pStyle w:val="3"/>
                                <w:wordWrap w:val="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rPr>
                              <w:rFonts w:asciiTheme="minorEastAsia" w:hAnsiTheme="minorEastAsia" w:eastAsiaTheme="minorEastAsia"/>
                              <w:sz w:val="28"/>
                              <w:szCs w:val="28"/>
                            </w:rPr>
                          </w:pPr>
                        </w:p>
                      </w:txbxContent>
                    </wps:txbx>
                    <wps:bodyPr wrap="none" lIns="0" tIns="0" rIns="0" bIns="0" upright="1">
                      <a:noAutofit/>
                    </wps:bodyPr>
                  </wps:wsp>
                </a:graphicData>
              </a:graphic>
            </wp:anchor>
          </w:drawing>
        </mc:Choice>
        <mc:Fallback>
          <w:pict>
            <v:shape id="文本框 8" o:spid="_x0000_s1026" o:spt="202" type="#_x0000_t202" style="position:absolute;left:0pt;margin-left:0pt;margin-top:-9.95pt;height:46.25pt;width:144pt;mso-position-horizontal-relative:margin;mso-wrap-style:none;z-index:251660288;mso-width-relative:page;mso-height-relative:page;" filled="f" stroked="f" coordsize="21600,21600" o:gfxdata="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7/4wrUAAAABwEAAA8AAAAAAAAAAQAgAAAAIgAAAGRycy9k&#10;b3ducmV2LnhtbFBLAQIUABQAAAAIAIdO4kC9Ao1PzQEAAJgDAAAOAAAAAAAAAAEAIAAAACMBAABk&#10;cnMvZTJvRG9jLnhtbFBLBQYAAAAABgAGAFkBAABiBQAAAAA=&#10;">
              <v:fill on="f" focussize="0,0"/>
              <v:stroke on="f"/>
              <v:imagedata o:title=""/>
              <o:lock v:ext="edit" aspectratio="f"/>
              <v:textbox inset="0mm,0mm,0mm,0mm">
                <w:txbxContent>
                  <w:sdt>
                    <w:sdtPr>
                      <w:id w:val="11027538"/>
                    </w:sdtPr>
                    <w:sdtEndPr>
                      <w:rPr>
                        <w:rFonts w:asciiTheme="minorEastAsia" w:hAnsiTheme="minorEastAsia" w:eastAsiaTheme="minorEastAsia"/>
                        <w:sz w:val="28"/>
                        <w:szCs w:val="28"/>
                      </w:rPr>
                    </w:sdtEndPr>
                    <w:sdtContent>
                      <w:p>
                        <w:pPr>
                          <w:pStyle w:val="3"/>
                          <w:wordWrap w:val="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rPr>
                        <w:rFonts w:asciiTheme="minorEastAsia" w:hAnsiTheme="minorEastAsia" w:eastAsiaTheme="min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Wn1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1p9XIAQAAmQMAAA4AAAAAAAAAAQAgAAAAHgEAAGRycy9lMm9Eb2Mu&#10;eG1sUEsFBgAAAAAGAAYAWQEAAFgFAAAAAA==&#10;">
              <v:fill on="f" focussize="0,0"/>
              <v:stroke on="f"/>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sdt>
      <w:sdtPr>
        <w:id w:val="11027524"/>
      </w:sdtPr>
      <w:sdtContent/>
    </w:sdt>
  </w:p>
  <w:p>
    <w:pPr>
      <w:pStyle w:val="3"/>
    </w:pPr>
    <w:r>
      <w:t xml:space="preserve"> </w: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E6LsgBAACZ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PiuMWBX75/u/z4dfn5lbzK&#10;7ekD1Jh1FzAvDW/9gEsz+wGdWfWgos1f1EMwjs09X5srh0REfrRerdcVhgTG5gvis4fnIUJ6J70l&#10;2WhoxOmVpvLTB0hj6pySqzl/q40pEzTuLwdiZg/L3EeO2UrDfpgE7X17Rj09Dr6hDvecEvPeYV/z&#10;jsxGnI39bBxD1IcOqS0LLwhvjg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XxOi7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GrammaticalErrors/>
  <w:documentProtection w:enforcement="0"/>
  <w:defaultTabStop w:val="420"/>
  <w:evenAndOddHeaders w:val="1"/>
  <w:drawingGridHorizontalSpacing w:val="105"/>
  <w:drawingGridVerticalSpacing w:val="159"/>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00000000"/>
    <w:rsid w:val="05C70AD9"/>
    <w:rsid w:val="0E347F8D"/>
    <w:rsid w:val="14AC530B"/>
    <w:rsid w:val="15C517C2"/>
    <w:rsid w:val="164E49D4"/>
    <w:rsid w:val="16A67002"/>
    <w:rsid w:val="22935DE1"/>
    <w:rsid w:val="27C00933"/>
    <w:rsid w:val="27DD532C"/>
    <w:rsid w:val="2CD0755C"/>
    <w:rsid w:val="2D170F67"/>
    <w:rsid w:val="30936DC3"/>
    <w:rsid w:val="38C64631"/>
    <w:rsid w:val="3F6D1145"/>
    <w:rsid w:val="3F937626"/>
    <w:rsid w:val="3FAC5A5D"/>
    <w:rsid w:val="436D69EA"/>
    <w:rsid w:val="4C5A10CC"/>
    <w:rsid w:val="504C7B02"/>
    <w:rsid w:val="56D20006"/>
    <w:rsid w:val="5A5E76CA"/>
    <w:rsid w:val="5E6E33FC"/>
    <w:rsid w:val="5F152A8F"/>
    <w:rsid w:val="66036012"/>
    <w:rsid w:val="67650386"/>
    <w:rsid w:val="678D76C0"/>
    <w:rsid w:val="69962A6C"/>
    <w:rsid w:val="6B0C2056"/>
    <w:rsid w:val="6EFA11A0"/>
    <w:rsid w:val="708B64EE"/>
    <w:rsid w:val="75085DAF"/>
    <w:rsid w:val="75550534"/>
    <w:rsid w:val="78CA6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link w:val="2"/>
    <w:semiHidden/>
    <w:qFormat/>
    <w:uiPriority w:val="99"/>
    <w:rPr>
      <w:rFonts w:ascii="Calibri" w:hAnsi="Calibri" w:eastAsia="宋体"/>
      <w:kern w:val="2"/>
      <w:sz w:val="18"/>
      <w:szCs w:val="18"/>
    </w:rPr>
  </w:style>
  <w:style w:type="character" w:customStyle="1" w:styleId="10">
    <w:name w:val="页眉 Char"/>
    <w:link w:val="4"/>
    <w:qFormat/>
    <w:uiPriority w:val="99"/>
    <w:rPr>
      <w:rFonts w:ascii="Calibri" w:hAnsi="Calibri" w:eastAsia="宋体"/>
      <w:kern w:val="2"/>
      <w:sz w:val="18"/>
      <w:szCs w:val="18"/>
    </w:rPr>
  </w:style>
  <w:style w:type="character" w:customStyle="1" w:styleId="11">
    <w:name w:val="页脚 Char"/>
    <w:link w:val="3"/>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18</Pages>
  <Words>8098</Words>
  <Characters>8442</Characters>
  <Lines>49</Lines>
  <Paragraphs>14</Paragraphs>
  <TotalTime>240</TotalTime>
  <ScaleCrop>false</ScaleCrop>
  <LinksUpToDate>false</LinksUpToDate>
  <CharactersWithSpaces>8479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2021-08-25T01:18:00Z</dcterms:created>
  <dc:creator>Cynthia</dc:creator>
  <cp:lastModifiedBy>1234</cp:lastModifiedBy>
  <cp:lastPrinted>2021-09-03T03:22:00Z</cp:lastPrinted>
  <dcterms:modified xsi:type="dcterms:W3CDTF">2022-11-28T02:15:28Z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DE5C85C6BA1742B7BA3F4243AD9F5C09</vt:lpwstr>
  </property>
</Properties>
</file>