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bookmarkStart w:id="0" w:name="_GoBack"/>
      <w:bookmarkEnd w:id="0"/>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p>
    <w:p>
      <w:pPr>
        <w:adjustRightInd w:val="0"/>
        <w:snapToGrid w:val="0"/>
        <w:spacing w:line="490" w:lineRule="exact"/>
        <w:jc w:val="center"/>
        <w:rPr>
          <w:rFonts w:ascii="仿宋_GB2312" w:eastAsia="仿宋_GB2312"/>
          <w:sz w:val="32"/>
          <w:szCs w:val="32"/>
        </w:rPr>
      </w:pPr>
      <w:r>
        <w:rPr>
          <w:rFonts w:ascii="仿宋_GB2312" w:eastAsia="仿宋_GB2312" w:hint="eastAsia"/>
          <w:sz w:val="32"/>
          <w:szCs w:val="32"/>
        </w:rPr>
        <w:t>桂卫妇幼发〔</w:t>
      </w:r>
      <w:r>
        <w:rPr>
          <w:rFonts w:ascii="仿宋_GB2312" w:eastAsia="仿宋_GB2312"/>
          <w:sz w:val="32"/>
          <w:szCs w:val="32"/>
        </w:rPr>
        <w:t>2020</w:t>
      </w:r>
      <w:r>
        <w:rPr>
          <w:rFonts w:ascii="仿宋_GB2312" w:eastAsia="仿宋_GB2312" w:hint="eastAsia"/>
          <w:sz w:val="32"/>
          <w:szCs w:val="32"/>
        </w:rPr>
        <w:t>〕</w:t>
      </w:r>
      <w:r>
        <w:rPr>
          <w:rFonts w:ascii="仿宋_GB2312" w:eastAsia="仿宋_GB2312"/>
          <w:sz w:val="32"/>
          <w:szCs w:val="32"/>
        </w:rPr>
        <w:t>5号</w:t>
      </w:r>
    </w:p>
    <w:p>
      <w:pPr>
        <w:pStyle w:val="16"/>
        <w:spacing w:after="0" w:line="560" w:lineRule="exact"/>
        <w:jc w:val="both"/>
      </w:pPr>
    </w:p>
    <w:p>
      <w:pPr>
        <w:pStyle w:val="16"/>
        <w:spacing w:after="0" w:line="560" w:lineRule="exact"/>
        <w:jc w:val="both"/>
      </w:pPr>
    </w:p>
    <w:p>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自治区卫生健康委关于印发确诊和</w:t>
      </w:r>
    </w:p>
    <w:p>
      <w:pPr>
        <w:adjustRightInd w:val="0"/>
        <w:snapToGrid w:val="0"/>
        <w:spacing w:line="560" w:lineRule="exact"/>
        <w:jc w:val="center"/>
        <w:rPr>
          <w:rFonts w:ascii="方正小标宋简体" w:eastAsia="方正小标宋简体"/>
          <w:spacing w:val="-4"/>
          <w:sz w:val="44"/>
          <w:szCs w:val="44"/>
        </w:rPr>
      </w:pPr>
      <w:r>
        <w:rPr>
          <w:rFonts w:ascii="方正小标宋简体" w:eastAsia="方正小标宋简体" w:hint="eastAsia"/>
          <w:sz w:val="44"/>
          <w:szCs w:val="44"/>
        </w:rPr>
        <w:t>疑似新冠肺炎儿童防治应急预案</w:t>
      </w:r>
      <w:r>
        <w:rPr>
          <w:rFonts w:ascii="方正小标宋简体" w:eastAsia="方正小标宋简体" w:hint="eastAsia"/>
          <w:spacing w:val="-4"/>
          <w:sz w:val="44"/>
          <w:szCs w:val="44"/>
        </w:rPr>
        <w:t>的通知</w:t>
      </w:r>
    </w:p>
    <w:p>
      <w:pPr>
        <w:adjustRightInd w:val="0"/>
        <w:snapToGrid w:val="0"/>
        <w:spacing w:line="560" w:lineRule="exact"/>
        <w:outlineLvl w:val="0"/>
        <w:rPr>
          <w:rFonts w:ascii="仿宋_GB2312" w:eastAsia="仿宋_GB2312" w:cs="仿宋_GB2312"/>
          <w:sz w:val="32"/>
          <w:szCs w:val="32"/>
        </w:rPr>
      </w:pPr>
    </w:p>
    <w:p>
      <w:pPr>
        <w:adjustRightInd w:val="0"/>
        <w:snapToGrid w:val="0"/>
        <w:spacing w:line="560" w:lineRule="exact"/>
        <w:jc w:val="both"/>
        <w:outlineLvl w:val="0"/>
        <w:rPr>
          <w:rFonts w:ascii="仿宋_GB2312" w:eastAsia="仿宋_GB2312"/>
          <w:sz w:val="32"/>
          <w:szCs w:val="32"/>
        </w:rPr>
      </w:pPr>
      <w:r>
        <w:rPr>
          <w:rFonts w:ascii="仿宋_GB2312" w:eastAsia="仿宋_GB2312" w:cs="仿宋_GB2312" w:hint="eastAsia"/>
          <w:sz w:val="32"/>
          <w:szCs w:val="32"/>
        </w:rPr>
        <w:t>各市、县（市、区）卫生健康委（局），区直各医疗保健机构：</w:t>
      </w:r>
    </w:p>
    <w:p>
      <w:pPr>
        <w:adjustRightInd w:val="0"/>
        <w:snapToGrid w:val="0"/>
        <w:spacing w:line="560" w:lineRule="exact"/>
        <w:ind w:left="0" w:firstLineChars="200" w:firstLine="640"/>
        <w:jc w:val="both"/>
        <w:rPr>
          <w:rFonts w:ascii="仿宋_GB2312" w:eastAsia="仿宋_GB2312" w:cs="Calibri" w:hint="eastAsia"/>
          <w:spacing w:val="-2"/>
          <w:sz w:val="32"/>
          <w:szCs w:val="32"/>
        </w:rPr>
      </w:pPr>
      <w:r>
        <w:rPr>
          <w:rFonts w:ascii="仿宋_GB2312" w:eastAsia="仿宋_GB2312" w:cs="仿宋_GB2312" w:hint="eastAsia"/>
          <w:sz w:val="32"/>
          <w:szCs w:val="32"/>
        </w:rPr>
        <w:t>为</w:t>
      </w:r>
      <w:r>
        <w:rPr>
          <w:rFonts w:ascii="仿宋_GB2312" w:eastAsia="仿宋_GB2312" w:cs="仿宋_GB2312" w:hint="eastAsia"/>
          <w:spacing w:val="-2"/>
          <w:sz w:val="32"/>
          <w:szCs w:val="32"/>
        </w:rPr>
        <w:t>切实做好新型冠状病毒肺炎疫情防控期间儿童防治工作，</w:t>
      </w:r>
      <w:r>
        <w:rPr>
          <w:rFonts w:ascii="仿宋_GB2312" w:eastAsia="仿宋_GB2312" w:cs="仿宋" w:hint="eastAsia"/>
          <w:spacing w:val="-2"/>
          <w:sz w:val="32"/>
          <w:szCs w:val="32"/>
        </w:rPr>
        <w:t>确保儿童生命健康</w:t>
      </w:r>
      <w:r>
        <w:rPr>
          <w:rFonts w:ascii="仿宋_GB2312" w:eastAsia="仿宋_GB2312" w:cs="仿宋_GB2312" w:hint="eastAsia"/>
          <w:spacing w:val="-2"/>
          <w:sz w:val="32"/>
          <w:szCs w:val="32"/>
        </w:rPr>
        <w:t>，我委制定了《确诊和疑似新冠肺炎儿童防治应急预案》，现印发给你们，请结合实际，认真贯彻执行。</w:t>
      </w:r>
    </w:p>
    <w:p>
      <w:pPr>
        <w:adjustRightInd w:val="0"/>
        <w:snapToGrid w:val="0"/>
        <w:spacing w:line="560" w:lineRule="exact"/>
        <w:ind w:firstLineChars="200" w:firstLine="640"/>
        <w:rPr>
          <w:rFonts w:ascii="仿宋_GB2312" w:eastAsia="仿宋_GB2312"/>
          <w:sz w:val="32"/>
          <w:szCs w:val="32"/>
        </w:rPr>
      </w:pPr>
    </w:p>
    <w:p>
      <w:pPr>
        <w:adjustRightInd w:val="0"/>
        <w:snapToGrid w:val="0"/>
        <w:spacing w:line="560" w:lineRule="exact"/>
        <w:ind w:firstLineChars="200" w:firstLine="640"/>
        <w:rPr>
          <w:rFonts w:ascii="仿宋_GB2312" w:eastAsia="仿宋_GB2312"/>
          <w:sz w:val="32"/>
          <w:szCs w:val="32"/>
        </w:rPr>
      </w:pPr>
    </w:p>
    <w:p>
      <w:pPr>
        <w:adjustRightInd w:val="0"/>
        <w:snapToGrid w:val="0"/>
        <w:spacing w:line="560" w:lineRule="exact"/>
        <w:ind w:firstLineChars="200" w:firstLine="640"/>
        <w:rPr>
          <w:rFonts w:ascii="仿宋_GB2312" w:eastAsia="仿宋_GB2312"/>
          <w:sz w:val="32"/>
          <w:szCs w:val="32"/>
        </w:rPr>
      </w:pPr>
    </w:p>
    <w:p>
      <w:pPr>
        <w:tabs>
          <w:tab w:val="left" w:pos="810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广西壮族自治区卫生健康委员会</w:t>
      </w:r>
    </w:p>
    <w:p>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2020年2月</w:t>
      </w:r>
      <w:r>
        <w:rPr>
          <w:rFonts w:ascii="仿宋_GB2312" w:eastAsia="仿宋_GB2312"/>
          <w:sz w:val="32"/>
          <w:szCs w:val="32"/>
        </w:rPr>
        <w:t>19</w:t>
      </w:r>
      <w:r>
        <w:rPr>
          <w:rFonts w:ascii="仿宋_GB2312" w:eastAsia="仿宋_GB2312" w:hint="eastAsia"/>
          <w:sz w:val="32"/>
          <w:szCs w:val="32"/>
        </w:rPr>
        <w:t>日</w:t>
      </w:r>
    </w:p>
    <w:p>
      <w:pPr>
        <w:spacing w:line="560" w:lineRule="exact"/>
        <w:jc w:val="center"/>
        <w:rPr>
          <w:rFonts w:ascii="方正小标宋简体" w:eastAsia="方正小标宋简体" w:hint="eastAsia"/>
          <w:sz w:val="44"/>
          <w:szCs w:val="44"/>
        </w:rPr>
      </w:pPr>
      <w:r>
        <w:rPr>
          <w:b/>
          <w:sz w:val="44"/>
          <w:szCs w:val="44"/>
        </w:rPr>
        <w:br w:type="page"/>
      </w:r>
      <w:r>
        <w:rPr>
          <w:rFonts w:ascii="方正小标宋简体" w:eastAsia="方正小标宋简体" w:hint="eastAsia"/>
          <w:sz w:val="44"/>
          <w:szCs w:val="44"/>
        </w:rPr>
        <w:t>确诊和疑似新冠肺炎儿童防治应急预案</w:t>
      </w:r>
    </w:p>
    <w:p>
      <w:pPr>
        <w:spacing w:line="560" w:lineRule="exact"/>
        <w:jc w:val="both"/>
        <w:rPr>
          <w:rFonts w:ascii="仿宋_GB2312" w:eastAsia="仿宋_GB2312" w:cs="仿宋" w:hint="eastAsia"/>
          <w:sz w:val="32"/>
          <w:szCs w:val="32"/>
        </w:rPr>
      </w:pPr>
    </w:p>
    <w:p>
      <w:pPr>
        <w:spacing w:line="560" w:lineRule="exact"/>
        <w:ind w:left="0" w:firstLineChars="200" w:firstLine="640"/>
        <w:jc w:val="both"/>
        <w:rPr>
          <w:rFonts w:ascii="仿宋_GB2312" w:eastAsia="仿宋_GB2312" w:cs="仿宋" w:hint="eastAsia"/>
          <w:sz w:val="32"/>
          <w:szCs w:val="32"/>
        </w:rPr>
      </w:pPr>
      <w:r>
        <w:rPr>
          <w:rFonts w:ascii="仿宋_GB2312" w:eastAsia="仿宋_GB2312" w:cs="仿宋" w:hint="eastAsia"/>
          <w:sz w:val="32"/>
          <w:szCs w:val="32"/>
        </w:rPr>
        <w:t>根据国务院应对新型冠状病毒肺炎疫情联防联控机制《关于做好儿童和孕产妇新型冠状病毒感染的肺炎疫情防控工作的通知》（肺炎机制发〔2020〕17号）,以及广西壮族自治区新型冠状病毒感染的肺炎疫情防控工作领导小组指挥部办公室《关于做好确诊和疑似新冠肺炎儿童和孕产妇管理和救治工作的通知》</w:t>
      </w:r>
      <w:r>
        <w:rPr>
          <w:rFonts w:ascii="仿宋_GB2312" w:eastAsia="仿宋_GB2312" w:cs="仿宋"/>
          <w:sz w:val="32"/>
          <w:szCs w:val="32"/>
        </w:rPr>
        <w:t>（</w:t>
      </w:r>
      <w:r>
        <w:rPr>
          <w:rFonts w:ascii="仿宋_GB2312" w:eastAsia="仿宋_GB2312" w:cs="仿宋" w:hint="eastAsia"/>
          <w:sz w:val="32"/>
          <w:szCs w:val="32"/>
        </w:rPr>
        <w:t>桂新冠防指办〔2020〕33号)、自治区卫生健康委《关于加强新型冠状病毒肺炎疫情防控期间儿童和孕产妇疾病救治与安全助产工作的通知》（桂卫妇幼发〔2020〕3号）等文件精神,结合我区实际，制定本应急预案。</w:t>
      </w:r>
    </w:p>
    <w:p>
      <w:pPr>
        <w:spacing w:line="560" w:lineRule="exact"/>
        <w:ind w:left="0" w:firstLineChars="200" w:firstLine="640"/>
        <w:jc w:val="both"/>
        <w:rPr>
          <w:rFonts w:ascii="黑体" w:eastAsia="黑体" w:cs="黑体" w:hint="eastAsia"/>
          <w:sz w:val="32"/>
          <w:szCs w:val="32"/>
        </w:rPr>
      </w:pPr>
      <w:r>
        <w:rPr>
          <w:rFonts w:ascii="黑体" w:eastAsia="黑体" w:cs="黑体" w:hint="eastAsia"/>
          <w:sz w:val="32"/>
          <w:szCs w:val="32"/>
        </w:rPr>
        <w:t>一、适用范围</w:t>
      </w:r>
    </w:p>
    <w:p>
      <w:pPr>
        <w:spacing w:line="560" w:lineRule="exact"/>
        <w:ind w:left="0" w:firstLineChars="200" w:firstLine="640"/>
        <w:jc w:val="both"/>
        <w:rPr>
          <w:rFonts w:ascii="仿宋_GB2312" w:eastAsia="仿宋_GB2312" w:cs="仿宋" w:hint="eastAsia"/>
          <w:sz w:val="32"/>
          <w:szCs w:val="32"/>
        </w:rPr>
      </w:pPr>
      <w:r>
        <w:rPr>
          <w:rFonts w:ascii="仿宋_GB2312" w:eastAsia="仿宋_GB2312" w:cs="仿宋" w:hint="eastAsia"/>
          <w:sz w:val="32"/>
          <w:szCs w:val="32"/>
        </w:rPr>
        <w:t>100所自治区和各市新型冠状病毒感染肺炎定点收治医院（以下简称定点收治医院），以及设置有儿科诊疗科目的非定点收治医院。</w:t>
      </w:r>
    </w:p>
    <w:p>
      <w:pPr>
        <w:spacing w:line="560" w:lineRule="exact"/>
        <w:ind w:left="0" w:firstLineChars="200" w:firstLine="640"/>
        <w:jc w:val="both"/>
        <w:rPr>
          <w:rFonts w:ascii="黑体" w:eastAsia="黑体" w:cs="黑体" w:hint="eastAsia"/>
          <w:sz w:val="32"/>
          <w:szCs w:val="32"/>
        </w:rPr>
      </w:pPr>
      <w:r>
        <w:rPr>
          <w:rFonts w:ascii="黑体" w:eastAsia="黑体" w:cs="黑体" w:hint="eastAsia"/>
          <w:sz w:val="32"/>
          <w:szCs w:val="32"/>
        </w:rPr>
        <w:t>二、组织管理</w:t>
      </w:r>
    </w:p>
    <w:p>
      <w:pPr>
        <w:spacing w:line="560" w:lineRule="exact"/>
        <w:ind w:left="0" w:firstLineChars="200" w:firstLine="640"/>
        <w:jc w:val="both"/>
        <w:rPr>
          <w:rFonts w:ascii="仿宋_GB2312" w:eastAsia="仿宋_GB2312" w:cs="仿宋" w:hint="eastAsia"/>
          <w:sz w:val="32"/>
          <w:szCs w:val="32"/>
        </w:rPr>
      </w:pPr>
      <w:r>
        <w:rPr>
          <w:rFonts w:ascii="仿宋_GB2312" w:eastAsia="仿宋_GB2312" w:cs="仿宋" w:hint="eastAsia"/>
          <w:sz w:val="32"/>
          <w:szCs w:val="32"/>
        </w:rPr>
        <w:t>各级各类设置有儿科诊疗科目的医疗</w:t>
      </w:r>
      <w:r>
        <w:rPr>
          <w:rFonts w:ascii="仿宋_GB2312" w:eastAsia="仿宋_GB2312" w:cs="仿宋" w:hint="eastAsia"/>
          <w:sz w:val="32"/>
          <w:szCs w:val="32"/>
          <w:lang w:eastAsia="zh-CN"/>
        </w:rPr>
        <w:t>保健</w:t>
      </w:r>
      <w:r>
        <w:rPr>
          <w:rFonts w:ascii="仿宋_GB2312" w:eastAsia="仿宋_GB2312" w:cs="仿宋" w:hint="eastAsia"/>
          <w:sz w:val="32"/>
          <w:szCs w:val="32"/>
        </w:rPr>
        <w:t>机构成立新冠肺炎防控领导小组，下设医疗小组、感控小组、保障小组、宣传小组，加大疫情期间儿童防治工作力度，促进新冠肺炎儿童病例发现、信息报送、安全防护、隔离治疗、会诊转诊、联合急救、科普宣传等各项措施落实，保障疫情处置工作顺利开展，确保儿童生命安全。</w:t>
      </w:r>
    </w:p>
    <w:p>
      <w:pPr>
        <w:spacing w:line="560" w:lineRule="exact"/>
        <w:ind w:left="0" w:firstLineChars="200" w:firstLine="640"/>
        <w:jc w:val="both"/>
        <w:rPr>
          <w:rFonts w:ascii="黑体" w:eastAsia="黑体" w:cs="黑体" w:hint="eastAsia"/>
          <w:sz w:val="32"/>
          <w:szCs w:val="32"/>
        </w:rPr>
      </w:pPr>
      <w:r>
        <w:rPr>
          <w:rFonts w:ascii="黑体" w:eastAsia="黑体" w:cs="黑体" w:hint="eastAsia"/>
          <w:sz w:val="32"/>
          <w:szCs w:val="32"/>
        </w:rPr>
        <w:t>三、应急措施</w:t>
      </w:r>
    </w:p>
    <w:p>
      <w:pPr>
        <w:widowControl/>
        <w:spacing w:line="560" w:lineRule="exact"/>
        <w:ind w:left="0" w:firstLineChars="200" w:firstLine="640"/>
        <w:jc w:val="both"/>
        <w:rPr>
          <w:rFonts w:ascii="楷体_GB2312" w:eastAsia="楷体_GB2312" w:cs="仿宋" w:hint="eastAsia"/>
          <w:sz w:val="32"/>
          <w:szCs w:val="32"/>
        </w:rPr>
      </w:pPr>
      <w:r>
        <w:rPr>
          <w:rFonts w:ascii="楷体_GB2312" w:eastAsia="楷体_GB2312" w:cs="仿宋" w:hint="eastAsia"/>
          <w:sz w:val="32"/>
          <w:szCs w:val="32"/>
        </w:rPr>
        <w:t>（一）预检分诊点和发热门诊。</w:t>
      </w:r>
    </w:p>
    <w:p>
      <w:pPr>
        <w:spacing w:line="560" w:lineRule="exact"/>
        <w:ind w:left="0" w:firstLineChars="200" w:firstLine="640"/>
        <w:jc w:val="both"/>
        <w:rPr>
          <w:rFonts w:ascii="仿宋_GB2312" w:eastAsia="仿宋_GB2312" w:cs="仿宋" w:hint="eastAsia"/>
          <w:sz w:val="32"/>
          <w:szCs w:val="32"/>
        </w:rPr>
      </w:pPr>
      <w:r>
        <w:rPr>
          <w:rFonts w:ascii="仿宋_GB2312" w:eastAsia="仿宋_GB2312" w:cs="仿宋" w:hint="eastAsia"/>
          <w:sz w:val="32"/>
          <w:szCs w:val="32"/>
        </w:rPr>
        <w:t>各级各类设置儿科的医疗保健机构严格按照</w:t>
      </w:r>
      <w:r>
        <w:rPr>
          <w:rFonts w:ascii="仿宋_GB2312" w:eastAsia="仿宋_GB2312" w:hint="eastAsia"/>
          <w:sz w:val="32"/>
          <w:szCs w:val="32"/>
        </w:rPr>
        <w:t>国家《加强预检分诊和发热门诊等工作要求》和《医疗机构传染病预检分诊管理办法》</w:t>
      </w:r>
      <w:r>
        <w:rPr>
          <w:rFonts w:ascii="仿宋_GB2312" w:eastAsia="仿宋_GB2312" w:cs="仿宋" w:hint="eastAsia"/>
          <w:sz w:val="32"/>
          <w:szCs w:val="32"/>
        </w:rPr>
        <w:t>要求，设立预检分诊点和发热门诊并规范管理，做到位置合理，流程科学，标识清晰，防护物资完备，登记表齐全，个人防护到位。</w:t>
      </w:r>
    </w:p>
    <w:p>
      <w:pPr>
        <w:spacing w:line="560" w:lineRule="exact"/>
        <w:ind w:left="0" w:firstLineChars="200" w:firstLine="640"/>
        <w:jc w:val="both"/>
        <w:rPr>
          <w:rFonts w:ascii="楷体_GB2312" w:eastAsia="楷体_GB2312" w:cs="仿宋" w:hint="eastAsia"/>
          <w:sz w:val="32"/>
          <w:szCs w:val="32"/>
        </w:rPr>
      </w:pPr>
      <w:r>
        <w:rPr>
          <w:rFonts w:ascii="楷体_GB2312" w:eastAsia="楷体_GB2312" w:cs="仿宋" w:hint="eastAsia"/>
          <w:sz w:val="32"/>
          <w:szCs w:val="32"/>
        </w:rPr>
        <w:t>（二）定点收治医院救治区域。</w:t>
      </w:r>
    </w:p>
    <w:p>
      <w:pPr>
        <w:spacing w:line="560" w:lineRule="exact"/>
        <w:ind w:left="0" w:firstLineChars="200" w:firstLine="640"/>
        <w:jc w:val="both"/>
        <w:rPr>
          <w:rFonts w:ascii="仿宋_GB2312" w:eastAsia="仿宋_GB2312" w:cs="仿宋" w:hint="eastAsia"/>
          <w:sz w:val="32"/>
          <w:szCs w:val="32"/>
        </w:rPr>
      </w:pPr>
      <w:r>
        <w:rPr>
          <w:rFonts w:ascii="仿宋_GB2312" w:eastAsia="仿宋_GB2312" w:cs="仿宋" w:hint="eastAsia"/>
          <w:sz w:val="32"/>
          <w:szCs w:val="32"/>
        </w:rPr>
        <w:t>定点救治机构严格按照国家卫生健康委办公厅《关于印发新型冠状病毒感染的肺炎诊疗和防控方案的通知》（国卫明电〔2020〕6号）文件要求，设置隔离病区或负压隔离病房，做到布局合理，标识清晰。配备齐全救治所需的仪器设备、药品和防护物资，满足普通和危重症患者的救治要求。</w:t>
      </w:r>
    </w:p>
    <w:p>
      <w:pPr>
        <w:spacing w:line="560" w:lineRule="exact"/>
        <w:ind w:left="0" w:firstLineChars="200" w:firstLine="640"/>
        <w:jc w:val="both"/>
        <w:rPr>
          <w:rFonts w:ascii="楷体_GB2312" w:eastAsia="楷体_GB2312" w:hint="eastAsia"/>
          <w:sz w:val="32"/>
          <w:szCs w:val="32"/>
        </w:rPr>
      </w:pPr>
      <w:r>
        <w:rPr>
          <w:rFonts w:ascii="楷体_GB2312" w:eastAsia="楷体_GB2312" w:cs="仿宋" w:hint="eastAsia"/>
          <w:sz w:val="32"/>
          <w:szCs w:val="32"/>
        </w:rPr>
        <w:t>（三）应急处置防护。</w:t>
      </w:r>
    </w:p>
    <w:p>
      <w:pPr>
        <w:spacing w:line="560" w:lineRule="exact"/>
        <w:ind w:left="0" w:firstLineChars="200" w:firstLine="640"/>
        <w:jc w:val="both"/>
        <w:rPr>
          <w:rFonts w:ascii="仿宋_GB2312" w:eastAsia="仿宋_GB2312" w:cs="仿宋" w:hint="eastAsia"/>
          <w:sz w:val="32"/>
          <w:szCs w:val="32"/>
        </w:rPr>
      </w:pPr>
      <w:r>
        <w:rPr>
          <w:rFonts w:ascii="仿宋_GB2312" w:eastAsia="仿宋_GB2312" w:cs="仿宋" w:hint="eastAsia"/>
          <w:sz w:val="32"/>
          <w:szCs w:val="32"/>
        </w:rPr>
        <w:t>1.医务人员防护</w:t>
      </w:r>
      <w:r>
        <w:rPr>
          <w:rFonts w:ascii="仿宋_GB2312" w:eastAsia="仿宋_GB2312" w:cs="仿宋"/>
          <w:sz w:val="32"/>
          <w:szCs w:val="32"/>
        </w:rPr>
        <w:t>。</w:t>
      </w:r>
    </w:p>
    <w:p>
      <w:pPr>
        <w:spacing w:line="560" w:lineRule="exact"/>
        <w:ind w:left="0" w:firstLineChars="200" w:firstLine="640"/>
        <w:jc w:val="both"/>
        <w:rPr>
          <w:rFonts w:ascii="仿宋_GB2312" w:eastAsia="仿宋_GB2312" w:cs="仿宋" w:hint="eastAsia"/>
          <w:sz w:val="32"/>
          <w:szCs w:val="32"/>
        </w:rPr>
      </w:pPr>
      <w:r>
        <w:rPr>
          <w:rFonts w:ascii="仿宋_GB2312" w:eastAsia="仿宋_GB2312" w:cs="仿宋" w:hint="eastAsia"/>
          <w:sz w:val="32"/>
          <w:szCs w:val="32"/>
        </w:rPr>
        <w:t>（1）日常防护。所有医务人员从事诊疗活动期间均应佩戴医用口罩。严格按照穿脱流程穿脱个人防护装备，禁止穿着个人防护装备离开污染区，以避免各个分区的交叉污染。</w:t>
      </w:r>
    </w:p>
    <w:p>
      <w:pPr>
        <w:widowControl/>
        <w:spacing w:line="560" w:lineRule="exact"/>
        <w:ind w:left="0" w:firstLineChars="200" w:firstLine="640"/>
        <w:jc w:val="both"/>
        <w:rPr>
          <w:rFonts w:ascii="仿宋_GB2312" w:eastAsia="仿宋_GB2312" w:cs="仿宋" w:hint="eastAsia"/>
          <w:strike/>
          <w:dstrike w:val="0"/>
          <w:sz w:val="32"/>
          <w:szCs w:val="32"/>
        </w:rPr>
      </w:pPr>
      <w:r>
        <w:rPr>
          <w:rFonts w:ascii="仿宋_GB2312" w:eastAsia="仿宋_GB2312" w:cs="仿宋" w:hint="eastAsia"/>
          <w:sz w:val="32"/>
          <w:szCs w:val="32"/>
        </w:rPr>
        <w:t>（2）不同工作场所防护。预检分诊处：穿工作服、隔离衣、一次性工作帽，一次性外科口罩（必要时一次性医用防护口罩+隔离衣+一次性乳胶手套）；发热门诊、呼吸科门诊、急诊、感染性疾病科和隔离病房：日常诊疗活动和查房时，穿工作服、一次性工作帽、一次性外科口罩（必要时一次性医用防护口罩+隔离衣+一次性乳胶手套）和一次性鞋套,有条件时可用防护服替代隔离衣，或提高防护级别；采集呼吸道样本时；接触血液、体液、分泌物或排泄物时；气管插管、支气管镜检查、气道护理和吸痰等可能发生气溶胶或喷溅操作时，穿工作服、防护服、一次性工作帽、一次性医用防护口罩、一次性乳胶手套、一次性鞋套、防护眼镜和防护面罩。</w:t>
      </w:r>
    </w:p>
    <w:p>
      <w:pPr>
        <w:pStyle w:val="16"/>
        <w:spacing w:after="0" w:line="560" w:lineRule="exact"/>
        <w:ind w:leftChars="0" w:left="0" w:firstLineChars="200" w:firstLine="640"/>
        <w:rPr>
          <w:rFonts w:ascii="仿宋_GB2312" w:eastAsia="仿宋_GB2312" w:cs="仿宋" w:hint="eastAsia"/>
          <w:sz w:val="32"/>
          <w:szCs w:val="32"/>
        </w:rPr>
      </w:pPr>
      <w:r>
        <w:rPr>
          <w:rFonts w:ascii="仿宋_GB2312" w:eastAsia="仿宋_GB2312" w:cs="仿宋" w:hint="eastAsia"/>
          <w:sz w:val="32"/>
          <w:szCs w:val="32"/>
        </w:rPr>
        <w:t>2.患儿及家属防护。患儿及陪诊人员应佩戴医用外科口罩。</w:t>
      </w:r>
    </w:p>
    <w:p>
      <w:pPr>
        <w:pStyle w:val="16"/>
        <w:spacing w:after="0" w:line="560" w:lineRule="exact"/>
        <w:ind w:leftChars="0" w:left="0" w:firstLineChars="200" w:firstLine="640"/>
        <w:rPr>
          <w:rFonts w:ascii="楷体_GB2312" w:eastAsia="楷体_GB2312" w:cs="仿宋" w:hint="eastAsia"/>
          <w:sz w:val="32"/>
          <w:szCs w:val="32"/>
        </w:rPr>
      </w:pPr>
      <w:r>
        <w:rPr>
          <w:rFonts w:ascii="楷体_GB2312" w:eastAsia="楷体_GB2312" w:cs="仿宋" w:hint="eastAsia"/>
          <w:sz w:val="32"/>
          <w:szCs w:val="32"/>
        </w:rPr>
        <w:t>（四）确诊和疑似新冠肺炎儿童处置流程。</w:t>
      </w:r>
    </w:p>
    <w:p>
      <w:pPr>
        <w:adjustRightInd w:val="0"/>
        <w:snapToGrid w:val="0"/>
        <w:spacing w:line="560" w:lineRule="exact"/>
        <w:ind w:left="0" w:firstLineChars="200" w:firstLine="640"/>
        <w:jc w:val="both"/>
        <w:rPr>
          <w:rFonts w:ascii="仿宋_GB2312" w:eastAsia="仿宋_GB2312" w:cs="仿宋" w:hint="eastAsia"/>
          <w:color w:val="000000"/>
          <w:sz w:val="32"/>
          <w:szCs w:val="32"/>
        </w:rPr>
      </w:pPr>
      <w:bookmarkStart w:id="1" w:name="_Hlk30450347"/>
      <w:r>
        <w:rPr>
          <w:rFonts w:ascii="仿宋_GB2312" w:eastAsia="仿宋_GB2312" w:cs="仿宋" w:hint="eastAsia"/>
          <w:color w:val="000000"/>
          <w:sz w:val="32"/>
          <w:szCs w:val="32"/>
        </w:rPr>
        <w:t>1.非定点收治医院处置流程</w:t>
      </w:r>
      <w:bookmarkEnd w:id="1"/>
      <w:r>
        <w:rPr>
          <w:rFonts w:ascii="仿宋_GB2312" w:eastAsia="仿宋_GB2312" w:cs="仿宋"/>
          <w:color w:val="000000"/>
          <w:sz w:val="32"/>
          <w:szCs w:val="32"/>
        </w:rPr>
        <w:t>。</w:t>
      </w:r>
    </w:p>
    <w:p>
      <w:pPr>
        <w:spacing w:line="560" w:lineRule="exact"/>
        <w:ind w:left="0" w:firstLineChars="200" w:firstLine="640"/>
        <w:jc w:val="both"/>
        <w:rPr>
          <w:rFonts w:ascii="仿宋_GB2312" w:eastAsia="仿宋_GB2312" w:cs="仿宋" w:hint="eastAsia"/>
          <w:color w:val="000000"/>
          <w:kern w:val="0"/>
          <w:sz w:val="32"/>
          <w:szCs w:val="32"/>
        </w:rPr>
      </w:pPr>
      <w:r>
        <w:rPr>
          <w:rFonts w:ascii="仿宋_GB2312" w:eastAsia="仿宋_GB2312" w:cs="仿宋" w:hint="eastAsia"/>
          <w:color w:val="000000"/>
          <w:kern w:val="0"/>
          <w:sz w:val="32"/>
          <w:szCs w:val="32"/>
        </w:rPr>
        <w:t>（1）病例接诊。发热儿童患者首先进行预检分诊，测量体温并由专门人员指引至发热门诊就诊。负责首诊的医生，做好个人防护，接诊有流行病学史的发热伴呼吸道症状患者时，要做好登记，安排儿童患者在单间诊室（房间）等候，暂不与其他人员密切接触（保持1米以上距离)，给儿童患者（病情不允许情况除外）及陪护人员带外科口罩，其他人员不再接触其接触过的表面和物品。</w:t>
      </w:r>
    </w:p>
    <w:p>
      <w:pPr>
        <w:spacing w:line="560" w:lineRule="exact"/>
        <w:ind w:left="0" w:firstLineChars="200" w:firstLine="640"/>
        <w:jc w:val="both"/>
        <w:rPr>
          <w:rFonts w:ascii="仿宋_GB2312" w:eastAsia="仿宋_GB2312" w:cs="仿宋" w:hint="eastAsia"/>
          <w:color w:val="FF0000"/>
          <w:kern w:val="0"/>
          <w:sz w:val="32"/>
          <w:szCs w:val="32"/>
        </w:rPr>
      </w:pPr>
      <w:r>
        <w:rPr>
          <w:rFonts w:ascii="仿宋_GB2312" w:eastAsia="仿宋_GB2312" w:cs="仿宋" w:hint="eastAsia"/>
          <w:color w:val="000000"/>
          <w:kern w:val="0"/>
          <w:sz w:val="32"/>
          <w:szCs w:val="32"/>
        </w:rPr>
        <w:t>（2）</w:t>
      </w:r>
      <w:r>
        <w:rPr>
          <w:rFonts w:ascii="仿宋_GB2312" w:eastAsia="仿宋_GB2312" w:cs="仿宋" w:hint="eastAsia"/>
          <w:kern w:val="0"/>
          <w:sz w:val="32"/>
          <w:szCs w:val="32"/>
        </w:rPr>
        <w:t>病例会诊和转诊。</w:t>
      </w:r>
      <w:r>
        <w:rPr>
          <w:rFonts w:ascii="仿宋_GB2312" w:eastAsia="仿宋_GB2312" w:cs="仿宋" w:hint="eastAsia"/>
          <w:color w:val="000000"/>
          <w:kern w:val="0"/>
          <w:sz w:val="32"/>
          <w:szCs w:val="32"/>
        </w:rPr>
        <w:t>医务人员发现符合病例定义的疑似病例后，应立即进行隔离治疗，查血常规、胸片及</w:t>
      </w:r>
      <w:r>
        <w:rPr>
          <w:rFonts w:ascii="仿宋_GB2312" w:eastAsia="仿宋_GB2312" w:cs="仿宋" w:hint="eastAsia"/>
          <w:color w:val="000000"/>
          <w:sz w:val="32"/>
          <w:szCs w:val="32"/>
        </w:rPr>
        <w:t>常见呼吸道病原检测</w:t>
      </w:r>
      <w:r>
        <w:rPr>
          <w:rFonts w:ascii="仿宋_GB2312" w:eastAsia="仿宋_GB2312" w:cs="仿宋" w:hint="eastAsia"/>
          <w:color w:val="000000"/>
          <w:kern w:val="0"/>
          <w:sz w:val="32"/>
          <w:szCs w:val="32"/>
        </w:rPr>
        <w:t>，在2小时内组织院内专家会诊评估，符合疑似病例的，联系辖区定点救治医院专家通过视频、电话或现场等方式进行会诊，</w:t>
      </w:r>
      <w:r>
        <w:rPr>
          <w:rFonts w:ascii="仿宋_GB2312" w:eastAsia="仿宋_GB2312" w:cs="仿宋" w:hint="eastAsia"/>
          <w:sz w:val="32"/>
          <w:szCs w:val="32"/>
        </w:rPr>
        <w:t>不能排除疑似病例或确诊病例，在</w:t>
      </w:r>
      <w:r>
        <w:rPr>
          <w:rFonts w:ascii="仿宋_GB2312" w:eastAsia="仿宋_GB2312" w:cs="仿宋" w:hint="eastAsia"/>
          <w:color w:val="000000"/>
          <w:sz w:val="32"/>
          <w:szCs w:val="32"/>
        </w:rPr>
        <w:t>确保转运安全的前提下</w:t>
      </w:r>
      <w:r>
        <w:rPr>
          <w:rFonts w:ascii="仿宋_GB2312" w:eastAsia="仿宋_GB2312" w:cs="仿宋" w:hint="eastAsia"/>
          <w:color w:val="000000"/>
          <w:kern w:val="0"/>
          <w:sz w:val="32"/>
          <w:szCs w:val="32"/>
        </w:rPr>
        <w:t>转至属地定点救治医院隔离治疗，并逐级报告疾控中心和卫生健康行政部门</w:t>
      </w:r>
      <w:r>
        <w:rPr>
          <w:rFonts w:ascii="仿宋_GB2312" w:eastAsia="仿宋_GB2312" w:cs="仿宋" w:hint="eastAsia"/>
          <w:sz w:val="32"/>
          <w:szCs w:val="32"/>
        </w:rPr>
        <w:t>。</w:t>
      </w:r>
    </w:p>
    <w:p>
      <w:pPr>
        <w:spacing w:line="560" w:lineRule="exact"/>
        <w:ind w:left="0" w:firstLineChars="200" w:firstLine="640"/>
        <w:jc w:val="both"/>
        <w:rPr>
          <w:rFonts w:ascii="仿宋_GB2312" w:eastAsia="仿宋_GB2312" w:cs="仿宋" w:hint="eastAsia"/>
          <w:color w:val="000000"/>
          <w:sz w:val="32"/>
          <w:szCs w:val="32"/>
        </w:rPr>
      </w:pPr>
      <w:r>
        <w:rPr>
          <w:rFonts w:ascii="仿宋_GB2312" w:eastAsia="仿宋_GB2312" w:cs="仿宋" w:hint="eastAsia"/>
          <w:color w:val="000000"/>
          <w:sz w:val="32"/>
          <w:szCs w:val="32"/>
        </w:rPr>
        <w:t>2.定点收治医院处置流程</w:t>
      </w:r>
      <w:r>
        <w:rPr>
          <w:rFonts w:ascii="仿宋_GB2312" w:eastAsia="仿宋_GB2312" w:cs="仿宋"/>
          <w:color w:val="000000"/>
          <w:sz w:val="32"/>
          <w:szCs w:val="32"/>
        </w:rPr>
        <w:t>。</w:t>
      </w:r>
    </w:p>
    <w:p>
      <w:pPr>
        <w:spacing w:line="560" w:lineRule="exact"/>
        <w:ind w:left="0" w:firstLineChars="200" w:firstLine="640"/>
        <w:jc w:val="both"/>
        <w:rPr>
          <w:rFonts w:ascii="仿宋_GB2312" w:eastAsia="仿宋_GB2312" w:cs="仿宋" w:hint="eastAsia"/>
          <w:color w:val="0000FF"/>
          <w:sz w:val="32"/>
          <w:szCs w:val="32"/>
        </w:rPr>
      </w:pPr>
      <w:r>
        <w:rPr>
          <w:rFonts w:ascii="仿宋_GB2312" w:eastAsia="仿宋_GB2312" w:cs="仿宋" w:hint="eastAsia"/>
          <w:color w:val="000000"/>
          <w:kern w:val="0"/>
          <w:sz w:val="32"/>
          <w:szCs w:val="32"/>
        </w:rPr>
        <w:t>（1）病例接诊和报告。与非定点收治医院要求相同。</w:t>
      </w:r>
    </w:p>
    <w:p>
      <w:pPr>
        <w:spacing w:line="560" w:lineRule="exact"/>
        <w:ind w:firstLineChars="196" w:firstLine="627"/>
        <w:jc w:val="both"/>
        <w:rPr>
          <w:rFonts w:ascii="仿宋_GB2312" w:eastAsia="仿宋_GB2312" w:cs="仿宋" w:hint="eastAsia"/>
          <w:color w:val="000000"/>
          <w:kern w:val="0"/>
          <w:sz w:val="32"/>
          <w:szCs w:val="32"/>
        </w:rPr>
      </w:pPr>
      <w:r>
        <w:rPr>
          <w:rFonts w:ascii="仿宋_GB2312" w:eastAsia="仿宋_GB2312" w:cs="仿宋" w:hint="eastAsia"/>
          <w:color w:val="000000"/>
          <w:kern w:val="0"/>
          <w:sz w:val="32"/>
          <w:szCs w:val="32"/>
        </w:rPr>
        <w:t>（2）确诊和疑似病例处置。本院接诊发现或有其它医院转诊而来疑似儿童病例，马上启动应急响应。</w:t>
      </w:r>
    </w:p>
    <w:p>
      <w:pPr>
        <w:pStyle w:val="25"/>
        <w:snapToGrid w:val="0"/>
        <w:spacing w:line="560" w:lineRule="exact"/>
        <w:ind w:left="0" w:firstLineChars="200" w:firstLine="640"/>
        <w:jc w:val="both"/>
        <w:rPr>
          <w:rFonts w:ascii="仿宋_GB2312" w:eastAsia="仿宋_GB2312" w:cs="仿宋" w:hint="eastAsia"/>
          <w:color w:val="000000"/>
          <w:sz w:val="32"/>
          <w:szCs w:val="32"/>
        </w:rPr>
      </w:pPr>
      <w:r>
        <w:rPr>
          <w:rFonts w:ascii="仿宋_GB2312" w:eastAsia="仿宋_GB2312" w:cs="仿宋" w:hint="eastAsia"/>
          <w:color w:val="000000"/>
          <w:sz w:val="32"/>
          <w:szCs w:val="32"/>
        </w:rPr>
        <w:t>本院接诊发现疑似儿童病例，应在2小时内院内专家会诊，不能排除疑似病例的，按照院内设置的专用路线，收住隔离病房，并给予相应处置。</w:t>
      </w:r>
    </w:p>
    <w:p>
      <w:pPr>
        <w:pStyle w:val="25"/>
        <w:snapToGrid w:val="0"/>
        <w:spacing w:line="560" w:lineRule="exact"/>
        <w:ind w:firstLineChars="200" w:firstLine="640"/>
        <w:jc w:val="both"/>
        <w:rPr>
          <w:rFonts w:ascii="仿宋_GB2312" w:eastAsia="仿宋_GB2312" w:cs="仿宋" w:hint="eastAsia"/>
          <w:sz w:val="32"/>
          <w:szCs w:val="32"/>
        </w:rPr>
      </w:pPr>
      <w:r>
        <w:rPr>
          <w:rFonts w:ascii="仿宋_GB2312" w:eastAsia="仿宋_GB2312" w:cs="仿宋" w:hint="eastAsia"/>
          <w:sz w:val="32"/>
          <w:szCs w:val="32"/>
        </w:rPr>
        <w:t>有其它医院转诊的疑似儿童病例和确诊病例，立即通知保安在医院专用转运路线上拉警戒线，疏散人群，引导急救转运车将儿童患者直接送达指定隔离病房，尽可能减少暴露及对周围环境的污染。同时通知专家小组成员赶赴科室参与急救治疗工作，并按规定做好防护。疑似儿童病例应单人单间隔离治疗，危重症儿童病例建议收治在负压隔离病房。危重症儿童病例需尽早收入ICU治疗，并及时请市级、自治区专家会诊，进一步确定治疗方案。</w:t>
      </w:r>
    </w:p>
    <w:p>
      <w:pPr>
        <w:pStyle w:val="16"/>
        <w:spacing w:after="0" w:line="560" w:lineRule="exact"/>
        <w:ind w:leftChars="0" w:left="0"/>
        <w:rPr>
          <w:rFonts w:ascii="仿宋_GB2312" w:eastAsia="仿宋_GB2312" w:cs="仿宋" w:hint="eastAsia"/>
          <w:sz w:val="32"/>
          <w:szCs w:val="32"/>
        </w:rPr>
      </w:pPr>
      <w:r>
        <w:rPr>
          <w:rFonts w:ascii="仿宋_GB2312" w:eastAsia="仿宋_GB2312" w:cs="仿宋" w:hint="eastAsia"/>
          <w:sz w:val="32"/>
          <w:szCs w:val="32"/>
        </w:rPr>
        <w:t>3.病例转运</w:t>
      </w:r>
      <w:r>
        <w:rPr>
          <w:rFonts w:ascii="仿宋_GB2312" w:eastAsia="仿宋_GB2312" w:cs="仿宋"/>
          <w:sz w:val="32"/>
          <w:szCs w:val="32"/>
        </w:rPr>
        <w:t>。</w:t>
      </w:r>
    </w:p>
    <w:p>
      <w:pPr>
        <w:pStyle w:val="25"/>
        <w:snapToGrid w:val="0"/>
        <w:spacing w:line="560" w:lineRule="exact"/>
        <w:ind w:firstLine="640"/>
        <w:jc w:val="both"/>
        <w:rPr>
          <w:rFonts w:ascii="仿宋_GB2312" w:eastAsia="仿宋_GB2312" w:cs="仿宋" w:hint="eastAsia"/>
          <w:color w:val="000000"/>
          <w:sz w:val="32"/>
          <w:szCs w:val="32"/>
          <w14:textFill>
            <w14:solidFill>
              <w14:srgbClr w14:val="000000"/>
            </w14:solidFill>
          </w14:textFill>
        </w:rPr>
      </w:pPr>
      <w:r>
        <w:rPr>
          <w:rFonts w:ascii="仿宋_GB2312" w:eastAsia="仿宋_GB2312" w:cs="仿宋" w:hint="eastAsia"/>
          <w:color w:val="000000"/>
          <w:sz w:val="32"/>
          <w:szCs w:val="32"/>
          <w14:textFill>
            <w14:solidFill>
              <w14:srgbClr w14:val="000000"/>
            </w14:solidFill>
          </w14:textFill>
        </w:rPr>
        <w:t>疑似病例和确诊病例均需严格按照国家卫生健康委关于《新型冠状病毒感染的肺炎病例转运工作方案（试行）通知》的要求，尽量使用负压救护车转运至定点收治医院集中救治。普通儿童病例，由辖区“120”急救中心统一安排专车转运；危重症儿童病例，及时组织市级、自治区专家会诊，在充分评估病情、转运风险后，具备转运条件的，及时转运到市级及以上定点收治医院开展多学科联合救治。卫生健康行政部门应组织辖区联合急救小组专家参与危重儿童急救，提高急救成功率。</w:t>
      </w:r>
    </w:p>
    <w:p>
      <w:pPr>
        <w:spacing w:line="560" w:lineRule="exact"/>
        <w:ind w:left="0" w:firstLineChars="200" w:firstLine="640"/>
        <w:jc w:val="both"/>
        <w:rPr>
          <w:rFonts w:ascii="黑体" w:eastAsia="黑体" w:cs="黑体" w:hint="eastAsia"/>
          <w:sz w:val="32"/>
          <w:szCs w:val="32"/>
        </w:rPr>
      </w:pPr>
      <w:r>
        <w:rPr>
          <w:rFonts w:ascii="黑体" w:eastAsia="黑体" w:cs="黑体" w:hint="eastAsia"/>
          <w:sz w:val="32"/>
          <w:szCs w:val="32"/>
        </w:rPr>
        <w:t>四、工作要求</w:t>
      </w:r>
    </w:p>
    <w:p>
      <w:pPr>
        <w:spacing w:line="560" w:lineRule="exact"/>
        <w:ind w:left="0" w:firstLineChars="200" w:firstLine="640"/>
        <w:jc w:val="both"/>
        <w:rPr>
          <w:rFonts w:ascii="仿宋_GB2312" w:eastAsia="仿宋_GB2312" w:cs="仿宋" w:hint="eastAsia"/>
          <w:sz w:val="32"/>
          <w:szCs w:val="32"/>
        </w:rPr>
      </w:pPr>
      <w:r>
        <w:rPr>
          <w:rFonts w:ascii="楷体_GB2312" w:eastAsia="楷体_GB2312" w:cs="仿宋" w:hint="eastAsia"/>
          <w:sz w:val="32"/>
          <w:szCs w:val="32"/>
        </w:rPr>
        <w:t>（一）加强人员保障。</w:t>
      </w:r>
      <w:r>
        <w:rPr>
          <w:rFonts w:ascii="仿宋_GB2312" w:eastAsia="仿宋_GB2312" w:cs="仿宋" w:hint="eastAsia"/>
          <w:sz w:val="32"/>
          <w:szCs w:val="32"/>
        </w:rPr>
        <w:t>所有小组成员在应急预案启动后必须保证24小时通讯畅通，随叫随到。遇紧急抢救情况，领导小组要报辖区卫生健康行政部门，及时组织辖区联合急救专家小组成员共同参与危重儿童抢救。</w:t>
      </w:r>
    </w:p>
    <w:p>
      <w:pPr>
        <w:spacing w:line="560" w:lineRule="exact"/>
        <w:ind w:left="0" w:firstLineChars="200" w:firstLine="640"/>
        <w:jc w:val="both"/>
        <w:rPr>
          <w:rFonts w:ascii="仿宋_GB2312" w:eastAsia="仿宋_GB2312" w:cs="仿宋" w:hint="eastAsia"/>
          <w:sz w:val="32"/>
          <w:szCs w:val="32"/>
        </w:rPr>
      </w:pPr>
      <w:r>
        <w:rPr>
          <w:rFonts w:ascii="楷体_GB2312" w:eastAsia="楷体_GB2312" w:cs="仿宋" w:hint="eastAsia"/>
          <w:sz w:val="32"/>
          <w:szCs w:val="32"/>
        </w:rPr>
        <w:t>（二）加强技术保障。</w:t>
      </w:r>
      <w:r>
        <w:rPr>
          <w:rFonts w:ascii="仿宋_GB2312" w:eastAsia="仿宋_GB2312" w:cs="仿宋" w:hint="eastAsia"/>
          <w:sz w:val="32"/>
          <w:szCs w:val="32"/>
        </w:rPr>
        <w:t>加强对相关专业技术人员的业务培训，提高诊疗水平。加强应急预案的演练，保证抢救的及时性、有效性。</w:t>
      </w:r>
    </w:p>
    <w:p>
      <w:pPr>
        <w:spacing w:line="560" w:lineRule="exact"/>
        <w:ind w:firstLineChars="200" w:firstLine="640"/>
        <w:jc w:val="both"/>
        <w:rPr>
          <w:rFonts w:ascii="仿宋_GB2312" w:eastAsia="仿宋_GB2312" w:cs="仿宋" w:hint="eastAsia"/>
          <w:sz w:val="32"/>
          <w:szCs w:val="32"/>
        </w:rPr>
      </w:pPr>
      <w:r>
        <w:rPr>
          <w:rFonts w:ascii="楷体_GB2312" w:eastAsia="楷体_GB2312" w:cs="仿宋" w:hint="eastAsia"/>
          <w:sz w:val="32"/>
          <w:szCs w:val="32"/>
        </w:rPr>
        <w:t>（三）加强物资保障。</w:t>
      </w:r>
      <w:r>
        <w:rPr>
          <w:rFonts w:ascii="仿宋_GB2312" w:eastAsia="仿宋_GB2312" w:cs="仿宋" w:hint="eastAsia"/>
          <w:sz w:val="32"/>
          <w:szCs w:val="32"/>
        </w:rPr>
        <w:t>根据需要不断完善抢救设施，做好各种抢救药品和防护物资的储备,抢救设施完好率要求100%。</w:t>
      </w:r>
    </w:p>
    <w:p>
      <w:pPr>
        <w:spacing w:line="560" w:lineRule="exact"/>
        <w:ind w:firstLineChars="200" w:firstLine="640"/>
        <w:jc w:val="both"/>
        <w:rPr>
          <w:rFonts w:ascii="仿宋_GB2312" w:eastAsia="仿宋_GB2312" w:cs="仿宋" w:hint="eastAsia"/>
          <w:sz w:val="32"/>
          <w:szCs w:val="32"/>
        </w:rPr>
      </w:pPr>
      <w:r>
        <w:rPr>
          <w:rFonts w:ascii="楷体_GB2312" w:eastAsia="楷体_GB2312" w:cs="仿宋" w:hint="eastAsia"/>
          <w:sz w:val="32"/>
          <w:szCs w:val="32"/>
        </w:rPr>
        <w:t>（四）加强制度保障。</w:t>
      </w:r>
      <w:r>
        <w:rPr>
          <w:rFonts w:ascii="仿宋_GB2312" w:eastAsia="仿宋_GB2312" w:cs="仿宋" w:hint="eastAsia"/>
          <w:sz w:val="32"/>
          <w:szCs w:val="32"/>
        </w:rPr>
        <w:t>严格落实首诊负责制、预检分诊和发热门诊等制度，畅通转诊急救绿色通道，对下级定点收治医院转来的危重症患者必须优先予以安排，不得推诿。</w:t>
      </w:r>
    </w:p>
    <w:p>
      <w:pPr>
        <w:spacing w:line="560" w:lineRule="exact"/>
        <w:ind w:left="0" w:firstLineChars="200" w:firstLine="640"/>
        <w:jc w:val="both"/>
        <w:rPr>
          <w:rFonts w:ascii="仿宋_GB2312" w:eastAsia="仿宋_GB2312"/>
          <w:sz w:val="32"/>
          <w:szCs w:val="32"/>
        </w:rPr>
      </w:pPr>
    </w:p>
    <w:p>
      <w:pPr>
        <w:spacing w:line="560" w:lineRule="exact"/>
        <w:ind w:left="0" w:firstLineChars="200" w:firstLine="640"/>
        <w:jc w:val="both"/>
        <w:rPr>
          <w:rFonts w:ascii="仿宋_GB2312" w:eastAsia="仿宋_GB2312" w:hint="eastAsia"/>
          <w:sz w:val="32"/>
          <w:szCs w:val="32"/>
        </w:rPr>
      </w:pPr>
      <w:r>
        <w:rPr>
          <w:rFonts w:ascii="仿宋_GB2312" w:eastAsia="仿宋_GB2312" w:hint="eastAsia"/>
          <w:sz w:val="32"/>
          <w:szCs w:val="32"/>
        </w:rPr>
        <w:t>附件：确诊和疑似新冠肺炎儿童防治流程图</w:t>
      </w:r>
    </w:p>
    <w:p>
      <w:pPr>
        <w:pStyle w:val="16"/>
        <w:rPr>
          <w:rFonts w:ascii="仿宋" w:eastAsia="仿宋"/>
          <w:sz w:val="32"/>
          <w:szCs w:val="32"/>
        </w:rPr>
      </w:pPr>
    </w:p>
    <w:p>
      <w:pPr>
        <w:pStyle w:val="16"/>
        <w:rPr>
          <w:rFonts w:ascii="仿宋" w:eastAsia="仿宋"/>
          <w:sz w:val="32"/>
          <w:szCs w:val="32"/>
        </w:rPr>
      </w:pPr>
    </w:p>
    <w:p>
      <w:pPr>
        <w:pStyle w:val="16"/>
        <w:rPr>
          <w:rFonts w:ascii="仿宋" w:eastAsia="仿宋"/>
          <w:sz w:val="32"/>
          <w:szCs w:val="32"/>
        </w:rPr>
      </w:pPr>
    </w:p>
    <w:p>
      <w:pPr>
        <w:pStyle w:val="16"/>
        <w:rPr>
          <w:rFonts w:ascii="仿宋" w:eastAsia="仿宋"/>
          <w:sz w:val="32"/>
          <w:szCs w:val="32"/>
        </w:rPr>
      </w:pPr>
    </w:p>
    <w:p>
      <w:pPr>
        <w:pStyle w:val="16"/>
        <w:ind w:leftChars="0" w:left="0" w:firstLineChars="0" w:firstLine="0"/>
        <w:rPr>
          <w:rFonts w:ascii="黑体" w:eastAsia="黑体" w:cs="黑体" w:hint="eastAsia"/>
          <w:sz w:val="32"/>
          <w:szCs w:val="32"/>
          <w:lang w:eastAsia="zh-CN"/>
        </w:rPr>
      </w:pPr>
      <w:r>
        <w:rPr>
          <w:rFonts w:ascii="仿宋" w:eastAsia="仿宋"/>
          <w:sz w:val="32"/>
          <w:szCs w:val="32"/>
        </w:rPr>
        <w:br w:type="page"/>
      </w:r>
      <w:r>
        <w:rPr>
          <w:rFonts w:ascii="黑体" w:eastAsia="黑体" w:cs="黑体" w:hint="eastAsia"/>
          <w:sz w:val="32"/>
          <w:szCs w:val="32"/>
          <w:lang w:eastAsia="zh-CN"/>
        </w:rPr>
        <w:t>附件</w:t>
      </w:r>
    </w:p>
    <w:p>
      <w:pPr>
        <w:pStyle w:val="16"/>
        <w:ind w:leftChars="0" w:left="0" w:firstLineChars="0" w:hanging="359"/>
        <w:jc w:val="center"/>
      </w:pPr>
      <w:r>
        <w:drawing>
          <wp:inline distT="0" distB="0" distL="114300" distR="114300">
            <wp:extent cx="6044565" cy="7435977"/>
            <wp:effectExtent l="0" t="0" r="0" b="0"/>
            <wp:docPr id="1" name="图片 1"/>
            <wp:cNvGraphicFramePr>
              <a:graphicFrameLocks noChangeAspect="1"/>
            </wp:cNvGraphicFramePr>
            <a:graphic>
              <a:graphicData uri="http://schemas.openxmlformats.org/drawingml/2006/picture">
                <pic:pic>
                  <pic:nvPicPr>
                    <pic:cNvPr id="3" name="图片 1 3"/>
                    <pic:cNvPicPr/>
                  </pic:nvPicPr>
                  <pic:blipFill>
                    <a:blip r:embed="rId4"/>
                    <a:stretch>
                      <a:fillRect/>
                    </a:stretch>
                  </pic:blipFill>
                  <pic:spPr>
                    <a:xfrm rot="0">
                      <a:off x="0" y="0"/>
                      <a:ext cx="6044565" cy="7435977"/>
                    </a:xfrm>
                    <a:prstGeom prst="rect"/>
                    <a:noFill/>
                    <a:ln w="9525" cmpd="sng" cap="flat">
                      <a:noFill/>
                      <a:prstDash val="solid"/>
                      <a:round/>
                    </a:ln>
                  </pic:spPr>
                </pic:pic>
              </a:graphicData>
            </a:graphic>
          </wp:inline>
        </w:drawing>
      </w:r>
    </w:p>
    <w:p>
      <w:pPr>
        <w:pStyle w:val="16"/>
        <w:ind w:leftChars="0" w:left="0" w:firstLineChars="0" w:hanging="359"/>
        <w:rPr>
          <w:rFonts w:ascii="仿宋" w:eastAsia="仿宋"/>
          <w:color w:val="FF0000"/>
          <w:sz w:val="32"/>
          <w:szCs w:val="32"/>
        </w:rPr>
        <w:sectPr>
          <w:footerReference w:type="default" r:id="rId2"/>
          <w:footerReference w:type="even" r:id="rId3"/>
          <w:pgSz w:w="11907" w:h="16840"/>
          <w:pgMar w:top="1701" w:right="1418" w:bottom="1418" w:left="1701" w:header="851" w:footer="992" w:gutter="0"/>
          <w:pgNumType/>
          <w:titlePg/>
          <w:docGrid w:linePitch="326" w:charSpace="0"/>
        </w:sectPr>
      </w:pPr>
    </w:p>
    <w:p>
      <w:pPr>
        <w:pStyle w:val="16"/>
        <w:ind w:leftChars="0" w:left="0" w:firstLineChars="0" w:hanging="359"/>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ind w:leftChars="0" w:left="0" w:firstLineChars="0" w:firstLine="0"/>
        <w:rPr>
          <w:rFonts w:ascii="仿宋" w:eastAsia="仿宋"/>
          <w:color w:val="FF0000"/>
          <w:sz w:val="32"/>
          <w:szCs w:val="32"/>
        </w:rPr>
      </w:pPr>
    </w:p>
    <w:p>
      <w:pPr>
        <w:pStyle w:val="16"/>
        <w:spacing w:after="0" w:line="560" w:lineRule="exact"/>
        <w:ind w:leftChars="0" w:left="0" w:firstLineChars="0" w:firstLine="0"/>
        <w:rPr>
          <w:rFonts w:ascii="黑体" w:eastAsia="黑体" w:hint="eastAsia"/>
          <w:color w:val="000000"/>
          <w:sz w:val="32"/>
          <w:szCs w:val="32"/>
        </w:rPr>
      </w:pPr>
      <w:r>
        <w:rPr>
          <w:rFonts w:ascii="黑体" w:eastAsia="黑体" w:hint="eastAsia"/>
          <w:color w:val="000000"/>
          <w:sz w:val="32"/>
          <w:szCs w:val="32"/>
        </w:rPr>
        <w:t>信息公开形式：主动公开</w:t>
      </w:r>
    </w:p>
    <w:p>
      <w:pPr>
        <w:pStyle w:val="16"/>
        <w:spacing w:after="0" w:line="560" w:lineRule="exact"/>
        <w:ind w:leftChars="0" w:left="0" w:firstLineChars="100" w:firstLine="320"/>
        <w:rPr>
          <w:rFonts w:ascii="仿宋_GB2312" w:eastAsia="仿宋_GB2312" w:hint="eastAsia"/>
          <w:color w:val="000000"/>
          <w:sz w:val="28"/>
          <w:szCs w:val="28"/>
        </w:rPr>
      </w:pPr>
      <w:r>
        <w:rPr>
          <w:rFonts w:ascii="黑体" w:eastAsia="黑体" w:hint="eastAsia"/>
          <w:color w:val="000000"/>
          <w:sz w:val="32"/>
          <w:szCs w:val="32"/>
        </w:rPr>
        <mc:AlternateContent>
          <mc:Choice Requires="wps">
            <w:drawing>
              <wp:anchor distT="0" distB="0" distL="114298" distR="114298" simplePos="0" relativeHeight="13" behindDoc="0" locked="0" layoutInCell="1" hidden="0" allowOverlap="1">
                <wp:simplePos x="0" y="0"/>
                <wp:positionH relativeFrom="column">
                  <wp:posOffset>-13334</wp:posOffset>
                </wp:positionH>
                <wp:positionV relativeFrom="paragraph">
                  <wp:posOffset>39908</wp:posOffset>
                </wp:positionV>
                <wp:extent cx="5562600" cy="1"/>
                <wp:effectExtent l="0" t="0" r="0" b="0"/>
                <wp:wrapNone/>
                <wp:docPr id="4" name="直线"/>
                <wp:cNvGraphicFramePr>
                  <a:graphicFrameLocks noChangeAspect="0"/>
                </wp:cNvGraphicFramePr>
                <a:graphic>
                  <a:graphicData uri="http://schemas.microsoft.com/office/word/2010/wordprocessingShape">
                    <wps:wsp>
                      <wps:cNvSpPr/>
                      <wps:spPr>
                        <a:xfrm flipV="1" rot="21600000">
                          <a:off x="0" y="0"/>
                          <a:ext cx="5562600" cy="1"/>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5" o:spid="_x0000_s5" from="-1.0499852pt,3.1424081pt" to="436.95pt,3.1424997pt" filled="f" stroked="t" style="position:absolute;flip:y;z-index:13;mso-position-horizontal:absolute;mso-position-vertical:absolute;mso-wrap-distance-left:8.999863pt;mso-wrap-distance-right:8.999863pt;">
                <v:stroke color="#000000"/>
              </v:line>
            </w:pict>
          </mc:Fallback>
        </mc:AlternateContent>
      </w:r>
      <w:r>
        <w:rPr>
          <w:rFonts w:ascii="仿宋" w:eastAsia="仿宋"/>
          <w:color w:val="FF0000"/>
          <w:sz w:val="32"/>
          <w:szCs w:val="32"/>
        </w:rPr>
        <mc:AlternateContent>
          <mc:Choice Requires="wps">
            <w:drawing>
              <wp:anchor distT="0" distB="0" distL="114298" distR="114298" simplePos="0" relativeHeight="14" behindDoc="0" locked="0" layoutInCell="1" hidden="0" allowOverlap="1">
                <wp:simplePos x="0" y="0"/>
                <wp:positionH relativeFrom="column">
                  <wp:posOffset>-13334</wp:posOffset>
                </wp:positionH>
                <wp:positionV relativeFrom="paragraph">
                  <wp:posOffset>411377</wp:posOffset>
                </wp:positionV>
                <wp:extent cx="5562600" cy="1"/>
                <wp:effectExtent l="0" t="0" r="0" b="0"/>
                <wp:wrapNone/>
                <wp:docPr id="6" name="直线"/>
                <wp:cNvGraphicFramePr>
                  <a:graphicFrameLocks noChangeAspect="0"/>
                </wp:cNvGraphicFramePr>
                <a:graphic>
                  <a:graphicData uri="http://schemas.microsoft.com/office/word/2010/wordprocessingShape">
                    <wps:wsp>
                      <wps:cNvSpPr/>
                      <wps:spPr>
                        <a:xfrm rot="0">
                          <a:off x="0" y="0"/>
                          <a:ext cx="5562600" cy="1"/>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7" o:spid="_x0000_s7" from="-1.0499852pt,32.391964pt" to="436.95pt,32.392056pt" filled="f" stroked="t" style="position:absolute;z-index:14;mso-position-horizontal:absolute;mso-position-vertical:absolute;mso-wrap-distance-left:8.999863pt;mso-wrap-distance-right:8.999863pt;">
                <v:stroke color="#000000"/>
              </v:line>
            </w:pict>
          </mc:Fallback>
        </mc:AlternateContent>
      </w:r>
      <w:r>
        <w:rPr>
          <w:rFonts w:ascii="仿宋_GB2312" w:eastAsia="仿宋_GB2312" w:hint="eastAsia"/>
          <w:color w:val="000000"/>
          <w:sz w:val="28"/>
          <w:szCs w:val="28"/>
        </w:rPr>
        <w:t xml:space="preserve">广西壮族自治区卫生健康委办公室    </w:t>
      </w:r>
      <w:r>
        <w:rPr>
          <w:rFonts w:ascii="仿宋_GB2312" w:eastAsia="仿宋_GB2312"/>
          <w:color w:val="000000"/>
          <w:sz w:val="28"/>
          <w:szCs w:val="28"/>
        </w:rPr>
        <w:t xml:space="preserve">     </w:t>
      </w:r>
      <w:r>
        <w:rPr>
          <w:rFonts w:ascii="仿宋_GB2312" w:eastAsia="仿宋_GB2312" w:hint="eastAsia"/>
          <w:color w:val="000000"/>
          <w:sz w:val="28"/>
          <w:szCs w:val="28"/>
        </w:rPr>
        <w:t>2020年2月19日印发</w:t>
      </w:r>
    </w:p>
    <w:sectPr>
      <w:pgSz w:w="11907" w:h="16840"/>
      <w:pgMar w:top="1701" w:right="1418" w:bottom="1418" w:left="1701" w:header="851" w:footer="992" w:gutter="0"/>
      <w:pgNumType/>
      <w:titlePg/>
      <w:docGrid w:linePitch="326"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modern"/>
    <w:pitch w:val="variable"/>
    <w:sig w:usb0="00000000" w:usb1="00000000" w:usb2="00000010" w:usb3="00000000" w:csb0="00040000" w:csb1="00000000"/>
  </w:font>
  <w:font w:name="方正小标宋简体">
    <w:altName w:val="Arial Unicode MS"/>
    <w:panose1 w:val="00000000000000000000"/>
    <w:charset w:val="86"/>
    <w:family w:val="script"/>
    <w:pitch w:val="variable"/>
    <w:sig w:usb0="00000000" w:usb1="0000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hint="eastAsia"/>
        <w:sz w:val="28"/>
        <w:szCs w:val="28"/>
      </w:rPr>
    </w:pPr>
    <w:r>
      <w:rPr>
        <w:rStyle w:val="51"/>
        <w:rFonts w:hint="eastAsia"/>
        <w:sz w:val="28"/>
        <w:szCs w:val="28"/>
      </w:rPr>
      <w:t>—</w:t>
    </w:r>
    <w:r>
      <w:rPr>
        <w:rStyle w:val="51"/>
        <w:rFonts w:hint="eastAsia"/>
        <w:sz w:val="28"/>
        <w:szCs w:val="28"/>
      </w:rPr>
      <w:fldChar w:fldCharType="begin"/>
    </w:r>
    <w:r>
      <w:rPr>
        <w:rStyle w:val="51"/>
        <w:rFonts w:hint="eastAsia"/>
        <w:sz w:val="28"/>
        <w:szCs w:val="28"/>
      </w:rPr>
      <w:instrText>Page</w:instrText>
    </w:r>
    <w:r>
      <w:rPr>
        <w:rStyle w:val="51"/>
        <w:rFonts w:hint="eastAsia"/>
        <w:sz w:val="28"/>
        <w:szCs w:val="28"/>
      </w:rPr>
      <w:fldChar w:fldCharType="separate"/>
    </w:r>
    <w:r>
      <w:rPr>
        <w:rStyle w:val="51"/>
        <w:rFonts w:hint="eastAsia"/>
        <w:sz w:val="28"/>
        <w:szCs w:val="28"/>
      </w:rPr>
      <w:t>1</w:t>
    </w:r>
    <w:r>
      <w:rPr>
        <w:rStyle w:val="51"/>
        <w:rFonts w:hint="eastAsia"/>
        <w:sz w:val="28"/>
        <w:szCs w:val="28"/>
      </w:rPr>
      <w:fldChar w:fldCharType="end"/>
    </w:r>
    <w:r>
      <w:rPr>
        <w:rStyle w:val="51"/>
        <w:rFonts w:hint="eastAsia"/>
        <w:sz w:val="28"/>
        <w:szCs w:val="28"/>
      </w:rPr>
      <w:t>—</w:t>
    </w:r>
  </w:p>
  <w:p>
    <w:pPr>
      <w:pStyle w:val="18"/>
      <w:tabs>
        <w:tab w:val="center" w:pos="4153"/>
        <w:tab w:val="right" w:pos="8306"/>
      </w:tabs>
      <w:ind w:right="360" w:firstLine="360"/>
      <w:rPr>
        <w:rFonts w:hint="eastAsia"/>
        <w:sz w:val="28"/>
        <w:szCs w:val="28"/>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51"/>
      </w:rPr>
      <w:fldChar w:fldCharType="begin"/>
    </w:r>
    <w:r>
      <w:rPr>
        <w:rStyle w:val="51"/>
      </w:rPr>
      <w:instrText>Page</w:instrText>
    </w:r>
    <w:r>
      <w:rPr>
        <w:rStyle w:val="51"/>
      </w:rPr>
      <w:fldChar w:fldCharType="separate"/>
    </w:r>
    <w:r>
      <w:rPr>
        <w:rStyle w:val="51"/>
      </w:rPr>
      <w:t>1</w:t>
    </w:r>
    <w:r>
      <w:rPr>
        <w:rStyle w:val="51"/>
      </w:rPr>
      <w:fldChar w:fldCharType="end"/>
    </w:r>
  </w:p>
  <w:p>
    <w:pPr>
      <w:pStyle w:val="18"/>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displayBackgroundShape/>
  <w:bordersDoNotSurroundHeader/>
  <w:bordersDoNotSurroundFooter/>
  <w:defaultTabStop w:val="420"/>
  <w:drawingGridHorizontalSpacing w:val="120"/>
  <w:drawingGridVerticalSpacing w:val="163"/>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pPr>
    <w:rPr>
      <w:rFonts w:ascii="宋体" w:eastAsia="宋体" w:cs="Times New Roman"/>
      <w:kern w:val="2"/>
      <w:sz w:val="24"/>
      <w:szCs w:val="21"/>
      <w:lang w:val="en-US" w:eastAsia="zh-CN" w:bidi="ar-SA"/>
    </w:rPr>
  </w:style>
  <w:style w:type="paragraph" w:styleId="1">
    <w:name w:val="heading 1"/>
    <w:next w:val="0"/>
    <w:pPr>
      <w:spacing w:before="100" w:beforeAutospacing="1" w:after="100" w:afterAutospacing="1"/>
      <w:outlineLvl w:val="0"/>
    </w:pPr>
    <w:rPr>
      <w:rFonts w:ascii="宋体" w:eastAsia="宋体" w:cs="Times New Roman"/>
      <w:b/>
      <w:kern w:val="36"/>
      <w:sz w:val="48"/>
      <w:szCs w:val="21"/>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Indent"/>
    <w:basedOn w:val="0"/>
    <w:pPr>
      <w:ind w:firstLineChars="200" w:firstLine="200"/>
    </w:pPr>
    <w:rPr>
      <w:rFonts w:eastAsia="仿宋_GB2312"/>
      <w:sz w:val="28"/>
    </w:rPr>
  </w:style>
  <w:style w:type="paragraph" w:styleId="16">
    <w:name w:val="Body Text First Indent 2"/>
    <w:basedOn w:val="15"/>
    <w:pPr>
      <w:spacing w:after="120"/>
      <w:ind w:leftChars="200" w:left="200"/>
      <w:jc w:val="both"/>
    </w:pPr>
    <w:rPr>
      <w:rFonts w:ascii="Times New Roman" w:eastAsia="宋体" w:hAnsi="Times New Roman"/>
      <w:sz w:val="21"/>
      <w:szCs w:val="24"/>
    </w:rPr>
  </w:style>
  <w:style w:type="paragraph" w:styleId="17">
    <w:name w:val="Balloon Text"/>
    <w:basedOn w:val="0"/>
    <w:rPr>
      <w:sz w:val="18"/>
      <w:szCs w:val="18"/>
    </w:rPr>
  </w:style>
  <w:style w:type="paragraph" w:styleId="18">
    <w:name w:val="footer"/>
    <w:basedOn w:val="0"/>
    <w:pPr>
      <w:tabs>
        <w:tab w:val="center" w:pos="4153"/>
        <w:tab w:val="right" w:pos="8306"/>
      </w:tabs>
      <w:snapToGrid w:val="0"/>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Normal (Web)"/>
    <w:basedOn w:val="0"/>
    <w:pPr>
      <w:spacing w:before="100" w:beforeAutospacing="1" w:after="100" w:afterAutospacing="1"/>
    </w:pPr>
  </w:style>
  <w:style w:type="character" w:styleId="21">
    <w:name w:val="Strong"/>
    <w:rPr>
      <w:b/>
    </w:rPr>
  </w:style>
  <w:style w:type="character" w:styleId="22">
    <w:name w:val="Hyperlink"/>
    <w:rPr>
      <w:color w:val="0000FF"/>
      <w:u w:val="single"/>
    </w:rPr>
  </w:style>
  <w:style w:type="character" w:customStyle="1" w:styleId="23">
    <w:name w:val="fontstyle01"/>
    <w:basedOn w:val="10"/>
    <w:rPr>
      <w:rFonts w:ascii="仿宋" w:eastAsia="仿宋" w:cs="仿宋"/>
      <w:color w:val="000000"/>
      <w:sz w:val="32"/>
      <w:szCs w:val="32"/>
    </w:rPr>
  </w:style>
  <w:style w:type="character" w:customStyle="1" w:styleId="24">
    <w:name w:val="fontstyle11"/>
    <w:basedOn w:val="10"/>
    <w:rPr>
      <w:rFonts w:ascii="Times New Roman" w:cs="Times New Roman" w:hAnsi="Times New Roman"/>
      <w:color w:val="000000"/>
      <w:sz w:val="18"/>
      <w:szCs w:val="18"/>
    </w:rPr>
  </w:style>
  <w:style w:type="paragraph" w:customStyle="1" w:styleId="25">
    <w:name w:val="p0"/>
    <w:basedOn w:val="0"/>
    <w:pPr>
      <w:widowControl/>
    </w:pPr>
    <w:rPr>
      <w:rFonts w:ascii="Calibri" w:cs="宋体" w:hAnsi="Calibri"/>
      <w:kern w:val="0"/>
    </w:rPr>
  </w:style>
  <w:style w:type="character" w:styleId="51">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2.png"/><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67</TotalTime>
  <Application>Yozo_Office</Application>
  <Pages>8</Pages>
  <Words>2583</Words>
  <Characters>2623</Characters>
  <Lines>165</Lines>
  <Paragraphs>43</Paragraphs>
  <CharactersWithSpaces>2676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gxws</dc:creator>
  <cp:lastModifiedBy>SYY</cp:lastModifiedBy>
  <cp:revision>36</cp:revision>
  <cp:lastPrinted>2020-02-19T07:57:24Z</cp:lastPrinted>
  <dcterms:created xsi:type="dcterms:W3CDTF">2020-02-16T13:08:00Z</dcterms:created>
  <dcterms:modified xsi:type="dcterms:W3CDTF">2020-02-19T08:04:25Z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2052-11.1.0.9440</vt:lpwstr>
  </property>
</Properties>
</file>