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spacing w:beforeLines="0" w:afterLines="0"/>
        <w:rPr>
          <w:rFonts w:hint="default" w:ascii="Times New Roman" w:eastAsia="宋体"/>
          <w:sz w:val="20"/>
          <w:szCs w:val="24"/>
        </w:rPr>
      </w:pPr>
      <w:r>
        <w:rPr>
          <w:rFonts w:hint="default"/>
          <w:sz w:val="52"/>
          <w:szCs w:val="24"/>
        </w:rPr>
        <mc:AlternateContent>
          <mc:Choice Requires="wps">
            <w:drawing>
              <wp:anchor distT="0" distB="0" distL="114300" distR="114300" simplePos="0" relativeHeight="251661312" behindDoc="0" locked="0" layoutInCell="0" allowOverlap="1">
                <wp:simplePos x="0" y="0"/>
                <wp:positionH relativeFrom="page">
                  <wp:posOffset>894715</wp:posOffset>
                </wp:positionH>
                <wp:positionV relativeFrom="page">
                  <wp:posOffset>4884420</wp:posOffset>
                </wp:positionV>
                <wp:extent cx="5770880" cy="12700"/>
                <wp:effectExtent l="0" t="19050" r="1270" b="6350"/>
                <wp:wrapNone/>
                <wp:docPr id="3" name="任意多边形 10"/>
                <wp:cNvGraphicFramePr/>
                <a:graphic xmlns:a="http://schemas.openxmlformats.org/drawingml/2006/main">
                  <a:graphicData uri="http://schemas.microsoft.com/office/word/2010/wordprocessingShape">
                    <wps:wsp>
                      <wps:cNvSpPr/>
                      <wps:spPr>
                        <a:xfrm>
                          <a:off x="0" y="0"/>
                          <a:ext cx="5770880" cy="12700"/>
                        </a:xfrm>
                        <a:custGeom>
                          <a:avLst/>
                          <a:gdLst/>
                          <a:ahLst/>
                          <a:cxnLst/>
                          <a:pathLst>
                            <a:path w="9088" h="20">
                              <a:moveTo>
                                <a:pt x="0" y="0"/>
                              </a:moveTo>
                              <a:lnTo>
                                <a:pt x="9087" y="0"/>
                              </a:lnTo>
                            </a:path>
                          </a:pathLst>
                        </a:custGeom>
                        <a:noFill/>
                        <a:ln w="38100" cap="flat" cmpd="sng">
                          <a:solidFill>
                            <a:srgbClr val="ED1C24"/>
                          </a:solidFill>
                          <a:prstDash val="solid"/>
                          <a:headEnd type="none" w="med" len="med"/>
                          <a:tailEnd type="none" w="med" len="med"/>
                        </a:ln>
                      </wps:spPr>
                      <wps:bodyPr wrap="square" upright="1"/>
                    </wps:wsp>
                  </a:graphicData>
                </a:graphic>
              </wp:anchor>
            </w:drawing>
          </mc:Choice>
          <mc:Fallback>
            <w:pict>
              <v:shape id="任意多边形 10" o:spid="_x0000_s1026" o:spt="100" style="position:absolute;left:0pt;margin-left:70.45pt;margin-top:384.6pt;height:1pt;width:454.4pt;mso-position-horizontal-relative:page;mso-position-vertical-relative:page;z-index:251661312;mso-width-relative:page;mso-height-relative:page;" filled="f" stroked="t" coordsize="9088,20" o:allowincell="f" o:gfxdata="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x4uHq2gAAAAwBAAAPAAAAAAAAAAEAIAAA&#10;ACIAAABkcnMvZG93bnJldi54bWxQSwECFAAUAAAACACHTuJAxw41P0MCAACdBAAADgAAAAAAAAAB&#10;ACAAAAApAQAAZHJzL2Uyb0RvYy54bWxQSwUGAAAAAAYABgBZAQAA3gUAAAAA&#10;" path="m0,0l9087,0e">
                <v:fill on="f" focussize="0,0"/>
                <v:stroke weight="3pt" color="#ED1C24" joinstyle="round"/>
                <v:imagedata o:title=""/>
                <o:lock v:ext="edit" aspectratio="f"/>
              </v:shape>
            </w:pict>
          </mc:Fallback>
        </mc:AlternateContent>
      </w:r>
    </w:p>
    <w:p>
      <w:pPr>
        <w:pStyle w:val="3"/>
        <w:kinsoku w:val="0"/>
        <w:overflowPunct w:val="0"/>
        <w:spacing w:beforeLines="0" w:afterLines="0" w:line="400" w:lineRule="exact"/>
        <w:rPr>
          <w:rFonts w:hint="default" w:ascii="Times New Roman" w:eastAsia="宋体"/>
          <w:sz w:val="20"/>
          <w:szCs w:val="24"/>
        </w:rPr>
      </w:pPr>
    </w:p>
    <w:p>
      <w:pPr>
        <w:pStyle w:val="3"/>
        <w:kinsoku w:val="0"/>
        <w:overflowPunct w:val="0"/>
        <w:spacing w:beforeLines="0" w:afterLines="0"/>
        <w:rPr>
          <w:rFonts w:hint="default" w:ascii="Times New Roman" w:eastAsia="宋体"/>
          <w:sz w:val="20"/>
          <w:szCs w:val="24"/>
        </w:rPr>
      </w:pPr>
    </w:p>
    <w:p>
      <w:pPr>
        <w:pStyle w:val="3"/>
        <w:kinsoku w:val="0"/>
        <w:overflowPunct w:val="0"/>
        <w:spacing w:beforeLines="0" w:afterLines="0"/>
        <w:rPr>
          <w:rFonts w:hint="default" w:ascii="Times New Roman" w:eastAsia="宋体"/>
          <w:sz w:val="20"/>
          <w:szCs w:val="24"/>
        </w:rPr>
      </w:pPr>
    </w:p>
    <w:p>
      <w:pPr>
        <w:pStyle w:val="3"/>
        <w:kinsoku w:val="0"/>
        <w:overflowPunct w:val="0"/>
        <w:spacing w:beforeLines="0" w:afterLines="0"/>
        <w:rPr>
          <w:rFonts w:hint="default" w:ascii="Times New Roman" w:eastAsia="宋体"/>
          <w:sz w:val="20"/>
          <w:szCs w:val="24"/>
        </w:rPr>
      </w:pPr>
    </w:p>
    <w:p>
      <w:pPr>
        <w:pStyle w:val="3"/>
        <w:kinsoku w:val="0"/>
        <w:overflowPunct w:val="0"/>
        <w:spacing w:beforeLines="0" w:afterLines="0"/>
        <w:rPr>
          <w:rFonts w:hint="default" w:ascii="Times New Roman" w:eastAsia="宋体"/>
          <w:sz w:val="20"/>
          <w:szCs w:val="24"/>
        </w:rPr>
      </w:pPr>
    </w:p>
    <w:p>
      <w:pPr>
        <w:pStyle w:val="3"/>
        <w:kinsoku w:val="0"/>
        <w:overflowPunct w:val="0"/>
        <w:spacing w:before="120" w:beforeLines="50" w:afterLines="0"/>
        <w:rPr>
          <w:rFonts w:hint="default" w:ascii="Times New Roman" w:eastAsia="宋体"/>
          <w:sz w:val="20"/>
          <w:szCs w:val="24"/>
        </w:rPr>
      </w:pPr>
    </w:p>
    <w:p>
      <w:pPr>
        <w:pStyle w:val="3"/>
        <w:tabs>
          <w:tab w:val="left" w:pos="811"/>
          <w:tab w:val="left" w:pos="1622"/>
          <w:tab w:val="left" w:pos="2434"/>
          <w:tab w:val="left" w:pos="3245"/>
          <w:tab w:val="left" w:pos="4056"/>
          <w:tab w:val="left" w:pos="4867"/>
        </w:tabs>
        <w:kinsoku w:val="0"/>
        <w:overflowPunct w:val="0"/>
        <w:spacing w:before="132" w:beforeLines="0" w:afterLines="0"/>
        <w:ind w:left="2"/>
        <w:jc w:val="center"/>
        <w:rPr>
          <w:rFonts w:hint="default" w:ascii="方正小标宋简体" w:eastAsia="方正小标宋简体"/>
          <w:color w:val="ED1C24"/>
          <w:sz w:val="52"/>
          <w:szCs w:val="24"/>
        </w:rPr>
      </w:pPr>
      <w:r>
        <w:rPr>
          <w:rFonts w:hint="eastAsia" w:ascii="方正小标宋简体" w:eastAsia="方正小标宋简体"/>
          <w:color w:val="ED1C24"/>
          <w:sz w:val="52"/>
          <w:szCs w:val="24"/>
        </w:rPr>
        <w:t>广</w:t>
      </w:r>
      <w:r>
        <w:rPr>
          <w:rFonts w:hint="default" w:ascii="方正小标宋简体" w:eastAsia="方正小标宋简体"/>
          <w:color w:val="ED1C24"/>
          <w:sz w:val="52"/>
          <w:szCs w:val="24"/>
        </w:rPr>
        <w:tab/>
      </w:r>
      <w:r>
        <w:rPr>
          <w:rFonts w:hint="eastAsia" w:ascii="方正小标宋简体" w:eastAsia="方正小标宋简体"/>
          <w:color w:val="ED1C24"/>
          <w:sz w:val="52"/>
          <w:szCs w:val="24"/>
        </w:rPr>
        <w:t>西</w:t>
      </w:r>
      <w:r>
        <w:rPr>
          <w:rFonts w:hint="default" w:ascii="方正小标宋简体" w:eastAsia="方正小标宋简体"/>
          <w:color w:val="ED1C24"/>
          <w:sz w:val="52"/>
          <w:szCs w:val="24"/>
        </w:rPr>
        <w:tab/>
      </w:r>
      <w:r>
        <w:rPr>
          <w:rFonts w:hint="eastAsia" w:ascii="方正小标宋简体" w:eastAsia="方正小标宋简体"/>
          <w:color w:val="ED1C24"/>
          <w:sz w:val="52"/>
          <w:szCs w:val="24"/>
        </w:rPr>
        <w:t>壮</w:t>
      </w:r>
      <w:r>
        <w:rPr>
          <w:rFonts w:hint="default" w:ascii="方正小标宋简体" w:eastAsia="方正小标宋简体"/>
          <w:color w:val="ED1C24"/>
          <w:sz w:val="52"/>
          <w:szCs w:val="24"/>
        </w:rPr>
        <w:tab/>
      </w:r>
      <w:r>
        <w:rPr>
          <w:rFonts w:hint="eastAsia" w:ascii="方正小标宋简体" w:eastAsia="方正小标宋简体"/>
          <w:color w:val="ED1C24"/>
          <w:sz w:val="52"/>
          <w:szCs w:val="24"/>
        </w:rPr>
        <w:t>族</w:t>
      </w:r>
      <w:r>
        <w:rPr>
          <w:rFonts w:hint="default" w:ascii="方正小标宋简体" w:eastAsia="方正小标宋简体"/>
          <w:color w:val="ED1C24"/>
          <w:sz w:val="52"/>
          <w:szCs w:val="24"/>
        </w:rPr>
        <w:tab/>
      </w:r>
      <w:r>
        <w:rPr>
          <w:rFonts w:hint="eastAsia" w:ascii="方正小标宋简体" w:eastAsia="方正小标宋简体"/>
          <w:color w:val="ED1C24"/>
          <w:sz w:val="52"/>
          <w:szCs w:val="24"/>
        </w:rPr>
        <w:t>自</w:t>
      </w:r>
      <w:r>
        <w:rPr>
          <w:rFonts w:hint="default" w:ascii="方正小标宋简体" w:eastAsia="方正小标宋简体"/>
          <w:color w:val="ED1C24"/>
          <w:sz w:val="52"/>
          <w:szCs w:val="24"/>
        </w:rPr>
        <w:tab/>
      </w:r>
      <w:r>
        <w:rPr>
          <w:rFonts w:hint="eastAsia" w:ascii="方正小标宋简体" w:eastAsia="方正小标宋简体"/>
          <w:color w:val="ED1C24"/>
          <w:sz w:val="52"/>
          <w:szCs w:val="24"/>
        </w:rPr>
        <w:t>治</w:t>
      </w:r>
      <w:r>
        <w:rPr>
          <w:rFonts w:hint="default" w:ascii="方正小标宋简体" w:eastAsia="方正小标宋简体"/>
          <w:color w:val="ED1C24"/>
          <w:sz w:val="52"/>
          <w:szCs w:val="24"/>
        </w:rPr>
        <w:tab/>
      </w:r>
      <w:r>
        <w:rPr>
          <w:rFonts w:hint="eastAsia" w:ascii="方正小标宋简体" w:eastAsia="方正小标宋简体"/>
          <w:color w:val="ED1C24"/>
          <w:sz w:val="52"/>
          <w:szCs w:val="24"/>
        </w:rPr>
        <w:t>区</w:t>
      </w:r>
    </w:p>
    <w:p>
      <w:pPr>
        <w:pStyle w:val="6"/>
        <w:kinsoku w:val="0"/>
        <w:overflowPunct w:val="0"/>
        <w:spacing w:beforeLines="0" w:afterLines="0"/>
        <w:rPr>
          <w:rFonts w:hint="default" w:ascii="方正小标宋简体" w:eastAsia="方正小标宋简体"/>
          <w:color w:val="ED1C24"/>
          <w:spacing w:val="80"/>
          <w:sz w:val="80"/>
          <w:szCs w:val="24"/>
        </w:rPr>
      </w:pPr>
      <w:r>
        <w:rPr>
          <w:rFonts w:hint="eastAsia" w:ascii="方正小标宋简体" w:eastAsia="方正小标宋简体"/>
          <w:color w:val="ED1C24"/>
          <w:spacing w:val="80"/>
          <w:sz w:val="80"/>
          <w:szCs w:val="24"/>
        </w:rPr>
        <w:t>卫生健康委员会文件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桂卫妇幼发〔2022〕</w:t>
      </w:r>
      <w:r>
        <w:rPr>
          <w:rFonts w:hint="eastAsia" w:ascii="仿宋_GB2312" w:hAnsi="仿宋_GB2312" w:cs="仿宋_GB2312"/>
          <w:spacing w:val="0"/>
          <w:sz w:val="32"/>
          <w:szCs w:val="32"/>
          <w:u w:val="none"/>
          <w:lang w:val="en-US" w:eastAsia="zh-CN"/>
        </w:rPr>
        <w:t>5</w:t>
      </w:r>
      <w:r>
        <w:rPr>
          <w:rFonts w:hint="eastAsia" w:ascii="仿宋_GB2312" w:hAnsi="仿宋_GB2312" w:eastAsia="仿宋_GB2312" w:cs="仿宋_GB2312"/>
          <w:spacing w:val="0"/>
          <w:sz w:val="32"/>
          <w:szCs w:val="32"/>
          <w:u w:val="none"/>
          <w:lang w:val="en-US" w:eastAsia="zh-CN"/>
        </w:rPr>
        <w:t>号</w:t>
      </w:r>
    </w:p>
    <w:p>
      <w:pPr>
        <w:pStyle w:val="6"/>
        <w:kinsoku w:val="0"/>
        <w:overflowPunct w:val="0"/>
        <w:spacing w:beforeLines="0" w:afterLines="0"/>
        <w:rPr>
          <w:rFonts w:hint="default" w:ascii="仿宋_GB2312" w:eastAsia="仿宋_GB2312"/>
          <w:color w:val="ED1C24"/>
          <w:spacing w:val="80"/>
          <w:sz w:val="32"/>
          <w:szCs w:val="24"/>
        </w:rPr>
      </w:pPr>
    </w:p>
    <w:p>
      <w:pPr>
        <w:keepNext w:val="0"/>
        <w:keepLines w:val="0"/>
        <w:pageBreakBefore w:val="0"/>
        <w:widowControl w:val="0"/>
        <w:kinsoku/>
        <w:wordWrap/>
        <w:overflowPunct/>
        <w:topLinePunct w:val="0"/>
        <w:autoSpaceDE/>
        <w:autoSpaceDN/>
        <w:bidi w:val="0"/>
        <w:adjustRightInd/>
        <w:snapToGrid/>
        <w:spacing w:before="313" w:beforeLines="100" w:line="520" w:lineRule="exact"/>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lang w:val="en-US" w:eastAsia="zh-CN"/>
        </w:rPr>
        <w:t>自治区卫生健康委关于印发广西健康儿童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s="方正小标宋简体"/>
          <w:spacing w:val="-6"/>
          <w:sz w:val="44"/>
          <w:szCs w:val="44"/>
          <w:lang w:val="en-US" w:eastAsia="zh-CN"/>
        </w:rPr>
      </w:pPr>
      <w:r>
        <w:rPr>
          <w:rFonts w:hint="eastAsia" w:ascii="方正小标宋简体" w:eastAsia="方正小标宋简体" w:cs="方正小标宋简体"/>
          <w:spacing w:val="-6"/>
          <w:sz w:val="44"/>
          <w:szCs w:val="44"/>
          <w:lang w:val="en-US" w:eastAsia="zh-CN"/>
        </w:rPr>
        <w:t>行动提升计划实施方案（2021-2025年）的通知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各市、县（市、区）卫生健康委（局），区直医疗保健机构：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为贯彻落实国家卫生健康委《健康儿童行动提升计划（2021-2025年）》，提升儿童健康水平，我委制定了《广西健康儿童行动提升计划实施方案（2021-2025年）》。现印发给你们，请认真组织实施，确保工作取得实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广西壮族自治区卫生健康委员会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2022年3月15日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val="en-US" w:eastAsia="zh-CN"/>
        </w:rPr>
        <w:sectPr>
          <w:footerReference r:id="rId3" w:type="default"/>
          <w:pgSz w:w="11906" w:h="16838"/>
          <w:pgMar w:top="1701" w:right="1417" w:bottom="1417" w:left="1701" w:header="851" w:footer="992" w:gutter="0"/>
          <w:pgNumType w:fmt="decimal"/>
          <w:cols w:space="720" w:num="1"/>
          <w:rtlGutter w:val="0"/>
          <w:docGrid w:type="lines" w:linePitch="312" w:charSpace="0"/>
        </w:sectPr>
      </w:pPr>
    </w:p>
    <w:p>
      <w:pPr>
        <w:keepNext w:val="0"/>
        <w:keepLines w:val="0"/>
        <w:pageBreakBefore w:val="0"/>
        <w:kinsoku/>
        <w:wordWrap/>
        <w:overflowPunct/>
        <w:topLinePunct w:val="0"/>
        <w:autoSpaceDE/>
        <w:autoSpaceDN/>
        <w:bidi w:val="0"/>
        <w:adjustRightInd/>
        <w:spacing w:line="540" w:lineRule="exact"/>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lang w:val="en-US" w:eastAsia="zh-CN"/>
        </w:rPr>
        <w:t>广西健康儿童行动提升计划实施方案（2021-2025年）</w:t>
      </w:r>
    </w:p>
    <w:p>
      <w:pPr>
        <w:keepNext w:val="0"/>
        <w:keepLines w:val="0"/>
        <w:pageBreakBefore w:val="0"/>
        <w:kinsoku/>
        <w:wordWrap/>
        <w:overflowPunct/>
        <w:topLinePunct w:val="0"/>
        <w:autoSpaceDE/>
        <w:autoSpaceDN/>
        <w:bidi w:val="0"/>
        <w:adjustRightInd/>
        <w:spacing w:line="540" w:lineRule="exact"/>
        <w:jc w:val="both"/>
        <w:textAlignment w:val="auto"/>
        <w:rPr>
          <w:rFonts w:hint="eastAsia" w:asci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儿童是国家的未来、民族的希望，儿童健康是经济社会可持续发展的重要保障。为深入贯彻《中共中央、国务院关于优化生育政策促进人口长期均衡发展的决定》,落实《中国儿童发展纲要（2021-2030年）》《广西儿童发展规划（2021-2030年）》《健康广西行动（2020—2030年）》，进一步提高儿童健康水平，根据《国家卫生健康委关于印发健康儿童行动提升计划（2021-2025年）的通知》（国卫妇幼发〔2021〕33号）要求，结合我区实际，制定本实施方案。</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u w:val="none"/>
          <w:lang w:val="en-US" w:eastAsia="zh-CN"/>
        </w:rPr>
      </w:pPr>
      <w:r>
        <w:rPr>
          <w:rFonts w:hint="eastAsia" w:ascii="黑体" w:eastAsia="黑体" w:cs="黑体"/>
          <w:sz w:val="32"/>
          <w:szCs w:val="32"/>
          <w:u w:val="none"/>
          <w:lang w:val="en-US" w:eastAsia="zh-CN"/>
        </w:rPr>
        <w:t>一、指导思想</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u w:val="none"/>
          <w:lang w:val="en-US" w:eastAsia="zh-CN"/>
        </w:rPr>
      </w:pPr>
      <w:r>
        <w:rPr>
          <w:rFonts w:hint="eastAsia" w:ascii="仿宋_GB2312" w:eastAsia="仿宋_GB2312" w:cs="仿宋_GB2312"/>
          <w:sz w:val="32"/>
          <w:szCs w:val="32"/>
          <w:u w:val="none"/>
          <w:lang w:val="en-US" w:eastAsia="zh-CN"/>
        </w:rPr>
        <w:t>以习近平新时代中国特色社会主义思想为指导，深入贯彻落实党的十九大和十九届历次全会精神，全面贯彻落实习近平总书记对广西工作系列重要指示精神，坚持人民至上、生命至上的思想，贯彻预防为主，防治结合的方针，积极应对新时期儿童健康领域出现的新情况新问题，提高儿童健康服务能力，推进妇幼健康事业高质量发展。</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黑体" w:eastAsia="黑体" w:cs="黑体"/>
          <w:sz w:val="32"/>
          <w:szCs w:val="32"/>
          <w:u w:val="none"/>
          <w:lang w:val="en-US" w:eastAsia="zh-CN"/>
        </w:rPr>
      </w:pPr>
      <w:r>
        <w:rPr>
          <w:rFonts w:hint="eastAsia" w:ascii="黑体" w:eastAsia="黑体" w:cs="黑体"/>
          <w:sz w:val="32"/>
          <w:szCs w:val="32"/>
          <w:u w:val="none"/>
          <w:lang w:val="en-US" w:eastAsia="zh-CN"/>
        </w:rPr>
        <w:t>二、基本原则</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坚持儿童优先，共建共享。遵循儿童优先发展理念，动员全社会力量，共同保障儿童健康，为经济社会可持续发展提供健康人力资源。</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坚持预防为主，防治结合。推动以治病为中心向以健康为中心转变，保生存向促发展转变，构建整合型儿童健康服务体系，推进儿童健康事业高质量发展。</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坚持公平可及，促进均衡。加强农村地区儿童健康工作，夯实基层儿童健康服务基础，缩小城乡、地区之间差距，支持革命老区、少数民族聚居区、边境地区和乡村振兴重点帮扶地区的儿童健康事业发展，推动儿童健康服务均等化。</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坚持守正创新，持续发展。坚持保健与临床相结合、个体与群体相结合、中医与西医相结合，因地制宜，改革创新，确保儿童健康事业可持续发展。</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黑体" w:eastAsia="黑体" w:cs="黑体"/>
          <w:sz w:val="32"/>
          <w:szCs w:val="32"/>
          <w:u w:val="none"/>
          <w:lang w:val="en-US" w:eastAsia="zh-CN"/>
        </w:rPr>
      </w:pPr>
      <w:r>
        <w:rPr>
          <w:rFonts w:hint="eastAsia" w:ascii="黑体" w:eastAsia="黑体" w:cs="黑体"/>
          <w:sz w:val="32"/>
          <w:szCs w:val="32"/>
          <w:u w:val="none"/>
          <w:lang w:val="en-US" w:eastAsia="zh-CN"/>
        </w:rPr>
        <w:t>三、行动目标</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楷体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（一）主要目标。</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到2025年，覆盖城乡的儿童健康服务体系更加完善，基层儿童健康服务网络进一步加强，儿童医疗保健服务能力明显增强，儿童健康水平进一步提高。</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楷体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（二）具体目标。</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1.新生儿死亡率、婴儿死亡率和5岁以下儿童死亡率分别控制在3.1‰、5.0‰和6.3‰以下。</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2.6个月内婴儿纯母乳喂养率达到50%以上；5岁以下儿童生长迟缓率控制在5%以下。</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3.适龄儿童免疫规划疫苗接种率以乡（镇、街道）为单位保持在90%以上。</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4.婚前医学检查率稳定在97%以上。</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 xml:space="preserve">5.孕前优生健康检查目标人群覆盖率稳定在90%以上。 </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6.新生儿遗传代谢病筛查率、新生儿听力障碍筛查率和新生儿先天性心脏病筛查率均保持在98%以上。</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7．重型地中海贫血患儿出生率控制在 0.3/万以下。</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8.新生儿家庭访视率、3岁以下儿童系统管理率和7岁以下儿童健康管理率分别保持在90%以上、85%以上和90%以上。</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9.0～6岁儿童眼保健和视力检查覆盖率达到90%以上。</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10.儿童肥胖、贫血、视力不良、心理行为发育异常等健康问题得到积极干预。</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11.儿童常见疾病和恶性肿瘤等严重危害儿童健康的疾病得到有效防治。</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12.儿童健康生活方式进一步普及，儿童及其照护人健康素养提升。</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黑体" w:eastAsia="黑体" w:cs="黑体"/>
          <w:sz w:val="32"/>
          <w:szCs w:val="32"/>
          <w:u w:val="none"/>
          <w:lang w:val="en-US" w:eastAsia="zh-CN"/>
        </w:rPr>
      </w:pPr>
      <w:r>
        <w:rPr>
          <w:rFonts w:hint="eastAsia" w:ascii="黑体" w:eastAsia="黑体" w:cs="黑体"/>
          <w:sz w:val="32"/>
          <w:szCs w:val="32"/>
          <w:u w:val="none"/>
          <w:lang w:val="en-US" w:eastAsia="zh-CN"/>
        </w:rPr>
        <w:t>四、重点行动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楷体_GB2312" w:eastAsia="楷体_GB2312" w:cs="楷体_GB2312"/>
          <w:sz w:val="32"/>
          <w:szCs w:val="32"/>
          <w:u w:val="none"/>
          <w:lang w:val="en-US" w:eastAsia="zh-CN"/>
        </w:rPr>
      </w:pPr>
      <w:r>
        <w:rPr>
          <w:rFonts w:hint="eastAsia" w:ascii="楷体_GB2312" w:eastAsia="楷体_GB2312" w:cs="楷体_GB2312"/>
          <w:sz w:val="32"/>
          <w:szCs w:val="32"/>
          <w:u w:val="none"/>
          <w:lang w:val="en-US" w:eastAsia="zh-CN"/>
        </w:rPr>
        <w:t>（一）实施新生儿安全提升行动。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加强危重新生儿救治网络建设。完善自治区、市、县三级危重新生儿救治网络，重点加强转运体系建设。健全上下联动、应对有序、运转高效的危重新生儿救治、会诊、转诊网络，强化辖区急救中心和助产机构的联动机制，确保转诊救治网络覆盖全部助产机构，转诊救治绿色通道畅通高效。开展危重新生儿救治网络建设质量评估、检查指导和动态管理，促进危重新生儿救治中心工作标准化、规范化和科学化。每个设区市、每个县域内建成至少1家符合质量评估要求标准化的危重新生儿救治中心。</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2.提升新生儿医疗救治服务能力。加强新生儿科医师培训，定期开展危重新生儿救治技术培训，每个危重新生儿救治中心新生儿科医师均经过系统培训。每个危重新生儿救治中心每季度开展至少1次专项技能培训和快速反应团队急救演练，提升新生儿救治快速反应和处置能力。继续实施广西新生儿窒息复苏项目，组织开展新生儿窒息复苏技能大赛，深入推广新生儿窒息复苏技术，每个分娩现场均有1名经过培训的新生儿窒息复苏专业人员。强化县级危重新生儿救治中心服务能力，提升助产机构危重新生儿救治能力，强化产科与新生儿科医护团队产前、产时及产后密切合作。规范开展新生儿安全管理评审，抓好问题整改落实，减少新生儿死亡。探索新生儿重症监护病房家庭参与式看护运行模式。</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3.强化新生儿生命早期基本保健。强化新生命围孕期、产时和分娩后连续健康监测与保健服务，保障胎儿和新生儿健康。加强新生儿规范化访视，指导家长做好新生儿喂养、保健护理和疾病预防，早期发现异常和疾病，及时处理和就诊。强化早产儿专案管理，按照《早产儿保健工作规范》要求，定期对早产儿进行生长发育监测和指导，推广早产儿母乳喂养、袋鼠式护理和早期发展促进，不断提高早产儿专案管理率。创建一批自治区级新生儿保健特色专科。</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楷体_GB2312" w:eastAsia="楷体_GB2312" w:cs="楷体_GB2312"/>
          <w:sz w:val="32"/>
          <w:szCs w:val="32"/>
          <w:u w:val="none"/>
          <w:lang w:val="en-US" w:eastAsia="zh-CN"/>
        </w:rPr>
      </w:pPr>
      <w:r>
        <w:rPr>
          <w:rFonts w:hint="eastAsia" w:ascii="楷体_GB2312" w:eastAsia="楷体_GB2312" w:cs="楷体_GB2312"/>
          <w:sz w:val="32"/>
          <w:szCs w:val="32"/>
          <w:u w:val="none"/>
          <w:lang w:val="en-US" w:eastAsia="zh-CN"/>
        </w:rPr>
        <w:t>（二）实施出生缺陷防治提升行动。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4.完善出生缺陷防治网络。加强广西出生缺陷预防控制研究所能力建设和全区业务指导作用的发挥。规范一站式婚育综合服务平台、产前筛查机构、产前诊断机构、人类辅助生殖机构设置和管理，严格执行</w:t>
      </w:r>
      <w:r>
        <w:rPr>
          <w:rFonts w:hint="eastAsia" w:ascii="仿宋_GB2312" w:eastAsia="仿宋_GB2312"/>
          <w:bCs/>
          <w:sz w:val="32"/>
          <w:szCs w:val="32"/>
          <w:u w:val="none"/>
          <w:lang w:val="en-US" w:eastAsia="zh-CN"/>
        </w:rPr>
        <w:t>产前筛查、</w:t>
      </w:r>
      <w:r>
        <w:rPr>
          <w:rFonts w:hint="eastAsia" w:ascii="仿宋_GB2312" w:eastAsia="仿宋_GB2312" w:cs="仿宋_GB2312"/>
          <w:sz w:val="32"/>
          <w:szCs w:val="32"/>
          <w:u w:val="none"/>
          <w:lang w:val="en-US" w:eastAsia="zh-CN"/>
        </w:rPr>
        <w:t>产前诊断、人类辅助生殖</w:t>
      </w:r>
      <w:r>
        <w:rPr>
          <w:rFonts w:hint="eastAsia" w:ascii="仿宋_GB2312" w:eastAsia="仿宋_GB2312"/>
          <w:bCs/>
          <w:sz w:val="32"/>
          <w:szCs w:val="32"/>
          <w:u w:val="none"/>
          <w:lang w:val="en-US" w:eastAsia="zh-CN"/>
        </w:rPr>
        <w:t>技术服务机构许可评审标准和校验评审标准。</w:t>
      </w:r>
      <w:r>
        <w:rPr>
          <w:rFonts w:hint="eastAsia" w:ascii="仿宋_GB2312" w:eastAsia="仿宋_GB2312" w:cs="仿宋_GB2312"/>
          <w:sz w:val="32"/>
          <w:szCs w:val="32"/>
          <w:u w:val="none"/>
          <w:lang w:val="en-US" w:eastAsia="zh-CN"/>
        </w:rPr>
        <w:t>健全新生儿疾病筛查、诊断、治疗网络，强化筛查阳性新生儿的召回和追踪随访管理，开展相关特色专科建设。加强临床遗传咨询、产前超声诊断、遗传病诊治等出生缺陷防治紧缺人才培养。针对唐氏综合征、先天性心脏病、先天性耳聋、地中海贫血等重点出生缺陷疾病，建立健全县级能筛查、地市能诊断、自治区级能指导、区域能辐射的出生缺陷防治网络。</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5.推进出生缺陷防治服务。深入实施《广西出生缺陷综合防治方案》，落实出生缺陷三级防治措施。一是强化一级预防。巩固婚姻登记、婚前医学检查、生育指导“一站式”服务平台，统筹推进婚育健康教育、婚前保健、孕前优生健康检查、增补叶酸工作。二是完善二级预防。深入实施产前筛查补助项目，开展产前诊断补助试点，针对先天性心脏病、遗传病等重点疾病推动围孕期、产前产后一体化管理服务和多学科诊疗协作，规范服务与质量监管，提高服务质量。三是推进三级预防。扩大新生儿疾病筛查范围，逐步将先天性髋关节脱位等疾病纳入筛查病种。加强出生缺陷监测，促进出生缺陷防治领域科技创新和成果转化。实施出生缺陷干预救助项目。</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6.加强地中海贫血防治。完善地中海贫血防治网络，巩固地中海贫血防治模式，加强人才队伍的培养，实施地中海贫血防控血常规初筛、血红蛋白分析复筛、基因诊断、产前诊断、重症地贫胎儿医学干预五项免费技术服务，全面落实预防为主的工作方针。加强地中海贫血患者的移植治疗工作，按规定开展地中海贫血患者医疗救助，进一步减轻地中海贫血患者医疗负担。</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楷体_GB2312" w:eastAsia="楷体_GB2312" w:cs="楷体_GB2312"/>
          <w:sz w:val="32"/>
          <w:szCs w:val="32"/>
          <w:u w:val="none"/>
          <w:lang w:val="en-US" w:eastAsia="zh-CN"/>
        </w:rPr>
      </w:pPr>
      <w:r>
        <w:rPr>
          <w:rFonts w:hint="eastAsia" w:ascii="楷体_GB2312" w:eastAsia="楷体_GB2312" w:cs="楷体_GB2312"/>
          <w:sz w:val="32"/>
          <w:szCs w:val="32"/>
          <w:u w:val="none"/>
          <w:lang w:val="en-US" w:eastAsia="zh-CN"/>
        </w:rPr>
        <w:t>（三）实施儿童保健服务提升行动。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7.加强儿童健康管理。以儿童体格生长监测、营养与喂养指导、心理和行为发育评估、眼保健和口腔保健、听力障碍评估为重点，积极推进国家基本公共卫生服务0～6岁儿童健康管理项目。将儿童健康管理纳入家庭医生签约服务，鼓励设立多种类服务包，提供多元化、多层次、个性化儿童保健服务。加强基层人员培训和业务指导，定期开展质控，提升儿童健康管理水平。规范高危儿管理，开展危重新生儿筛查与评估，加强高危新生儿专案管理，建立健全高危儿转诊服务网络和机制。加强对幼儿园、托育机构卫生保健业务指导。</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8.强化儿童营养喂养与运动指导。强化孕前、孕产期营养评价与膳食指导，提高母婴营养水平。实施母乳喂养促进行动，加强爱婴医院管理，倡导6个月内婴儿纯母乳喂养。强化婴幼儿辅食添加咨询指导，普及为6月龄以上儿童合理添加辅食的知识技能，加强个性化营养指导，降低儿童贫血患病率和生长迟缓率。在脱贫地区继续实施儿童营养改善项目，免费为脱贫地区</w:t>
      </w:r>
      <w:r>
        <w:rPr>
          <w:rFonts w:hint="eastAsia" w:ascii="仿宋_GB2312" w:eastAsia="仿宋_GB2312"/>
          <w:sz w:val="32"/>
          <w:szCs w:val="32"/>
          <w:u w:val="none"/>
          <w:lang w:val="en-US" w:eastAsia="zh-CN"/>
        </w:rPr>
        <w:t>6-24月龄婴幼儿每天提供1包营养包，对有贫血、生长发育迟缓和营养状况不良的儿童延长营养包发放至36个月龄</w:t>
      </w:r>
      <w:r>
        <w:rPr>
          <w:rFonts w:hint="eastAsia" w:ascii="仿宋_GB2312" w:eastAsia="仿宋_GB2312" w:cs="仿宋_GB2312"/>
          <w:sz w:val="32"/>
          <w:szCs w:val="32"/>
          <w:u w:val="none"/>
          <w:lang w:val="en-US" w:eastAsia="zh-CN"/>
        </w:rPr>
        <w:t>。加强儿童运动指导，普及学龄前儿童每日不同强度的运动时间不少于180分钟，中等强度及以上的运动时间不少于60分钟等科普知识，减少久坐时间，促进吃动平衡，预防和减少儿童超重和肥胖。推进妇幼保健机构儿童营养、运动医学门诊建设，加强儿童营养喂养咨询、运动指导科学专业队伍建设，提高营养喂养咨询和运动指导能力。</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9.促进儿童心理健康。加强儿童心理行为发育监测与评估，探索建立以儿童孤独症等发育异常为重点，在社区可初筛、县级能复筛、专业医疗机构诊断和康复的服务网络。深入推进《健康广西行动——儿童青少年心理健康行动方案》贯彻落实，营造有利于儿童心理健康成长的社会气氛,形成多部门、多单位共同参与的心理健康服务模式。推动妇幼保健机构、儿童医院、二级以上综合医院、精神专科医院开设儿童精神心理科或儿童心理保健门诊，加强儿童精神心理专科建设，大力培养儿童心理健康服务人才，促进儿童心理学科发展。加强社会宣传健康促进，营造心理健康从娃娃抓起的社会氛围。针对孕产妇及家庭成员、儿童家长、幼儿园和托育机构工作人员、学校教师，普及儿童心理行为发育健康知识，开展生命教育和性教育，培养儿童珍爱生命意识和情绪管理与心理调适能力。</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10.推进儿童眼保健服务。贯彻落实《广西0～6岁儿童眼保健和视力检查实施方案》，规范我区0～6儿童眼保健及视力检查服务。实施儿童眼健康“启明行动”，开展暑期主题宣传义诊系列活动，加强科普知识宣传教育。聚焦新生儿期、婴幼儿期和学龄前期，开展早产儿视网膜病变、先天性白内障等致盲性眼病以及屈光不正、斜视、弱视、上睑下垂等儿童常见眼病的筛查、诊断和干预。普及儿童屈光筛查，监测远视储备量，防控近视发生。开展儿童青少年近视防控中医适宜技术试点。扎实开展0～6岁儿童眼保健和视力检查服务，持续推进儿童青少年近视筛查工作。加强基层医疗卫生机构、妇幼保健机构眼保健服务能力建设，实施县级妇幼保健机构0～6岁儿童眼保健及视力检查服务能力提升项目。与儿童医院和综合医院眼科建立协同机制，实现儿童眼健康异常情况早发现、早诊断和早干预。</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11.加强儿童重点疾病防控。以肺炎、腹泻、手足口病等儿童常见疾病为重点，推广儿童疾病防治适宜技术。提高儿童血液病、恶性肿瘤等重病诊疗和医疗保障能力。实施国家免疫规划，规范开展儿童预防接种，维持较高水平的国家免疫规划疫苗接种率。坚持常规和应急结合，加强突发公共卫生事件中儿童医疗救治，保障儿童必要应急物资储备。加强儿童重大传染病、新发传染病管理以及艾滋病、梅毒、乙肝母婴阻断工作。做好新型冠状病毒肺炎等新发传染病疫情防控中儿童健康评估与干预。加强儿童碘缺乏病的防控工作，开展定期监测，消除碘缺乏及高碘危害并保障儿童碘营养水平适宜。做好农村地区儿童氟斑牙和大骨节病的筛查与防控，保护儿童牙齿、骨骼健康发育。</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楷体_GB2312" w:eastAsia="楷体_GB2312" w:cs="楷体_GB2312"/>
          <w:sz w:val="32"/>
          <w:szCs w:val="32"/>
          <w:u w:val="none"/>
          <w:lang w:val="en-US" w:eastAsia="zh-CN"/>
        </w:rPr>
      </w:pPr>
      <w:r>
        <w:rPr>
          <w:rFonts w:hint="eastAsia" w:ascii="楷体_GB2312" w:eastAsia="楷体_GB2312" w:cs="楷体_GB2312"/>
          <w:sz w:val="32"/>
          <w:szCs w:val="32"/>
          <w:u w:val="none"/>
          <w:lang w:val="en-US" w:eastAsia="zh-CN"/>
        </w:rPr>
        <w:t>（四）实施儿童早期发展服务提升行动。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12.加强婴幼儿养育照护指导。建立健全多部门协作的工作机制，聚焦0～3岁婴幼儿期，在强化儿童保健服务基础上，通过家长课堂、养育照护小组活动、入户指导等方式，普及科学育儿知识和技能，增强家庭的科学育儿能力，促进儿童体格、认知、心理、情感、运动和社会适应能力全面发展。以留守儿童等弱势群体为重点，探索推广入户家访指导等适合农村边远地区儿童、困境儿童的早期发展服务模式。实施农村儿童早期发展项目，促进儿童早期发展服务均等化。</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13.加强儿童早期发展服务阵地建设。关注生命早期1000天，建立适应儿童早期发展需求的儿童保健、儿童营养与运动、心理与社会适应等多学科协作机制。规范和加强儿童早期发展服务，提升儿童早期发展服务质量，力争每个县域内至少有1家标准化建设和规范化管理的儿童早期发展服务阵地，推动儿童早期发展服务进社区、进家庭、进农村。开展儿童早期发展适宜技术培训，提高基层人员服务能力和技术水平。</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楷体_GB2312" w:eastAsia="楷体_GB2312" w:cs="楷体_GB2312"/>
          <w:sz w:val="32"/>
          <w:szCs w:val="32"/>
          <w:u w:val="none"/>
          <w:lang w:val="en-US" w:eastAsia="zh-CN"/>
        </w:rPr>
      </w:pPr>
      <w:r>
        <w:rPr>
          <w:rFonts w:hint="eastAsia" w:ascii="楷体_GB2312" w:eastAsia="楷体_GB2312" w:cs="楷体_GB2312"/>
          <w:sz w:val="32"/>
          <w:szCs w:val="32"/>
          <w:u w:val="none"/>
          <w:lang w:val="en-US" w:eastAsia="zh-CN"/>
        </w:rPr>
        <w:t>（五）儿童中医药保健提升行动。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14.加强儿童中医药服务。在县级以上公立中医院普遍设立儿科，有条件的地市级以上中医院应当开设儿科病房。县级以上妇幼保健机构能够提供儿科中医药服务，自治区级和市级妇幼保健机构设置中医儿科。儿童医院能够提供儿科中医药服务，三级儿童医院和有条件的二级儿童医院应当设置中医儿科。鼓励建设中医经典病房，支持开展儿科“无针”病房试点。在基层医疗卫生机构运用中医药技术方法开展儿童基本医疗和预防保健。各级妇幼保健机构要建立儿科中西医协作诊疗制度，将中医纳入多学科协作诊疗会诊体系。加强儿科中医药人才培养，通过师带徒、“西学中”等形式，培训儿科中医药业务骨干，继续实施广西妇幼紧缺人才培训项目，为基层医疗保健机构培训中医儿科技术人员。积极推广应用小儿推拿等中医药适宜技术，强化中医药在儿童医疗保健中的重要作用。建设一批中医儿科特色专科。</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15.推进儿童中医保健进社区进家庭。鼓励中医医疗机构或有条件的妇幼保健机构牵头成立妇幼（儿科）中医药联盟，通过项目合作、联合病房、学科帮扶等形式加强合作，积极推进中医优质资源下沉。各级中医医疗机构要加强对基层医疗卫生机构的业务指导，提高基层医疗卫生机构中医师的儿童保健和儿科诊疗服务能力，力争到2025年，乡镇卫生院和社区卫生服务中心都能开展妇幼健康中医适宜技术。鼓励家庭医生开展中医治未病服务。基层医疗卫生机构和各级妇幼保健机构要推广中医治未病理念和方法，普及儿童中医药保健知识，提升群众中医药保健意识。0～36个月儿童中医药健康管理服务率达到85%以上。</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楷体_GB2312" w:eastAsia="楷体_GB2312" w:cs="楷体_GB2312"/>
          <w:sz w:val="32"/>
          <w:szCs w:val="32"/>
          <w:u w:val="none"/>
          <w:lang w:val="en-US" w:eastAsia="zh-CN"/>
        </w:rPr>
        <w:t>（六）儿童健康服务体系提升行动。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16.完善儿童医疗卫生服务体系。健全以妇幼保健机构、儿童医院和综合医院儿科为核心，以基层医疗卫生机构为基础，以大中型综合医院和相关科研教学机构为支撑的儿童医疗卫生服务体系。支持我区医疗保健机构与区外实力雄厚的儿童医院合作，共建国家儿童区域医疗中心。推进儿科分级诊疗体系建设，以医疗联合体为载体整合区域医疗资源，促进优质儿童医疗资源上下贯通，通过对口帮扶、远程医疗等方式提升县级医院儿童医疗卫生服务水平。鼓励社会力量举办儿童专科医疗机构。</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17.强化基层儿童保健服务网络。加强以县级妇幼保健机构为龙头，乡镇卫生院和社区卫生服务中心为枢纽，社区卫生服务站和村卫生室为基础的基层儿童保健服务网络建设。开展儿童保健门诊标准化、规范化建设，提升儿童保健服务质量。探索将基层医疗卫生机构的儿童保健科、儿科门诊、儿童预防接种门诊有机整合，优化功能布局，丰富内涵，推进儿童健康全过程管理和服务。开展基层儿童保健人员、广西妇幼紧缺人才培训，加强基层儿童保健服务队伍建设。</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18.加强儿童保健服务质量管理。健全儿童保健服务质量管理制度，完善儿童保健工作规范。医疗机构要强化儿童保健服务质量管理，落实主体责任，实行院、科两级质量管理，推动儿童保健服务质量的持续改进。各级妇幼保健机构加强对辖区儿童保健服务质量管理，定期开展辖区内儿童保健服务质量控制、评估、培训与指导。将儿童保健服务质量改进纳入改善医疗服务行动和优质服务基层行活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19.开展儿童友好医院建设。以环境设施符合儿童心理特点和安全需要、医疗保健服务优质高效为重点，以妇幼保健机构、儿童医院、综合医院儿科、基层医疗卫生机构为主体，开展儿童友好医院建设。促进儿童保健与儿科临床高质量融合发展，加强儿童康复服务供给和儿童伤害监测干预，畅通儿童危急重症抢救绿色通道。医疗机构构建符合儿童身心特点、呵护儿童健康全过程的温馨服务环境和友善服务氛围，努力为儿童提供有情感、有温度、有人文的优质医疗保健服务。</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楷体_GB2312" w:eastAsia="楷体_GB2312" w:cs="楷体_GB2312"/>
          <w:sz w:val="32"/>
          <w:szCs w:val="32"/>
          <w:u w:val="none"/>
          <w:lang w:val="en-US" w:eastAsia="zh-CN"/>
        </w:rPr>
        <w:t>（七）实施智慧儿童健康服务提升行动。</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20.完善《桂妇儿健康信息管理系统》。发挥好信息化的支撑引领作用，依托《桂妇儿健康信息管理系统》，建立和完善电子信息化个案管理工作机制，完善儿童电子健康档案，运用大数据对儿童进行精准管理，实现儿童保健的科学性、连续性和系统性。推进儿童健康信息互联共享。提高基层医疗卫生机构信息化水平，鼓励有条件的市、县为基层医务人员配备智能化移动服务终端设备，提高服务质量，减轻基层负担。</w:t>
      </w:r>
    </w:p>
    <w:p>
      <w:pPr>
        <w:keepNext w:val="0"/>
        <w:keepLines w:val="0"/>
        <w:pageBreakBefore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21.推广“云上妇幼”服务。充分利用各种互联网交流平台，开展线上儿童健康评估和指导。推进预约诊疗、诊间结算、移动支付、检验检查结果线上推送与查询等智慧服务，提高就医体验。</w:t>
      </w:r>
      <w:r>
        <w:rPr>
          <w:rFonts w:hint="eastAsia" w:ascii="仿宋_GB2312" w:eastAsia="仿宋_GB2312"/>
          <w:sz w:val="32"/>
          <w:szCs w:val="32"/>
          <w:u w:val="none"/>
          <w:lang w:val="en-US" w:eastAsia="zh-CN"/>
        </w:rPr>
        <w:t>自治区妇幼保健院牵头省级“云上妇幼”平台建设和手机APP版本开发，加强远程医疗硬件配备和信息系统建设，建立覆盖区内各级危重孕产妇和新生儿救治中心、各级妇幼保健机构和助产机构的远程医疗信息系统。利用“云上妇幼”平台</w:t>
      </w:r>
      <w:r>
        <w:rPr>
          <w:rFonts w:hint="eastAsia" w:ascii="仿宋_GB2312" w:eastAsia="仿宋_GB2312" w:cs="仿宋_GB2312"/>
          <w:sz w:val="32"/>
          <w:szCs w:val="32"/>
          <w:u w:val="none"/>
          <w:lang w:val="en-US" w:eastAsia="zh-CN"/>
        </w:rPr>
        <w:t>开展远程会诊、线上转诊、远程培训和指导，促进优质医疗资源下沉。推动利用5G技术、可穿戴设备、人工智能等新技术开展儿童健康监测与管理，创新儿童医疗保健服务模式。</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22.推进“出生一件事”多证联办。利用可信身份认证信息系统和人脸识别技术，推动出生医学证明“刷脸识别、在线核验、机构审核、预约取证”，规范出生医学证明签发，方便群众办事。利用出生医学证明电子证照在政务服务平台的应用，实现出生医学信息共享复用，会同公安、人力资源和社会保障、医保等部门，优化完善政务服务事项办理流程，推进线上线下深度融合，促进出生医学证明、预防接种证、户口</w:t>
      </w:r>
      <w:bookmarkStart w:id="0" w:name="_GoBack"/>
      <w:bookmarkEnd w:id="0"/>
      <w:r>
        <w:rPr>
          <w:rFonts w:hint="eastAsia" w:ascii="仿宋_GB2312" w:eastAsia="仿宋_GB2312" w:cs="仿宋_GB2312"/>
          <w:sz w:val="32"/>
          <w:szCs w:val="32"/>
          <w:u w:val="none"/>
          <w:lang w:val="en-US" w:eastAsia="zh-CN"/>
        </w:rPr>
        <w:t>登记、医保参保、社保卡申领等“出生一件事”跨部门、跨地区办理，逐步实现“网上办”、“掌上办”。</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23.加强儿童健康科学研究和应用推广。围绕低出生体重干预研究、地中海贫血防治、儿童肥胖和遗传代谢性疾病防控、儿童心理行为发育异常筛查和干预、出生缺陷三级预防、儿童危急重症综合救治和重大疾病综合防治等重点领域，大力发展具有自主知识产权和符合国情的儿童医疗保健技术。加强儿童保健适宜技术应用和推广。</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黑体" w:eastAsia="黑体" w:cs="黑体"/>
          <w:sz w:val="32"/>
          <w:szCs w:val="32"/>
          <w:u w:val="none"/>
          <w:lang w:val="en-US" w:eastAsia="zh-CN"/>
        </w:rPr>
      </w:pPr>
      <w:r>
        <w:rPr>
          <w:rFonts w:hint="eastAsia" w:ascii="黑体" w:eastAsia="黑体" w:cs="黑体"/>
          <w:sz w:val="32"/>
          <w:szCs w:val="32"/>
          <w:u w:val="none"/>
          <w:lang w:val="en-US" w:eastAsia="zh-CN"/>
        </w:rPr>
        <w:t>五、组织实施</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（一）加强组织领导。</w:t>
      </w:r>
      <w:r>
        <w:rPr>
          <w:rFonts w:hint="eastAsia" w:ascii="仿宋_GB2312" w:eastAsia="仿宋_GB2312" w:cs="仿宋_GB2312"/>
          <w:sz w:val="32"/>
          <w:szCs w:val="32"/>
          <w:u w:val="none"/>
          <w:lang w:val="en-US" w:eastAsia="zh-CN"/>
        </w:rPr>
        <w:t>各级卫生健康行政部门要高度重视儿童健康工作，按照实施方案要求，结合实际制订相关政策措施，细化任务分工，列入督办台账，夯实工作责任。积极组织参与“儿童健康综合发展示范县”创建活动，提升儿童健康服务水平。加强督促指导和监测评估，深入查找分析问题，及时补短板强弱项。每年至少召开1次健康儿童行动协调推进会，总结部署儿童健康工作，推动各项重点任务落地落实。</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（二）加大保障力度。</w:t>
      </w:r>
      <w:r>
        <w:rPr>
          <w:rFonts w:hint="eastAsia" w:ascii="仿宋_GB2312" w:eastAsia="仿宋_GB2312" w:cs="仿宋_GB2312"/>
          <w:sz w:val="32"/>
          <w:szCs w:val="32"/>
          <w:u w:val="none"/>
          <w:lang w:val="en-US" w:eastAsia="zh-CN"/>
        </w:rPr>
        <w:t>各级卫生健康行政部门在推进健康中国、健康广西建设、落实中国妇女儿童发展纲要、广西妇女儿童发展规划进程中，要加强与相关部门的沟通协调，为健康儿童行动提供更加有力的政策投入保障、组织管理保障和体系建设保障，不断健全儿童健康服务网络，加强儿童健康专业人才队伍建设和学科发展，促进儿童健康事业高质量发展。</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（三）强化宣传引导。</w:t>
      </w:r>
      <w:r>
        <w:rPr>
          <w:rFonts w:hint="eastAsia" w:ascii="仿宋_GB2312" w:eastAsia="仿宋_GB2312" w:cs="仿宋_GB2312"/>
          <w:sz w:val="32"/>
          <w:szCs w:val="32"/>
          <w:u w:val="none"/>
          <w:lang w:val="en-US" w:eastAsia="zh-CN"/>
        </w:rPr>
        <w:t>加大健康儿童行动宣传力度，做好行业内和面向公众的政策宣传，总结各地经验做法，及时通报进展成效，宣传表扬典型机构、人员和事例，增强儿童健康战线使命感、荣誉感，提升人民群众获得感、满意度，为促进儿童健康事业发展营造更加良好的舆论氛围和社会支持环境。</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各地要将保障儿童健康摆在卫生健康工作更加突出的位置，确保各项措施全面落实到位。各市要及时将工作进展情况、做法经验报送自治区卫生健康委妇幼健康处（电子邮箱：</w:t>
      </w:r>
      <w:r>
        <w:rPr>
          <w:rFonts w:hint="default" w:ascii="Times New Roman" w:hAnsi="Times New Roman" w:eastAsia="仿宋_GB2312" w:cs="Times New Roman"/>
          <w:sz w:val="32"/>
          <w:szCs w:val="32"/>
          <w:u w:val="none"/>
          <w:lang w:val="en-US" w:eastAsia="zh-CN"/>
        </w:rPr>
        <w:t>fyjkc@wsjkw.gxzf.gov.cn</w:t>
      </w:r>
      <w:r>
        <w:rPr>
          <w:rFonts w:hint="eastAsia" w:ascii="仿宋_GB2312" w:eastAsia="仿宋_GB2312" w:cs="仿宋_GB2312"/>
          <w:sz w:val="32"/>
          <w:szCs w:val="32"/>
          <w:u w:val="none"/>
          <w:lang w:val="en-US" w:eastAsia="zh-CN"/>
        </w:rPr>
        <w:t>)。</w:t>
      </w:r>
    </w:p>
    <w:p>
      <w:pPr>
        <w:spacing w:line="560" w:lineRule="exact"/>
        <w:ind w:firstLine="640" w:firstLineChars="200"/>
        <w:jc w:val="both"/>
        <w:rPr>
          <w:rFonts w:hint="eastAsia" w:ascii="仿宋_GB2312" w:eastAsia="仿宋_GB2312" w:cs="仿宋_GB2312"/>
          <w:sz w:val="32"/>
          <w:szCs w:val="32"/>
          <w:u w:val="none"/>
          <w:lang w:val="en-US" w:eastAsia="zh-CN"/>
        </w:rPr>
      </w:pPr>
    </w:p>
    <w:p>
      <w:pPr>
        <w:spacing w:line="560" w:lineRule="exact"/>
        <w:ind w:firstLine="640" w:firstLineChars="200"/>
        <w:jc w:val="both"/>
        <w:rPr>
          <w:rFonts w:hint="eastAsia" w:ascii="仿宋_GB2312" w:eastAsia="仿宋_GB2312" w:cs="仿宋_GB2312"/>
          <w:sz w:val="32"/>
          <w:szCs w:val="32"/>
          <w:u w:val="none"/>
          <w:lang w:val="en-US" w:eastAsia="zh-CN"/>
        </w:rPr>
      </w:pPr>
    </w:p>
    <w:p>
      <w:pPr>
        <w:spacing w:line="560" w:lineRule="exact"/>
        <w:ind w:firstLine="640" w:firstLineChars="200"/>
        <w:jc w:val="both"/>
        <w:rPr>
          <w:rFonts w:hint="eastAsia" w:ascii="仿宋_GB2312" w:eastAsia="仿宋_GB2312" w:cs="仿宋_GB2312"/>
          <w:sz w:val="32"/>
          <w:szCs w:val="32"/>
          <w:u w:val="none"/>
          <w:lang w:val="en-US" w:eastAsia="zh-CN"/>
        </w:rPr>
      </w:pPr>
    </w:p>
    <w:p>
      <w:pPr>
        <w:jc w:val="both"/>
        <w:rPr>
          <w:u w:val="none"/>
          <w:lang w:val="en-US" w:eastAsia="zh-CN"/>
        </w:rPr>
      </w:pPr>
    </w:p>
    <w:p>
      <w:pPr>
        <w:jc w:val="both"/>
        <w:rPr>
          <w:u w:val="none"/>
          <w:lang w:val="en-US" w:eastAsia="zh-CN"/>
        </w:rPr>
      </w:pPr>
    </w:p>
    <w:p>
      <w:pPr>
        <w:jc w:val="both"/>
        <w:rPr>
          <w:u w:val="none"/>
          <w:lang w:val="en-US" w:eastAsia="zh-CN"/>
        </w:rPr>
      </w:pPr>
    </w:p>
    <w:p>
      <w:pPr>
        <w:jc w:val="both"/>
        <w:rPr>
          <w:u w:val="none"/>
          <w:lang w:val="en-US" w:eastAsia="zh-CN"/>
        </w:rPr>
      </w:pPr>
    </w:p>
    <w:p>
      <w:pPr>
        <w:jc w:val="both"/>
        <w:rPr>
          <w:u w:val="none"/>
          <w:lang w:val="en-US" w:eastAsia="zh-CN"/>
        </w:rPr>
      </w:pPr>
    </w:p>
    <w:p>
      <w:pPr>
        <w:jc w:val="both"/>
        <w:rPr>
          <w:u w:val="none"/>
          <w:lang w:val="en-US" w:eastAsia="zh-CN"/>
        </w:rPr>
      </w:pPr>
    </w:p>
    <w:p>
      <w:pPr>
        <w:jc w:val="both"/>
        <w:rPr>
          <w:u w:val="none"/>
          <w:lang w:val="en-US" w:eastAsia="zh-CN"/>
        </w:rPr>
      </w:pPr>
    </w:p>
    <w:p>
      <w:pPr>
        <w:jc w:val="both"/>
        <w:rPr>
          <w:u w:val="none"/>
          <w:lang w:val="en-US" w:eastAsia="zh-CN"/>
        </w:rPr>
      </w:pPr>
    </w:p>
    <w:p>
      <w:pPr>
        <w:jc w:val="both"/>
        <w:rPr>
          <w:u w:val="none"/>
          <w:lang w:val="en-US" w:eastAsia="zh-CN"/>
        </w:rPr>
        <w:sectPr>
          <w:pgSz w:w="11906" w:h="16838"/>
          <w:pgMar w:top="1701" w:right="1417" w:bottom="1417" w:left="1701"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信息公开形式：主动公开</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仿宋_GB2312" w:hAnsi="仿宋_GB2312" w:eastAsia="仿宋_GB2312" w:cs="仿宋_GB2312"/>
          <w:sz w:val="28"/>
          <w:szCs w:val="28"/>
          <w:u w:val="none"/>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389890</wp:posOffset>
                </wp:positionV>
                <wp:extent cx="5579745" cy="635"/>
                <wp:effectExtent l="0" t="0" r="0" b="0"/>
                <wp:wrapNone/>
                <wp:docPr id="2" name="直线 9"/>
                <wp:cNvGraphicFramePr/>
                <a:graphic xmlns:a="http://schemas.openxmlformats.org/drawingml/2006/main">
                  <a:graphicData uri="http://schemas.microsoft.com/office/word/2010/wordprocessingShape">
                    <wps:wsp>
                      <wps:cNvCnPr/>
                      <wps:spPr>
                        <a:xfrm>
                          <a:off x="0" y="0"/>
                          <a:ext cx="55797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pt;margin-top:30.7pt;height:0.05pt;width:439.35pt;z-index:251660288;mso-width-relative:page;mso-height-relative:page;" filled="f" stroked="t" coordsize="21600,21600" o:gfxdata="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B1bs1QAA&#10;AAcBAAAPAAAAAAAAAAEAIAAAACIAAABkcnMvZG93bnJldi54bWxQSwECFAAUAAAACACHTuJAQMMP&#10;+egBAADdAwAADgAAAAAAAAABACAAAAAkAQAAZHJzL2Uyb0RvYy54bWxQSwUGAAAAAAYABgBZAQAA&#10;fg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13335</wp:posOffset>
                </wp:positionV>
                <wp:extent cx="5579745" cy="635"/>
                <wp:effectExtent l="0" t="0" r="0" b="0"/>
                <wp:wrapNone/>
                <wp:docPr id="1" name="直线 8"/>
                <wp:cNvGraphicFramePr/>
                <a:graphic xmlns:a="http://schemas.openxmlformats.org/drawingml/2006/main">
                  <a:graphicData uri="http://schemas.microsoft.com/office/word/2010/wordprocessingShape">
                    <wps:wsp>
                      <wps:cNvCnPr/>
                      <wps:spPr>
                        <a:xfrm>
                          <a:off x="0" y="0"/>
                          <a:ext cx="55797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2pt;margin-top:1.05pt;height:0.05pt;width:439.35pt;z-index:251659264;mso-width-relative:page;mso-height-relative:page;" filled="f" stroked="t" coordsize="21600,21600" o:gfxdata="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TJdD0gAAAAQB&#10;AAAPAAAAAAAAAAEAIAAAACIAAABkcnMvZG93bnJldi54bWxQSwECFAAUAAAACACHTuJAXm/mMegB&#10;AADdAwAADgAAAAAAAAABACAAAAAhAQAAZHJzL2Uyb0RvYy54bWxQSwUGAAAAAAYABgBZAQAAewUA&#10;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u w:val="none"/>
          <w:lang w:val="en-US" w:eastAsia="zh-CN"/>
        </w:rPr>
        <w:t>广西壮族自治区卫生健康委办公室         2022年3月16日印发</w:t>
      </w:r>
    </w:p>
    <w:sectPr>
      <w:footerReference r:id="rId4" w:type="default"/>
      <w:pgSz w:w="11906" w:h="16838"/>
      <w:pgMar w:top="1701" w:right="1417" w:bottom="1417"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7CDB7601"/>
    <w:rsid w:val="3DEF1BE1"/>
    <w:rsid w:val="58736492"/>
    <w:rsid w:val="659A28E2"/>
    <w:rsid w:val="7FF50FF6"/>
    <w:rsid w:val="CF7DC693"/>
    <w:rsid w:val="EF1EBCEA"/>
    <w:rsid w:val="EFBFEF86"/>
    <w:rsid w:val="FADF91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pBdr>
        <w:top w:val="none" w:color="auto" w:sz="0" w:space="0"/>
        <w:left w:val="none" w:color="auto" w:sz="0" w:space="0"/>
        <w:bottom w:val="none" w:color="auto" w:sz="0" w:space="0"/>
        <w:right w:val="none" w:color="auto" w:sz="0" w:space="0"/>
        <w:between w:val="none" w:color="auto" w:sz="0" w:space="0"/>
      </w:pBdr>
      <w:jc w:val="left"/>
    </w:pPr>
    <w:rPr>
      <w:lang w:val="en-US" w:eastAsia="zh-CN"/>
    </w:rPr>
  </w:style>
  <w:style w:type="paragraph" w:styleId="3">
    <w:name w:val="Body Text"/>
    <w:basedOn w:val="1"/>
    <w:unhideWhenUsed/>
    <w:qFormat/>
    <w:uiPriority w:val="99"/>
    <w:pPr>
      <w:spacing w:beforeLines="0" w:afterLines="0"/>
    </w:pPr>
    <w:rPr>
      <w:rFonts w:hint="eastAsia"/>
      <w:sz w:val="69"/>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unhideWhenUsed/>
    <w:qFormat/>
    <w:uiPriority w:val="99"/>
    <w:pPr>
      <w:spacing w:before="194" w:beforeLines="0" w:afterLines="0"/>
      <w:ind w:left="2" w:right="3"/>
      <w:jc w:val="center"/>
    </w:pPr>
    <w:rPr>
      <w:rFonts w:hint="eastAsia"/>
      <w:sz w:val="80"/>
      <w:szCs w:val="24"/>
    </w:rPr>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7753</Words>
  <Characters>7956</Characters>
  <Lines>0</Lines>
  <Paragraphs>0</Paragraphs>
  <TotalTime>5</TotalTime>
  <ScaleCrop>false</ScaleCrop>
  <LinksUpToDate>false</LinksUpToDate>
  <CharactersWithSpaces>8017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2022-03-12T23:33:00Z</dcterms:created>
  <dc:creator>齊齊怪怪</dc:creator>
  <cp:lastModifiedBy>1234</cp:lastModifiedBy>
  <dcterms:modified xsi:type="dcterms:W3CDTF">2022-11-25T09:52:19Z</dcterms:modified>
  <dc:title>桂卫妇幼〔2022〕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C4C601A17DAC4EF2B21DE159572BE629</vt:lpwstr>
  </property>
</Properties>
</file>