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38"/>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38" w:type="dxa"/>
          </w:tcPr>
          <w:p>
            <w:pPr>
              <w:spacing w:line="800" w:lineRule="exact"/>
              <w:ind w:firstLine="0" w:firstLineChars="0"/>
              <w:jc w:val="distribute"/>
              <w:rPr>
                <w:rFonts w:ascii="方正小标宋简体" w:eastAsia="方正小标宋简体" w:cs="方正小标宋简体"/>
                <w:bCs/>
                <w:color w:val="FF0000"/>
                <w:w w:val="80"/>
                <w:kern w:val="0"/>
                <w:sz w:val="60"/>
                <w:szCs w:val="60"/>
              </w:rPr>
            </w:pPr>
            <w:r>
              <w:rPr>
                <w:rFonts w:hint="eastAsia" w:ascii="方正小标宋简体" w:eastAsia="方正小标宋简体" w:cs="方正小标宋简体"/>
                <w:bCs/>
                <w:color w:val="FF0000"/>
                <w:w w:val="80"/>
                <w:kern w:val="0"/>
                <w:sz w:val="60"/>
                <w:szCs w:val="60"/>
              </w:rPr>
              <w:t>广西壮族自治区卫生健康委员会</w:t>
            </w:r>
          </w:p>
          <w:p>
            <w:pPr>
              <w:spacing w:line="800" w:lineRule="exact"/>
              <w:ind w:firstLine="0" w:firstLineChars="0"/>
              <w:jc w:val="distribute"/>
              <w:rPr>
                <w:rFonts w:ascii="仿宋_GB2312" w:eastAsia="仿宋_GB2312" w:cs="方正小标宋简体"/>
                <w:bCs/>
                <w:color w:val="000000"/>
                <w:kern w:val="0"/>
                <w:sz w:val="32"/>
                <w:szCs w:val="32"/>
              </w:rPr>
            </w:pPr>
            <w:r>
              <w:rPr>
                <w:rFonts w:hint="eastAsia" w:ascii="方正小标宋简体" w:eastAsia="方正小标宋简体" w:cs="方正小标宋简体"/>
                <w:bCs/>
                <w:color w:val="FF0000"/>
                <w:w w:val="80"/>
                <w:kern w:val="0"/>
                <w:sz w:val="60"/>
                <w:szCs w:val="60"/>
              </w:rPr>
              <w:t>广西壮族自治区中医药管理局</w:t>
            </w:r>
          </w:p>
        </w:tc>
        <w:tc>
          <w:tcPr>
            <w:tcW w:w="1665" w:type="dxa"/>
            <w:vAlign w:val="center"/>
          </w:tcPr>
          <w:p>
            <w:pPr>
              <w:ind w:left="0" w:firstLine="0" w:firstLineChars="0"/>
              <w:jc w:val="both"/>
              <w:rPr>
                <w:rFonts w:ascii="方正小标宋简体" w:eastAsia="方正小标宋简体" w:cs="方正小标宋简体"/>
                <w:bCs/>
                <w:color w:val="000000"/>
                <w:kern w:val="0"/>
                <w:sz w:val="32"/>
                <w:szCs w:val="32"/>
              </w:rPr>
            </w:pPr>
            <w:r>
              <w:rPr>
                <w:rFonts w:hint="eastAsia" w:ascii="方正小标宋简体" w:eastAsia="方正小标宋简体" w:cs="方正小标宋简体"/>
                <w:bCs/>
                <w:color w:val="FF0000"/>
                <w:kern w:val="0"/>
                <w:sz w:val="70"/>
                <w:szCs w:val="32"/>
              </w:rPr>
              <w:t>文件</w:t>
            </w:r>
          </w:p>
        </w:tc>
      </w:tr>
    </w:tbl>
    <w:p>
      <w:pPr>
        <w:spacing w:line="490" w:lineRule="exact"/>
        <w:rPr>
          <w:rFonts w:ascii="仿宋_GB2312" w:eastAsia="仿宋_GB2312" w:cs="方正小标宋简体"/>
          <w:bCs/>
          <w:color w:val="000000"/>
          <w:kern w:val="0"/>
          <w:sz w:val="32"/>
          <w:szCs w:val="32"/>
        </w:rPr>
      </w:pPr>
    </w:p>
    <w:p>
      <w:pPr>
        <w:spacing w:line="490" w:lineRule="exact"/>
        <w:jc w:val="center"/>
        <w:rPr>
          <w:rFonts w:ascii="仿宋_GB2312" w:eastAsia="仿宋_GB2312" w:cs="方正小标宋简体"/>
          <w:bCs/>
          <w:color w:val="000000"/>
          <w:kern w:val="0"/>
          <w:sz w:val="32"/>
          <w:szCs w:val="32"/>
        </w:rPr>
      </w:pPr>
      <w:r>
        <w:rPr>
          <w:rFonts w:hint="eastAsia" w:ascii="仿宋_GB2312" w:eastAsia="仿宋_GB2312" w:cs="方正小标宋简体"/>
          <w:bCs/>
          <w:color w:val="000000"/>
          <w:kern w:val="0"/>
          <w:sz w:val="32"/>
          <w:szCs w:val="32"/>
        </w:rPr>
        <w:t>桂卫</w:t>
      </w:r>
      <w:r>
        <w:rPr>
          <w:rFonts w:ascii="仿宋_GB2312" w:eastAsia="仿宋_GB2312" w:cs="方正小标宋简体"/>
          <w:bCs/>
          <w:color w:val="000000"/>
          <w:kern w:val="0"/>
          <w:sz w:val="32"/>
          <w:szCs w:val="32"/>
        </w:rPr>
        <w:t>规</w:t>
      </w:r>
      <w:r>
        <w:rPr>
          <w:rFonts w:hint="eastAsia" w:ascii="仿宋_GB2312" w:eastAsia="仿宋_GB2312" w:cs="方正小标宋简体"/>
          <w:bCs/>
          <w:color w:val="000000"/>
          <w:kern w:val="0"/>
          <w:sz w:val="32"/>
          <w:szCs w:val="32"/>
        </w:rPr>
        <w:t>〔2019〕</w:t>
      </w:r>
      <w:r>
        <w:rPr>
          <w:rFonts w:ascii="仿宋_GB2312" w:eastAsia="仿宋_GB2312" w:cs="方正小标宋简体"/>
          <w:bCs/>
          <w:color w:val="000000"/>
          <w:kern w:val="0"/>
          <w:sz w:val="32"/>
          <w:szCs w:val="32"/>
        </w:rPr>
        <w:t>5</w:t>
      </w:r>
      <w:r>
        <w:rPr>
          <w:rFonts w:hint="eastAsia" w:ascii="仿宋_GB2312" w:eastAsia="仿宋_GB2312" w:cs="方正小标宋简体"/>
          <w:bCs/>
          <w:color w:val="000000"/>
          <w:kern w:val="0"/>
          <w:sz w:val="32"/>
          <w:szCs w:val="32"/>
        </w:rPr>
        <w:t>号</w:t>
      </w:r>
    </w:p>
    <w:p>
      <w:pPr>
        <w:spacing w:line="500" w:lineRule="exact"/>
        <w:jc w:val="center"/>
        <w:rPr>
          <w:rFonts w:ascii="仿宋_GB2312" w:eastAsia="仿宋_GB2312" w:cs="方正小标宋简体"/>
          <w:bCs/>
          <w:color w:val="000000"/>
          <w:kern w:val="0"/>
          <w:sz w:val="32"/>
          <w:szCs w:val="32"/>
        </w:rPr>
      </w:pPr>
      <w:r>
        <w:rPr>
          <w:rFonts w:hint="eastAsia" w:ascii="方正小标宋简体" w:eastAsia="方正小标宋简体" w:cs="方正小标宋简体"/>
          <w:bCs/>
          <w:color w:val="FF0000"/>
          <w:kern w:val="0"/>
          <w:sz w:val="50"/>
          <w:szCs w:val="32"/>
        </w:rPr>
        <mc:AlternateContent>
          <mc:Choice Requires="wps">
            <w:drawing>
              <wp:anchor distT="0" distB="0" distL="113665" distR="113665" simplePos="0" relativeHeight="251659264" behindDoc="0" locked="0" layoutInCell="1" allowOverlap="1">
                <wp:simplePos x="0" y="0"/>
                <wp:positionH relativeFrom="column">
                  <wp:posOffset>-12700</wp:posOffset>
                </wp:positionH>
                <wp:positionV relativeFrom="paragraph">
                  <wp:posOffset>133985</wp:posOffset>
                </wp:positionV>
                <wp:extent cx="55753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75300" cy="0"/>
                        </a:xfrm>
                        <a:prstGeom prst="line">
                          <a:avLst/>
                        </a:prstGeom>
                        <a:noFill/>
                        <a:ln w="38100" cap="flat" cmpd="sng">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pt;margin-top:10.55pt;height:0pt;width:439pt;z-index:251659264;mso-width-relative:page;mso-height-relative:page;" filled="f" stroked="t" coordsize="21600,21600" o:gfxdata="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U7/iT&#10;2QAAAAgBAAAPAAAAAAAAAAEAIAAAACIAAABkcnMvZG93bnJldi54bWxQSwECFAAUAAAACACHTuJA&#10;/AsPfCACAAAnBAAADgAAAAAAAAABACAAAAAoAQAAZHJzL2Uyb0RvYy54bWxQSwUGAAAAAAYABgBZ&#10;AQAAugUAAAAA&#10;">
                <v:fill on="f" focussize="0,0"/>
                <v:stroke weight="3pt" color="#FF0000" joinstyle="round"/>
                <v:imagedata o:title=""/>
                <o:lock v:ext="edit" aspectratio="f"/>
              </v:line>
            </w:pict>
          </mc:Fallback>
        </mc:AlternateContent>
      </w:r>
    </w:p>
    <w:p>
      <w:pPr>
        <w:widowControl w:val="0"/>
        <w:adjustRightInd w:val="0"/>
        <w:snapToGrid w:val="0"/>
        <w:spacing w:line="480" w:lineRule="exact"/>
        <w:ind w:firstLine="0" w:firstLineChars="0"/>
        <w:jc w:val="center"/>
        <w:rPr>
          <w:rFonts w:ascii="方正小标宋简体" w:eastAsia="方正小标宋简体" w:cs="方正小标宋简体"/>
          <w:kern w:val="2"/>
          <w:sz w:val="44"/>
          <w:szCs w:val="44"/>
          <w:lang w:eastAsia="zh-CN"/>
        </w:rPr>
      </w:pPr>
    </w:p>
    <w:p>
      <w:pPr>
        <w:widowControl w:val="0"/>
        <w:adjustRightInd w:val="0"/>
        <w:snapToGrid w:val="0"/>
        <w:spacing w:line="600" w:lineRule="exact"/>
        <w:ind w:firstLine="0" w:firstLineChars="0"/>
        <w:jc w:val="center"/>
        <w:rPr>
          <w:rFonts w:ascii="方正小标宋简体" w:eastAsia="方正小标宋简体" w:cs="方正小标宋简体"/>
          <w:kern w:val="2"/>
          <w:sz w:val="44"/>
          <w:szCs w:val="44"/>
          <w:lang w:eastAsia="zh-CN"/>
        </w:rPr>
      </w:pPr>
      <w:r>
        <w:rPr>
          <w:rFonts w:hint="eastAsia" w:ascii="方正小标宋简体" w:eastAsia="方正小标宋简体" w:cs="方正小标宋简体"/>
          <w:kern w:val="2"/>
          <w:sz w:val="44"/>
          <w:szCs w:val="44"/>
          <w:lang w:eastAsia="zh-CN"/>
        </w:rPr>
        <w:t>自治区卫生健康委 自治区中医药局</w:t>
      </w:r>
    </w:p>
    <w:p>
      <w:pPr>
        <w:widowControl w:val="0"/>
        <w:adjustRightInd w:val="0"/>
        <w:snapToGrid w:val="0"/>
        <w:spacing w:line="600" w:lineRule="exact"/>
        <w:ind w:firstLine="0" w:firstLineChars="0"/>
        <w:jc w:val="center"/>
        <w:rPr>
          <w:rFonts w:ascii="方正小标宋简体" w:eastAsia="方正小标宋简体" w:cs="方正小标宋简体"/>
          <w:kern w:val="2"/>
          <w:sz w:val="44"/>
          <w:szCs w:val="44"/>
          <w:lang w:eastAsia="zh-CN"/>
        </w:rPr>
      </w:pPr>
      <w:r>
        <w:rPr>
          <w:rFonts w:hint="eastAsia" w:ascii="方正小标宋简体" w:eastAsia="方正小标宋简体" w:cs="方正小标宋简体"/>
          <w:kern w:val="2"/>
          <w:sz w:val="44"/>
          <w:szCs w:val="44"/>
          <w:lang w:eastAsia="zh-CN"/>
        </w:rPr>
        <w:t>关于印发广西壮族自治区医疗机构</w:t>
      </w:r>
    </w:p>
    <w:p>
      <w:pPr>
        <w:widowControl w:val="0"/>
        <w:tabs>
          <w:tab w:val="left" w:pos="7369"/>
        </w:tabs>
        <w:adjustRightInd w:val="0"/>
        <w:snapToGrid w:val="0"/>
        <w:spacing w:line="600" w:lineRule="exact"/>
        <w:ind w:firstLine="0" w:firstLineChars="0"/>
        <w:jc w:val="center"/>
        <w:rPr>
          <w:rFonts w:ascii="方正小标宋简体" w:eastAsia="方正小标宋简体" w:cs="方正小标宋简体"/>
          <w:kern w:val="2"/>
          <w:sz w:val="44"/>
          <w:szCs w:val="44"/>
          <w:lang w:eastAsia="zh-CN"/>
        </w:rPr>
      </w:pPr>
      <w:r>
        <w:rPr>
          <w:rFonts w:hint="eastAsia" w:ascii="方正小标宋简体" w:eastAsia="方正小标宋简体" w:cs="方正小标宋简体"/>
          <w:kern w:val="2"/>
          <w:sz w:val="44"/>
          <w:szCs w:val="44"/>
          <w:lang w:eastAsia="zh-CN"/>
        </w:rPr>
        <w:t>远程医疗服务管理办法的通知</w:t>
      </w:r>
    </w:p>
    <w:p>
      <w:pPr>
        <w:adjustRightInd w:val="0"/>
        <w:snapToGrid w:val="0"/>
        <w:spacing w:line="500" w:lineRule="exact"/>
        <w:ind w:firstLine="0" w:firstLineChars="0"/>
        <w:rPr>
          <w:rFonts w:ascii="方正小标宋简体" w:eastAsia="方正小标宋简体" w:cs="方正小标宋简体"/>
          <w:sz w:val="32"/>
          <w:szCs w:val="32"/>
          <w:lang w:eastAsia="zh-CN"/>
        </w:rPr>
      </w:pPr>
    </w:p>
    <w:p>
      <w:pPr>
        <w:adjustRightInd w:val="0"/>
        <w:snapToGrid w:val="0"/>
        <w:spacing w:line="520" w:lineRule="exact"/>
        <w:ind w:firstLine="0" w:firstLineChars="0"/>
        <w:rPr>
          <w:rFonts w:ascii="仿宋_GB2312" w:eastAsia="仿宋_GB2312" w:cs="仿宋_GB2312"/>
          <w:sz w:val="32"/>
          <w:szCs w:val="32"/>
          <w:lang w:eastAsia="zh-CN"/>
        </w:rPr>
      </w:pPr>
      <w:r>
        <w:rPr>
          <w:rFonts w:hint="eastAsia" w:ascii="仿宋_GB2312" w:eastAsia="仿宋_GB2312" w:cs="仿宋_GB2312"/>
          <w:sz w:val="32"/>
          <w:szCs w:val="32"/>
          <w:lang w:eastAsia="zh-CN"/>
        </w:rPr>
        <w:t>各市卫生健康委、中医药局，区直各医疗卫生单位：</w:t>
      </w:r>
    </w:p>
    <w:p>
      <w:pPr>
        <w:tabs>
          <w:tab w:val="left" w:pos="7479"/>
        </w:tabs>
        <w:adjustRightInd w:val="0"/>
        <w:snapToGrid w:val="0"/>
        <w:spacing w:line="520" w:lineRule="exact"/>
        <w:rPr>
          <w:rFonts w:ascii="仿宋_GB2312" w:eastAsia="仿宋_GB2312" w:cs="仿宋_GB2312"/>
          <w:sz w:val="32"/>
          <w:szCs w:val="32"/>
          <w:lang w:eastAsia="zh-CN"/>
        </w:rPr>
      </w:pPr>
      <w:r>
        <w:rPr>
          <w:rFonts w:hint="eastAsia" w:ascii="仿宋_GB2312" w:eastAsia="仿宋_GB2312" w:cs="仿宋_GB2312"/>
          <w:sz w:val="32"/>
          <w:szCs w:val="32"/>
          <w:lang w:eastAsia="zh-CN"/>
        </w:rPr>
        <w:t>《广西壮族自治区医疗机构远程医疗服务管理办法》已经2019年12月4日自治区卫生健康委第13次主任会议审议通过，现印发给你们，请遵照执行。</w:t>
      </w:r>
    </w:p>
    <w:p>
      <w:pPr>
        <w:adjustRightInd w:val="0"/>
        <w:snapToGrid w:val="0"/>
        <w:spacing w:line="560" w:lineRule="exact"/>
        <w:rPr>
          <w:rFonts w:ascii="仿宋_GB2312" w:eastAsia="仿宋_GB2312" w:cs="仿宋_GB2312"/>
          <w:sz w:val="32"/>
          <w:szCs w:val="32"/>
          <w:lang w:eastAsia="zh-CN"/>
        </w:rPr>
      </w:pPr>
      <w:bookmarkStart w:id="0" w:name="_GoBack"/>
    </w:p>
    <w:bookmarkEnd w:id="0"/>
    <w:p>
      <w:pPr>
        <w:adjustRightInd w:val="0"/>
        <w:snapToGrid w:val="0"/>
        <w:spacing w:line="560" w:lineRule="exact"/>
        <w:rPr>
          <w:rFonts w:ascii="仿宋_GB2312" w:eastAsia="仿宋_GB2312" w:cs="仿宋_GB2312"/>
          <w:sz w:val="32"/>
          <w:szCs w:val="32"/>
          <w:lang w:eastAsia="zh-CN"/>
        </w:rPr>
      </w:pPr>
    </w:p>
    <w:p>
      <w:pPr>
        <w:adjustRightInd w:val="0"/>
        <w:snapToGrid w:val="0"/>
        <w:spacing w:line="560" w:lineRule="exact"/>
        <w:rPr>
          <w:rFonts w:ascii="仿宋_GB2312" w:eastAsia="仿宋_GB2312" w:cs="仿宋_GB2312"/>
          <w:sz w:val="32"/>
          <w:szCs w:val="32"/>
          <w:lang w:eastAsia="zh-CN"/>
        </w:rPr>
      </w:pPr>
    </w:p>
    <w:p>
      <w:pPr>
        <w:tabs>
          <w:tab w:val="left" w:pos="660"/>
          <w:tab w:val="left" w:pos="8030"/>
          <w:tab w:val="left" w:pos="8085"/>
          <w:tab w:val="left" w:pos="8295"/>
        </w:tabs>
        <w:adjustRightInd w:val="0"/>
        <w:snapToGrid w:val="0"/>
        <w:spacing w:line="560" w:lineRule="exact"/>
        <w:ind w:left="0"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 xml:space="preserve">广西壮族自治区            </w:t>
      </w:r>
      <w:r>
        <w:rPr>
          <w:rFonts w:ascii="仿宋_GB2312" w:eastAsia="仿宋_GB2312" w:cs="仿宋_GB2312"/>
          <w:sz w:val="32"/>
          <w:szCs w:val="32"/>
          <w:lang w:eastAsia="zh-CN"/>
        </w:rPr>
        <w:t xml:space="preserve">       </w:t>
      </w:r>
      <w:r>
        <w:rPr>
          <w:rFonts w:hint="eastAsia" w:ascii="仿宋_GB2312" w:eastAsia="仿宋_GB2312" w:cs="仿宋_GB2312"/>
          <w:sz w:val="32"/>
          <w:szCs w:val="32"/>
          <w:lang w:eastAsia="zh-CN"/>
        </w:rPr>
        <w:t>广西壮族自治区</w:t>
      </w:r>
    </w:p>
    <w:p>
      <w:pPr>
        <w:tabs>
          <w:tab w:val="left" w:pos="8085"/>
          <w:tab w:val="left" w:pos="8295"/>
        </w:tabs>
        <w:adjustRightInd w:val="0"/>
        <w:snapToGrid w:val="0"/>
        <w:spacing w:line="560" w:lineRule="exact"/>
        <w:ind w:left="0"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 xml:space="preserve">卫生健康委员会             </w:t>
      </w:r>
      <w:r>
        <w:rPr>
          <w:rFonts w:ascii="仿宋_GB2312" w:eastAsia="仿宋_GB2312" w:cs="仿宋_GB2312"/>
          <w:sz w:val="32"/>
          <w:szCs w:val="32"/>
          <w:lang w:eastAsia="zh-CN"/>
        </w:rPr>
        <w:t xml:space="preserve">       </w:t>
      </w:r>
      <w:r>
        <w:rPr>
          <w:rFonts w:hint="eastAsia" w:ascii="仿宋_GB2312" w:eastAsia="仿宋_GB2312" w:cs="仿宋_GB2312"/>
          <w:sz w:val="32"/>
          <w:szCs w:val="32"/>
          <w:lang w:eastAsia="zh-CN"/>
        </w:rPr>
        <w:t>中医药管理局</w:t>
      </w:r>
    </w:p>
    <w:p>
      <w:pPr>
        <w:widowControl w:val="0"/>
        <w:adjustRightInd w:val="0"/>
        <w:snapToGrid w:val="0"/>
        <w:spacing w:line="560" w:lineRule="exact"/>
        <w:ind w:firstLine="0" w:firstLineChars="0"/>
        <w:jc w:val="center"/>
        <w:rPr>
          <w:rFonts w:ascii="仿宋_GB2312" w:eastAsia="仿宋_GB2312" w:cs="仿宋_GB2312"/>
          <w:sz w:val="32"/>
          <w:szCs w:val="32"/>
          <w:lang w:eastAsia="zh-CN"/>
        </w:rPr>
        <w:sectPr>
          <w:footerReference r:id="rId5" w:type="default"/>
          <w:footerReference r:id="rId6" w:type="even"/>
          <w:pgSz w:w="11907" w:h="16840"/>
          <w:pgMar w:top="3969" w:right="1418" w:bottom="1418" w:left="1701" w:header="851" w:footer="992" w:gutter="0"/>
          <w:cols w:space="720" w:num="1"/>
          <w:titlePg/>
          <w:docGrid w:type="lines" w:linePitch="312" w:charSpace="0"/>
        </w:sectPr>
      </w:pPr>
      <w:r>
        <w:rPr>
          <w:rFonts w:hint="eastAsia" w:ascii="仿宋_GB2312" w:eastAsia="仿宋_GB2312" w:cs="仿宋_GB2312"/>
          <w:sz w:val="32"/>
          <w:szCs w:val="32"/>
          <w:lang w:eastAsia="zh-CN"/>
        </w:rPr>
        <w:t xml:space="preserve">                        2019年12月</w:t>
      </w:r>
      <w:r>
        <w:rPr>
          <w:rFonts w:ascii="仿宋_GB2312" w:eastAsia="仿宋_GB2312" w:cs="仿宋_GB2312"/>
          <w:sz w:val="32"/>
          <w:szCs w:val="32"/>
          <w:lang w:eastAsia="zh-CN"/>
        </w:rPr>
        <w:t>16</w:t>
      </w:r>
      <w:r>
        <w:rPr>
          <w:rFonts w:hint="eastAsia" w:ascii="仿宋_GB2312" w:eastAsia="仿宋_GB2312" w:cs="仿宋_GB2312"/>
          <w:sz w:val="32"/>
          <w:szCs w:val="32"/>
          <w:lang w:eastAsia="zh-CN"/>
        </w:rPr>
        <w:t>日</w:t>
      </w:r>
    </w:p>
    <w:p>
      <w:pPr>
        <w:widowControl w:val="0"/>
        <w:adjustRightInd w:val="0"/>
        <w:snapToGrid w:val="0"/>
        <w:spacing w:line="600" w:lineRule="exact"/>
        <w:ind w:firstLine="0" w:firstLineChars="0"/>
        <w:jc w:val="center"/>
        <w:rPr>
          <w:rFonts w:ascii="方正小标宋简体" w:eastAsia="方正小标宋简体" w:cs="方正小标宋简体"/>
          <w:kern w:val="2"/>
          <w:sz w:val="44"/>
          <w:szCs w:val="44"/>
          <w:lang w:eastAsia="zh-CN"/>
        </w:rPr>
      </w:pPr>
      <w:r>
        <w:rPr>
          <w:rFonts w:hint="eastAsia" w:ascii="方正小标宋简体" w:eastAsia="方正小标宋简体" w:cs="方正小标宋简体"/>
          <w:kern w:val="2"/>
          <w:sz w:val="44"/>
          <w:szCs w:val="44"/>
          <w:lang w:eastAsia="zh-CN"/>
        </w:rPr>
        <w:t>广西壮族自治区医疗机构</w:t>
      </w:r>
    </w:p>
    <w:p>
      <w:pPr>
        <w:widowControl w:val="0"/>
        <w:adjustRightInd w:val="0"/>
        <w:snapToGrid w:val="0"/>
        <w:spacing w:line="600" w:lineRule="exact"/>
        <w:ind w:firstLine="0" w:firstLineChars="0"/>
        <w:jc w:val="center"/>
        <w:rPr>
          <w:rFonts w:ascii="方正小标宋简体" w:eastAsia="方正小标宋简体"/>
          <w:kern w:val="2"/>
          <w:sz w:val="44"/>
          <w:szCs w:val="44"/>
          <w:lang w:eastAsia="zh-CN"/>
        </w:rPr>
      </w:pPr>
      <w:r>
        <w:rPr>
          <w:rFonts w:hint="eastAsia" w:ascii="方正小标宋简体" w:eastAsia="方正小标宋简体" w:cs="方正小标宋简体"/>
          <w:kern w:val="2"/>
          <w:sz w:val="44"/>
          <w:szCs w:val="44"/>
          <w:lang w:eastAsia="zh-CN"/>
        </w:rPr>
        <w:t>远程医疗服务管理办法</w:t>
      </w:r>
    </w:p>
    <w:p>
      <w:pPr>
        <w:widowControl w:val="0"/>
        <w:adjustRightInd w:val="0"/>
        <w:snapToGrid w:val="0"/>
        <w:spacing w:line="560" w:lineRule="exact"/>
        <w:ind w:firstLine="0" w:firstLineChars="0"/>
        <w:jc w:val="center"/>
        <w:rPr>
          <w:rFonts w:ascii="仿宋_GB2312" w:eastAsia="仿宋_GB2312"/>
          <w:kern w:val="2"/>
          <w:sz w:val="32"/>
          <w:szCs w:val="32"/>
          <w:lang w:eastAsia="zh-CN"/>
        </w:rPr>
      </w:pPr>
    </w:p>
    <w:p>
      <w:pPr>
        <w:pStyle w:val="8"/>
        <w:adjustRightInd w:val="0"/>
        <w:snapToGrid w:val="0"/>
        <w:spacing w:line="540" w:lineRule="exact"/>
        <w:ind w:left="0" w:firstLine="0" w:firstLineChars="0"/>
        <w:contextualSpacing/>
        <w:jc w:val="center"/>
        <w:rPr>
          <w:rFonts w:ascii="黑体" w:eastAsia="黑体"/>
          <w:sz w:val="32"/>
          <w:szCs w:val="32"/>
          <w:lang w:eastAsia="zh-CN"/>
        </w:rPr>
      </w:pPr>
      <w:r>
        <w:rPr>
          <w:rFonts w:hint="eastAsia" w:ascii="黑体" w:eastAsia="黑体"/>
          <w:sz w:val="32"/>
          <w:szCs w:val="32"/>
          <w:lang w:eastAsia="zh-CN"/>
        </w:rPr>
        <w:t>第一章</w:t>
      </w:r>
      <w:r>
        <w:rPr>
          <w:rFonts w:ascii="黑体" w:eastAsia="黑体"/>
          <w:sz w:val="32"/>
          <w:szCs w:val="32"/>
          <w:lang w:eastAsia="zh-CN"/>
        </w:rPr>
        <w:t xml:space="preserve">  </w:t>
      </w:r>
      <w:r>
        <w:rPr>
          <w:rFonts w:hint="eastAsia" w:ascii="黑体" w:eastAsia="黑体"/>
          <w:sz w:val="32"/>
          <w:szCs w:val="32"/>
          <w:lang w:eastAsia="zh-CN"/>
        </w:rPr>
        <w:t>总</w:t>
      </w:r>
      <w:r>
        <w:rPr>
          <w:rFonts w:ascii="黑体" w:eastAsia="黑体"/>
          <w:sz w:val="32"/>
          <w:szCs w:val="32"/>
          <w:lang w:eastAsia="zh-CN"/>
        </w:rPr>
        <w:t xml:space="preserve">  </w:t>
      </w:r>
      <w:r>
        <w:rPr>
          <w:rFonts w:hint="eastAsia" w:ascii="黑体" w:eastAsia="黑体"/>
          <w:sz w:val="32"/>
          <w:szCs w:val="32"/>
          <w:lang w:eastAsia="zh-CN"/>
        </w:rPr>
        <w:t>则</w:t>
      </w:r>
    </w:p>
    <w:p>
      <w:pPr>
        <w:shd w:val="clear" w:color="auto" w:fill="FFFFFF"/>
        <w:adjustRightInd w:val="0"/>
        <w:snapToGrid w:val="0"/>
        <w:spacing w:line="540" w:lineRule="exact"/>
        <w:jc w:val="both"/>
        <w:rPr>
          <w:rFonts w:ascii="仿宋_GB2312" w:eastAsia="仿宋_GB2312" w:cs="仿宋_GB2312"/>
          <w:sz w:val="32"/>
          <w:szCs w:val="32"/>
          <w:lang w:eastAsia="zh-CN"/>
        </w:rPr>
      </w:pPr>
      <w:r>
        <w:rPr>
          <w:rFonts w:hint="eastAsia" w:ascii="黑体" w:eastAsia="黑体"/>
          <w:sz w:val="32"/>
          <w:szCs w:val="32"/>
          <w:lang w:eastAsia="zh-CN"/>
        </w:rPr>
        <w:t>第一条</w:t>
      </w:r>
      <w:r>
        <w:rPr>
          <w:rFonts w:ascii="仿宋_GB2312" w:eastAsia="仿宋_GB2312"/>
          <w:sz w:val="32"/>
          <w:szCs w:val="32"/>
          <w:lang w:eastAsia="zh-CN"/>
        </w:rPr>
        <w:t xml:space="preserve">  </w:t>
      </w:r>
      <w:r>
        <w:rPr>
          <w:rFonts w:hint="eastAsia" w:ascii="仿宋_GB2312" w:eastAsia="仿宋_GB2312" w:cs="仿宋_GB2312"/>
          <w:sz w:val="32"/>
          <w:szCs w:val="32"/>
          <w:lang w:eastAsia="zh-CN"/>
        </w:rPr>
        <w:t>为规范医疗机构远程医疗服务管理，确保远程医疗服务质量和安全，促进远程医疗服务持续健康发展，助推分级诊疗制度建设，根据《国务院办公厅关于促进“互联网+医疗健康”发展的意见》和国家卫生健康委员会、国家中医药管理局《远程医疗服务管理规范（试行）》《广西促进“互联网+医疗健康”发展实施方案》及有关规定，结合我区实际，制定本办法。</w:t>
      </w:r>
    </w:p>
    <w:p>
      <w:pPr>
        <w:adjustRightInd w:val="0"/>
        <w:snapToGrid w:val="0"/>
        <w:spacing w:line="540" w:lineRule="exact"/>
        <w:jc w:val="both"/>
        <w:rPr>
          <w:rFonts w:ascii="仿宋_GB2312" w:eastAsia="仿宋_GB2312" w:cs="仿宋_GB2312"/>
          <w:sz w:val="32"/>
          <w:szCs w:val="32"/>
          <w:lang w:eastAsia="zh-CN"/>
        </w:rPr>
      </w:pPr>
      <w:r>
        <w:rPr>
          <w:rFonts w:hint="eastAsia" w:ascii="黑体" w:eastAsia="黑体"/>
          <w:sz w:val="32"/>
          <w:szCs w:val="32"/>
          <w:lang w:eastAsia="zh-CN"/>
        </w:rPr>
        <w:t>第二条</w:t>
      </w:r>
      <w:r>
        <w:rPr>
          <w:rFonts w:ascii="仿宋_GB2312" w:eastAsia="仿宋_GB2312"/>
          <w:sz w:val="32"/>
          <w:szCs w:val="32"/>
          <w:lang w:eastAsia="zh-CN"/>
        </w:rPr>
        <w:t xml:space="preserve">  </w:t>
      </w:r>
      <w:r>
        <w:rPr>
          <w:rFonts w:hint="eastAsia" w:ascii="仿宋_GB2312" w:eastAsia="仿宋_GB2312" w:cs="仿宋_GB2312"/>
          <w:sz w:val="32"/>
          <w:szCs w:val="32"/>
          <w:lang w:eastAsia="zh-CN"/>
        </w:rPr>
        <w:t>本办法所称远程医疗服务，包括以下情形：</w:t>
      </w:r>
    </w:p>
    <w:p>
      <w:pPr>
        <w:adjustRightInd w:val="0"/>
        <w:snapToGrid w:val="0"/>
        <w:spacing w:line="540" w:lineRule="exact"/>
        <w:jc w:val="both"/>
        <w:rPr>
          <w:rFonts w:ascii="仿宋_GB2312" w:eastAsia="仿宋_GB2312" w:cs="仿宋_GB2312"/>
          <w:sz w:val="32"/>
          <w:szCs w:val="32"/>
          <w:lang w:eastAsia="zh-CN"/>
        </w:rPr>
      </w:pPr>
      <w:r>
        <w:rPr>
          <w:rFonts w:hint="eastAsia" w:ascii="仿宋_GB2312" w:eastAsia="仿宋_GB2312" w:cs="仿宋_GB2312"/>
          <w:sz w:val="32"/>
          <w:szCs w:val="32"/>
          <w:lang w:eastAsia="zh-CN"/>
        </w:rPr>
        <w:t>（一）一方医疗机构（以下称邀请方）邀请其他医疗机构（以下称受邀方），运用通讯、计算机及网络技术等信息化技术，为本医疗机构诊疗患者提供技术支持的医疗活动。</w:t>
      </w:r>
    </w:p>
    <w:p>
      <w:pPr>
        <w:adjustRightInd w:val="0"/>
        <w:snapToGrid w:val="0"/>
        <w:spacing w:line="540" w:lineRule="exact"/>
        <w:jc w:val="both"/>
        <w:rPr>
          <w:rFonts w:ascii="仿宋_GB2312" w:eastAsia="仿宋_GB2312" w:cs="仿宋_GB2312"/>
          <w:sz w:val="32"/>
          <w:szCs w:val="32"/>
          <w:lang w:eastAsia="zh-CN"/>
        </w:rPr>
      </w:pPr>
      <w:r>
        <w:rPr>
          <w:rFonts w:hint="eastAsia" w:ascii="仿宋_GB2312" w:eastAsia="仿宋_GB2312" w:cs="仿宋_GB2312"/>
          <w:sz w:val="32"/>
          <w:szCs w:val="32"/>
          <w:lang w:eastAsia="zh-CN"/>
        </w:rPr>
        <w:t>（二）邀请方或第三方机构搭建远程医疗服务平台，受邀方以机构身份在该平台注册，邀请方通过该平台发布需求，由平台匹配受邀方或其他医疗机构主动对需求做出应答，运用通讯、计算机及网络技术等信息化技术，为邀请方患者诊疗提供技术支持的医疗活动。</w:t>
      </w:r>
    </w:p>
    <w:p>
      <w:pPr>
        <w:adjustRightInd w:val="0"/>
        <w:snapToGrid w:val="0"/>
        <w:spacing w:line="540" w:lineRule="exact"/>
        <w:jc w:val="both"/>
        <w:rPr>
          <w:rFonts w:ascii="仿宋_GB2312" w:eastAsia="仿宋_GB2312"/>
          <w:sz w:val="32"/>
          <w:szCs w:val="32"/>
          <w:lang w:eastAsia="zh-CN"/>
        </w:rPr>
      </w:pPr>
      <w:r>
        <w:rPr>
          <w:rFonts w:hint="eastAsia" w:ascii="黑体" w:eastAsia="黑体" w:cs="宋体"/>
          <w:sz w:val="32"/>
          <w:szCs w:val="32"/>
          <w:lang w:eastAsia="zh-CN"/>
        </w:rPr>
        <w:t>第三条</w:t>
      </w:r>
      <w:r>
        <w:rPr>
          <w:rFonts w:ascii="仿宋_GB2312" w:eastAsia="仿宋_GB2312" w:cs="宋体"/>
          <w:sz w:val="32"/>
          <w:szCs w:val="32"/>
          <w:lang w:eastAsia="zh-CN"/>
        </w:rPr>
        <w:t xml:space="preserve">  </w:t>
      </w:r>
      <w:r>
        <w:rPr>
          <w:rFonts w:hint="eastAsia" w:ascii="仿宋_GB2312" w:eastAsia="仿宋_GB2312"/>
          <w:sz w:val="32"/>
          <w:szCs w:val="32"/>
          <w:lang w:eastAsia="zh-CN"/>
        </w:rPr>
        <w:t>远程医疗服务项目包括：</w:t>
      </w:r>
    </w:p>
    <w:p>
      <w:pPr>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（一）远程会诊：包括远程临床会诊，放射、核医学、</w:t>
      </w:r>
      <w:r>
        <w:rPr>
          <w:rFonts w:hint="eastAsia" w:ascii="仿宋_GB2312" w:eastAsia="仿宋_GB2312"/>
          <w:color w:val="000000"/>
          <w:sz w:val="32"/>
          <w:szCs w:val="32"/>
          <w:lang w:eastAsia="zh-CN"/>
        </w:rPr>
        <w:t>超声、</w:t>
      </w:r>
      <w:r>
        <w:rPr>
          <w:rFonts w:hint="eastAsia" w:ascii="仿宋_GB2312" w:eastAsia="仿宋_GB2312"/>
          <w:sz w:val="32"/>
          <w:szCs w:val="32"/>
          <w:lang w:eastAsia="zh-CN"/>
        </w:rPr>
        <w:t>心电图、肌电图、脑电图、内镜、</w:t>
      </w:r>
      <w:r>
        <w:rPr>
          <w:rFonts w:hint="eastAsia" w:ascii="仿宋_GB2312" w:eastAsia="仿宋_GB2312" w:cs="宋体"/>
          <w:sz w:val="32"/>
          <w:szCs w:val="32"/>
          <w:lang w:eastAsia="zh-CN"/>
        </w:rPr>
        <w:t>裂隙灯显微镜、眼底镜</w:t>
      </w:r>
      <w:r>
        <w:rPr>
          <w:rFonts w:hint="eastAsia" w:ascii="仿宋_GB2312" w:eastAsia="仿宋_GB2312"/>
          <w:sz w:val="32"/>
          <w:szCs w:val="32"/>
          <w:lang w:eastAsia="zh-CN"/>
        </w:rPr>
        <w:t>等远程医学影像会诊，远程病理会诊；</w:t>
      </w:r>
    </w:p>
    <w:p>
      <w:pPr>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（二）远程重症监护及会诊；</w:t>
      </w:r>
    </w:p>
    <w:p>
      <w:pPr>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（三）远程病例讨论；</w:t>
      </w:r>
    </w:p>
    <w:p>
      <w:pPr>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（四）远程医学影像诊断（主要指放射、核医学、心电图等影像的远程非同步诊断）；</w:t>
      </w:r>
    </w:p>
    <w:p>
      <w:pPr>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（五）远程病理诊断；</w:t>
      </w:r>
    </w:p>
    <w:p>
      <w:pPr>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（六）远程手术指导；</w:t>
      </w:r>
      <w:r>
        <w:rPr>
          <w:rFonts w:ascii="仿宋_GB2312" w:eastAsia="仿宋_GB2312"/>
          <w:sz w:val="32"/>
          <w:szCs w:val="32"/>
          <w:lang w:eastAsia="zh-CN"/>
        </w:rPr>
        <w:t xml:space="preserve"> </w:t>
      </w:r>
    </w:p>
    <w:p>
      <w:pPr>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（七）远程门诊：包括远程普通门诊，远程专家门诊，远程临床心理门诊；</w:t>
      </w:r>
    </w:p>
    <w:p>
      <w:pPr>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（八）远程查房；</w:t>
      </w:r>
    </w:p>
    <w:p>
      <w:pPr>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（九）国家和自治区卫生健康委规定的其他项目。</w:t>
      </w:r>
    </w:p>
    <w:p>
      <w:pPr>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上述（一）至（八）项仅限于医疗机构之间开展的远程医疗服务项目。</w:t>
      </w:r>
    </w:p>
    <w:p>
      <w:pPr>
        <w:pStyle w:val="9"/>
        <w:adjustRightInd w:val="0"/>
        <w:snapToGrid w:val="0"/>
        <w:spacing w:line="540" w:lineRule="exact"/>
        <w:ind w:firstLine="640" w:firstLineChars="200"/>
        <w:jc w:val="both"/>
        <w:rPr>
          <w:rFonts w:eastAsia="仿宋_GB2312" w:cs="Times New Roman"/>
          <w:color w:val="auto"/>
          <w:sz w:val="32"/>
          <w:szCs w:val="32"/>
        </w:rPr>
      </w:pPr>
      <w:r>
        <w:rPr>
          <w:rFonts w:hint="eastAsia" w:ascii="黑体" w:eastAsia="黑体"/>
          <w:color w:val="auto"/>
          <w:sz w:val="32"/>
          <w:szCs w:val="32"/>
        </w:rPr>
        <w:t>第四条</w:t>
      </w:r>
      <w:r>
        <w:rPr>
          <w:rFonts w:eastAsia="仿宋_GB2312" w:cs="Times New Roman"/>
          <w:color w:val="auto"/>
          <w:sz w:val="32"/>
          <w:szCs w:val="32"/>
        </w:rPr>
        <w:t xml:space="preserve">  </w:t>
      </w:r>
      <w:r>
        <w:rPr>
          <w:rFonts w:hint="eastAsia" w:eastAsia="仿宋_GB2312" w:cs="Times New Roman"/>
          <w:color w:val="auto"/>
          <w:sz w:val="32"/>
          <w:szCs w:val="32"/>
        </w:rPr>
        <w:t>医疗机构远程医疗系统应当符合国家相关技术标准、规范和信息安全等级要求，确保网络信息质量和安全。</w:t>
      </w:r>
    </w:p>
    <w:p>
      <w:pPr>
        <w:pStyle w:val="9"/>
        <w:adjustRightInd w:val="0"/>
        <w:snapToGrid w:val="0"/>
        <w:spacing w:line="540" w:lineRule="exact"/>
        <w:ind w:firstLine="640" w:firstLineChars="200"/>
        <w:jc w:val="both"/>
        <w:rPr>
          <w:rFonts w:eastAsia="仿宋_GB2312"/>
          <w:color w:val="auto"/>
          <w:sz w:val="32"/>
          <w:szCs w:val="32"/>
        </w:rPr>
      </w:pPr>
      <w:r>
        <w:rPr>
          <w:rFonts w:hint="eastAsia" w:ascii="黑体" w:eastAsia="黑体"/>
          <w:color w:val="auto"/>
          <w:sz w:val="32"/>
          <w:szCs w:val="32"/>
        </w:rPr>
        <w:t>第五条</w:t>
      </w:r>
      <w:r>
        <w:rPr>
          <w:rFonts w:eastAsia="仿宋_GB2312"/>
          <w:color w:val="auto"/>
          <w:sz w:val="32"/>
          <w:szCs w:val="32"/>
        </w:rPr>
        <w:t xml:space="preserve">  </w:t>
      </w:r>
      <w:r>
        <w:rPr>
          <w:rFonts w:hint="eastAsia" w:eastAsia="仿宋_GB2312" w:cs="Times New Roman"/>
          <w:color w:val="auto"/>
          <w:sz w:val="32"/>
          <w:szCs w:val="32"/>
        </w:rPr>
        <w:t>医疗机构开展各项远程医疗业务需遵守相关法律、法规、规章和技术规范等规定。</w:t>
      </w:r>
    </w:p>
    <w:p>
      <w:pPr>
        <w:adjustRightInd w:val="0"/>
        <w:snapToGrid w:val="0"/>
        <w:spacing w:line="540" w:lineRule="exact"/>
        <w:jc w:val="both"/>
        <w:rPr>
          <w:rFonts w:ascii="仿宋_GB2312" w:eastAsia="仿宋_GB2312"/>
          <w:sz w:val="32"/>
          <w:szCs w:val="32"/>
          <w:lang w:eastAsia="zh-CN"/>
        </w:rPr>
      </w:pPr>
      <w:r>
        <w:rPr>
          <w:rFonts w:hint="eastAsia" w:ascii="黑体" w:eastAsia="黑体" w:cs="仿宋_GB2312"/>
          <w:sz w:val="32"/>
          <w:szCs w:val="32"/>
          <w:lang w:eastAsia="zh-CN"/>
        </w:rPr>
        <w:t>第六条</w:t>
      </w:r>
      <w:r>
        <w:rPr>
          <w:rFonts w:ascii="仿宋_GB2312" w:eastAsia="仿宋_GB2312"/>
          <w:sz w:val="32"/>
          <w:szCs w:val="32"/>
          <w:lang w:eastAsia="zh-CN"/>
        </w:rPr>
        <w:t xml:space="preserve">  </w:t>
      </w:r>
      <w:r>
        <w:rPr>
          <w:rFonts w:hint="eastAsia" w:ascii="仿宋_GB2312" w:eastAsia="仿宋_GB2312"/>
          <w:sz w:val="32"/>
          <w:szCs w:val="32"/>
          <w:lang w:eastAsia="zh-CN"/>
        </w:rPr>
        <w:t>开展远程医疗服务的医疗机构、工作人员需保护患者隐私，患者应当提供真实病情。</w:t>
      </w:r>
    </w:p>
    <w:p>
      <w:pPr>
        <w:adjustRightInd w:val="0"/>
        <w:snapToGrid w:val="0"/>
        <w:spacing w:line="540" w:lineRule="exact"/>
        <w:jc w:val="both"/>
        <w:rPr>
          <w:rFonts w:ascii="仿宋_GB2312" w:eastAsia="仿宋_GB2312"/>
          <w:sz w:val="32"/>
          <w:szCs w:val="32"/>
          <w:lang w:eastAsia="zh-CN"/>
        </w:rPr>
      </w:pPr>
      <w:r>
        <w:rPr>
          <w:rFonts w:hint="eastAsia" w:ascii="黑体" w:eastAsia="黑体" w:cs="仿宋_GB2312"/>
          <w:sz w:val="32"/>
          <w:szCs w:val="32"/>
          <w:lang w:eastAsia="zh-CN"/>
        </w:rPr>
        <w:t>第七条</w:t>
      </w:r>
      <w:r>
        <w:rPr>
          <w:rFonts w:ascii="仿宋_GB2312" w:eastAsia="仿宋_GB2312"/>
          <w:sz w:val="32"/>
          <w:szCs w:val="32"/>
          <w:lang w:eastAsia="zh-CN"/>
        </w:rPr>
        <w:t xml:space="preserve">  </w:t>
      </w:r>
      <w:r>
        <w:rPr>
          <w:rFonts w:hint="eastAsia" w:ascii="仿宋_GB2312" w:eastAsia="仿宋_GB2312"/>
          <w:sz w:val="32"/>
          <w:szCs w:val="32"/>
          <w:lang w:eastAsia="zh-CN"/>
        </w:rPr>
        <w:t>县级以上卫生健康行政部门负责本行政区域内远程医疗服务的监督管理</w:t>
      </w:r>
      <w:r>
        <w:rPr>
          <w:rFonts w:hint="eastAsia" w:ascii="仿宋_GB2312" w:eastAsia="仿宋_GB2312" w:cs="宋体"/>
          <w:sz w:val="32"/>
          <w:szCs w:val="32"/>
          <w:lang w:eastAsia="zh-CN"/>
        </w:rPr>
        <w:t>，建立远程医疗服务监督管理长效机制</w:t>
      </w:r>
      <w:r>
        <w:rPr>
          <w:rFonts w:hint="eastAsia" w:ascii="仿宋_GB2312" w:eastAsia="仿宋_GB2312"/>
          <w:sz w:val="32"/>
          <w:szCs w:val="32"/>
          <w:lang w:eastAsia="zh-CN"/>
        </w:rPr>
        <w:t>。</w:t>
      </w:r>
    </w:p>
    <w:p>
      <w:pPr>
        <w:adjustRightInd w:val="0"/>
        <w:snapToGrid w:val="0"/>
        <w:spacing w:line="540" w:lineRule="exact"/>
        <w:jc w:val="both"/>
        <w:rPr>
          <w:rFonts w:ascii="仿宋_GB2312" w:eastAsia="仿宋_GB2312" w:cs="仿宋_GB2312"/>
          <w:color w:val="FF0000"/>
          <w:sz w:val="32"/>
          <w:szCs w:val="32"/>
          <w:lang w:eastAsia="zh-CN"/>
        </w:rPr>
      </w:pPr>
      <w:r>
        <w:rPr>
          <w:rFonts w:hint="eastAsia" w:ascii="黑体" w:eastAsia="黑体" w:cs="仿宋_GB2312"/>
          <w:sz w:val="32"/>
          <w:szCs w:val="32"/>
          <w:lang w:eastAsia="zh-CN"/>
        </w:rPr>
        <w:t>第八条</w:t>
      </w:r>
      <w:r>
        <w:rPr>
          <w:rFonts w:ascii="仿宋_GB2312" w:eastAsia="仿宋_GB2312"/>
          <w:sz w:val="32"/>
          <w:szCs w:val="32"/>
          <w:lang w:eastAsia="zh-CN"/>
        </w:rPr>
        <w:t xml:space="preserve">  </w:t>
      </w:r>
      <w:r>
        <w:rPr>
          <w:rFonts w:hint="eastAsia" w:ascii="仿宋_GB2312" w:eastAsia="仿宋_GB2312" w:cs="仿宋_GB2312"/>
          <w:color w:val="000000"/>
          <w:sz w:val="32"/>
          <w:szCs w:val="32"/>
          <w:lang w:eastAsia="zh-CN"/>
        </w:rPr>
        <w:t>自治区卫生健康委建立自治区远程医疗服务与资源监管信息平台（以下简称“监管平台”），加强对全区远程医疗服务运营、质量、收费等的监测和管理。广西区内开通远程医疗服务的医疗机构要全部接入监管平台，全部县级及以上医院实现互联互通，以实现规范诊疗和实时监督，相关项目纳入公立医院绩效考核项目进行考核。</w:t>
      </w:r>
    </w:p>
    <w:p>
      <w:pPr>
        <w:pStyle w:val="8"/>
        <w:adjustRightInd w:val="0"/>
        <w:snapToGrid w:val="0"/>
        <w:spacing w:line="540" w:lineRule="exact"/>
        <w:ind w:left="0" w:firstLine="0" w:firstLineChars="0"/>
        <w:contextualSpacing/>
        <w:jc w:val="center"/>
        <w:rPr>
          <w:rFonts w:ascii="黑体" w:eastAsia="黑体"/>
          <w:sz w:val="32"/>
          <w:szCs w:val="32"/>
          <w:lang w:eastAsia="zh-CN"/>
        </w:rPr>
      </w:pPr>
      <w:r>
        <w:rPr>
          <w:rFonts w:hint="eastAsia" w:ascii="黑体" w:eastAsia="黑体"/>
          <w:sz w:val="32"/>
          <w:szCs w:val="32"/>
          <w:lang w:eastAsia="zh-CN"/>
        </w:rPr>
        <w:t>第二章</w:t>
      </w:r>
      <w:r>
        <w:rPr>
          <w:rFonts w:ascii="黑体" w:eastAsia="黑体"/>
          <w:sz w:val="32"/>
          <w:szCs w:val="32"/>
          <w:lang w:eastAsia="zh-CN"/>
        </w:rPr>
        <w:t xml:space="preserve">  </w:t>
      </w:r>
      <w:r>
        <w:rPr>
          <w:rFonts w:hint="eastAsia" w:ascii="黑体" w:eastAsia="黑体"/>
          <w:sz w:val="32"/>
          <w:szCs w:val="32"/>
          <w:lang w:eastAsia="zh-CN"/>
        </w:rPr>
        <w:t>远程医疗服务体系建设及其网络信息管理</w:t>
      </w:r>
    </w:p>
    <w:p>
      <w:pPr>
        <w:adjustRightInd w:val="0"/>
        <w:snapToGrid w:val="0"/>
        <w:spacing w:line="540" w:lineRule="exact"/>
        <w:jc w:val="both"/>
        <w:rPr>
          <w:rFonts w:ascii="仿宋_GB2312" w:eastAsia="仿宋_GB2312"/>
          <w:sz w:val="32"/>
          <w:szCs w:val="32"/>
          <w:lang w:eastAsia="zh-CN"/>
        </w:rPr>
      </w:pPr>
      <w:r>
        <w:rPr>
          <w:rFonts w:hint="eastAsia" w:ascii="黑体" w:eastAsia="黑体" w:cs="仿宋_GB2312"/>
          <w:sz w:val="32"/>
          <w:szCs w:val="32"/>
          <w:lang w:eastAsia="zh-CN"/>
        </w:rPr>
        <w:t>第九条</w:t>
      </w:r>
      <w:r>
        <w:rPr>
          <w:rFonts w:ascii="仿宋_GB2312" w:eastAsia="仿宋_GB2312"/>
          <w:bCs/>
          <w:sz w:val="32"/>
          <w:szCs w:val="32"/>
          <w:lang w:eastAsia="zh-CN"/>
        </w:rPr>
        <w:t xml:space="preserve">  </w:t>
      </w:r>
      <w:r>
        <w:rPr>
          <w:rFonts w:hint="eastAsia" w:ascii="仿宋_GB2312" w:eastAsia="仿宋_GB2312"/>
          <w:sz w:val="32"/>
          <w:szCs w:val="32"/>
          <w:lang w:eastAsia="zh-CN"/>
        </w:rPr>
        <w:t>建设完善自治区、市、县级医疗机构远程医疗服务体系，逐步将远程医疗服务扩展至基层医疗卫生机构。依托科学技术发展，积极引入先进信息化技术，优化远程医疗技术，全面提升远程医疗信息化水平。</w:t>
      </w:r>
    </w:p>
    <w:p>
      <w:pPr>
        <w:adjustRightInd w:val="0"/>
        <w:snapToGrid w:val="0"/>
        <w:spacing w:line="540" w:lineRule="exact"/>
        <w:jc w:val="both"/>
        <w:rPr>
          <w:rFonts w:ascii="仿宋_GB2312" w:eastAsia="仿宋_GB2312"/>
          <w:sz w:val="32"/>
          <w:szCs w:val="32"/>
          <w:lang w:eastAsia="zh-CN"/>
        </w:rPr>
      </w:pPr>
      <w:r>
        <w:rPr>
          <w:rFonts w:hint="eastAsia" w:ascii="黑体" w:eastAsia="黑体" w:cs="仿宋_GB2312"/>
          <w:sz w:val="32"/>
          <w:szCs w:val="32"/>
          <w:lang w:eastAsia="zh-CN"/>
        </w:rPr>
        <w:t>第十条</w:t>
      </w:r>
      <w:r>
        <w:rPr>
          <w:rFonts w:ascii="仿宋_GB2312" w:eastAsia="仿宋_GB2312"/>
          <w:bCs/>
          <w:sz w:val="32"/>
          <w:szCs w:val="32"/>
          <w:lang w:eastAsia="zh-CN"/>
        </w:rPr>
        <w:t xml:space="preserve">  </w:t>
      </w:r>
      <w:r>
        <w:rPr>
          <w:rFonts w:hint="eastAsia" w:ascii="仿宋_GB2312" w:eastAsia="仿宋_GB2312"/>
          <w:sz w:val="32"/>
          <w:szCs w:val="32"/>
          <w:lang w:eastAsia="zh-CN"/>
        </w:rPr>
        <w:t>开展远程医疗服务的医疗机构应当建立完善远程医疗信息系统，配备相应的软硬件设备和专职工作人员。远程医疗信息系统逐步实现与医疗机构内部信息系统互联互通、信息共享。</w:t>
      </w:r>
    </w:p>
    <w:p>
      <w:pPr>
        <w:adjustRightInd w:val="0"/>
        <w:snapToGrid w:val="0"/>
        <w:spacing w:line="540" w:lineRule="exact"/>
        <w:jc w:val="both"/>
        <w:rPr>
          <w:rFonts w:ascii="仿宋_GB2312" w:eastAsia="仿宋_GB2312"/>
          <w:sz w:val="32"/>
          <w:szCs w:val="32"/>
          <w:lang w:eastAsia="zh-CN"/>
        </w:rPr>
      </w:pPr>
      <w:r>
        <w:rPr>
          <w:rFonts w:hint="eastAsia" w:ascii="黑体" w:eastAsia="黑体" w:cs="仿宋_GB2312"/>
          <w:sz w:val="32"/>
          <w:szCs w:val="32"/>
          <w:lang w:eastAsia="zh-CN"/>
        </w:rPr>
        <w:t>第十一条</w:t>
      </w:r>
      <w:r>
        <w:rPr>
          <w:rFonts w:ascii="仿宋_GB2312" w:eastAsia="仿宋_GB2312"/>
          <w:bCs/>
          <w:sz w:val="32"/>
          <w:szCs w:val="32"/>
          <w:lang w:eastAsia="zh-CN"/>
        </w:rPr>
        <w:t xml:space="preserve"> </w:t>
      </w:r>
      <w:r>
        <w:rPr>
          <w:rFonts w:ascii="仿宋_GB2312" w:eastAsia="仿宋_GB2312"/>
          <w:sz w:val="32"/>
          <w:szCs w:val="32"/>
          <w:lang w:eastAsia="zh-CN"/>
        </w:rPr>
        <w:t xml:space="preserve"> </w:t>
      </w:r>
      <w:r>
        <w:rPr>
          <w:rFonts w:hint="eastAsia" w:ascii="仿宋_GB2312" w:eastAsia="仿宋_GB2312"/>
          <w:sz w:val="32"/>
          <w:szCs w:val="32"/>
          <w:lang w:eastAsia="zh-CN"/>
        </w:rPr>
        <w:t>各级</w:t>
      </w:r>
      <w:r>
        <w:rPr>
          <w:rFonts w:hint="eastAsia" w:ascii="仿宋_GB2312" w:eastAsia="仿宋_GB2312" w:cs="宋体"/>
          <w:sz w:val="32"/>
          <w:szCs w:val="32"/>
          <w:lang w:eastAsia="zh-CN"/>
        </w:rPr>
        <w:t>各类</w:t>
      </w:r>
      <w:r>
        <w:rPr>
          <w:rFonts w:hint="eastAsia" w:ascii="仿宋_GB2312" w:eastAsia="仿宋_GB2312"/>
          <w:sz w:val="32"/>
          <w:szCs w:val="32"/>
          <w:lang w:eastAsia="zh-CN"/>
        </w:rPr>
        <w:t>医疗机构远程医疗网络接入自治区监管平台。已经接入市级、县级远程医疗服务信息平台的医疗机构，通过备案后，可以由市级、县级远程医疗信息平台统一完成与自治区监管平台互联互通。已经接入第三方远程医疗信息平台的医疗机构，通过备案后，也可以由第三方远程医疗服务信息平台完成与自治区监管平台互联互通。区外相关医疗机构具体连接按照有关规定和要求执行，相关远程医疗线路连接必须符合国家信息安全标准要求。</w:t>
      </w:r>
    </w:p>
    <w:p>
      <w:pPr>
        <w:adjustRightInd w:val="0"/>
        <w:snapToGrid w:val="0"/>
        <w:spacing w:line="540" w:lineRule="exact"/>
        <w:jc w:val="both"/>
        <w:rPr>
          <w:rFonts w:ascii="仿宋_GB2312" w:eastAsia="仿宋_GB2312"/>
          <w:sz w:val="32"/>
          <w:szCs w:val="32"/>
          <w:lang w:eastAsia="zh-CN"/>
        </w:rPr>
      </w:pPr>
      <w:r>
        <w:rPr>
          <w:rFonts w:hint="eastAsia" w:ascii="黑体" w:eastAsia="黑体" w:cs="仿宋_GB2312"/>
          <w:sz w:val="32"/>
          <w:szCs w:val="32"/>
          <w:lang w:eastAsia="zh-CN"/>
        </w:rPr>
        <w:t>第十二条</w:t>
      </w:r>
      <w:r>
        <w:rPr>
          <w:rFonts w:ascii="仿宋_GB2312" w:eastAsia="仿宋_GB2312"/>
          <w:sz w:val="32"/>
          <w:szCs w:val="32"/>
          <w:lang w:eastAsia="zh-CN"/>
        </w:rPr>
        <w:t xml:space="preserve">  </w:t>
      </w:r>
      <w:r>
        <w:rPr>
          <w:rFonts w:hint="eastAsia" w:ascii="仿宋_GB2312" w:eastAsia="仿宋_GB2312"/>
          <w:sz w:val="32"/>
          <w:szCs w:val="32"/>
          <w:lang w:eastAsia="zh-CN"/>
        </w:rPr>
        <w:t>开展远程医疗服务的医疗机构</w:t>
      </w:r>
      <w:r>
        <w:rPr>
          <w:rFonts w:hint="eastAsia" w:ascii="仿宋_GB2312" w:eastAsia="仿宋_GB2312"/>
          <w:color w:val="000000"/>
          <w:sz w:val="32"/>
          <w:szCs w:val="32"/>
          <w:lang w:eastAsia="zh-CN"/>
        </w:rPr>
        <w:t>（受邀方）</w:t>
      </w:r>
      <w:r>
        <w:rPr>
          <w:rFonts w:hint="eastAsia" w:ascii="仿宋_GB2312" w:eastAsia="仿宋_GB2312"/>
          <w:sz w:val="32"/>
          <w:szCs w:val="32"/>
          <w:lang w:eastAsia="zh-CN"/>
        </w:rPr>
        <w:t>应当具备与所开展远程医疗服务项目相适应的诊疗科目，且具备相应的人员、技术、设备、设施、场所和网络等基本条件和要求。</w:t>
      </w:r>
    </w:p>
    <w:p>
      <w:pPr>
        <w:adjustRightInd w:val="0"/>
        <w:snapToGrid w:val="0"/>
        <w:spacing w:line="540" w:lineRule="exact"/>
        <w:ind w:firstLine="630" w:firstLineChars="0"/>
        <w:jc w:val="both"/>
        <w:rPr>
          <w:rFonts w:ascii="仿宋_GB2312" w:eastAsia="仿宋_GB2312"/>
          <w:sz w:val="32"/>
          <w:szCs w:val="32"/>
          <w:lang w:eastAsia="zh-CN"/>
        </w:rPr>
      </w:pPr>
    </w:p>
    <w:p>
      <w:pPr>
        <w:pStyle w:val="8"/>
        <w:adjustRightInd w:val="0"/>
        <w:snapToGrid w:val="0"/>
        <w:spacing w:line="540" w:lineRule="exact"/>
        <w:ind w:left="0" w:firstLine="0" w:firstLineChars="0"/>
        <w:contextualSpacing/>
        <w:jc w:val="center"/>
        <w:rPr>
          <w:rFonts w:ascii="黑体" w:eastAsia="黑体"/>
          <w:sz w:val="32"/>
          <w:szCs w:val="32"/>
          <w:lang w:eastAsia="zh-CN"/>
        </w:rPr>
      </w:pPr>
      <w:r>
        <w:rPr>
          <w:rFonts w:hint="eastAsia" w:ascii="黑体" w:eastAsia="黑体"/>
          <w:sz w:val="32"/>
          <w:szCs w:val="32"/>
          <w:lang w:eastAsia="zh-CN"/>
        </w:rPr>
        <w:t>第三章</w:t>
      </w:r>
      <w:r>
        <w:rPr>
          <w:rFonts w:ascii="黑体" w:eastAsia="黑体"/>
          <w:sz w:val="32"/>
          <w:szCs w:val="32"/>
          <w:lang w:eastAsia="zh-CN"/>
        </w:rPr>
        <w:t xml:space="preserve">  </w:t>
      </w:r>
      <w:r>
        <w:rPr>
          <w:rFonts w:hint="eastAsia" w:ascii="黑体" w:eastAsia="黑体"/>
          <w:sz w:val="32"/>
          <w:szCs w:val="32"/>
          <w:lang w:eastAsia="zh-CN"/>
        </w:rPr>
        <w:t>远程医疗服务质量管理</w:t>
      </w:r>
    </w:p>
    <w:p>
      <w:pPr>
        <w:tabs>
          <w:tab w:val="left" w:pos="5676"/>
        </w:tabs>
        <w:adjustRightInd w:val="0"/>
        <w:snapToGrid w:val="0"/>
        <w:spacing w:line="540" w:lineRule="exact"/>
        <w:jc w:val="both"/>
        <w:rPr>
          <w:rFonts w:ascii="仿宋_GB2312" w:eastAsia="仿宋_GB2312"/>
          <w:sz w:val="32"/>
          <w:szCs w:val="32"/>
          <w:lang w:eastAsia="zh-CN"/>
        </w:rPr>
      </w:pPr>
      <w:r>
        <w:rPr>
          <w:rFonts w:hint="eastAsia" w:ascii="黑体" w:eastAsia="黑体" w:cs="仿宋_GB2312"/>
          <w:sz w:val="32"/>
          <w:szCs w:val="32"/>
          <w:lang w:eastAsia="zh-CN"/>
        </w:rPr>
        <w:t>第十三条</w:t>
      </w:r>
      <w:r>
        <w:rPr>
          <w:rFonts w:ascii="仿宋_GB2312" w:eastAsia="仿宋_GB2312"/>
          <w:sz w:val="32"/>
          <w:szCs w:val="32"/>
          <w:lang w:eastAsia="zh-CN"/>
        </w:rPr>
        <w:t xml:space="preserve">  </w:t>
      </w:r>
      <w:r>
        <w:rPr>
          <w:rFonts w:hint="eastAsia" w:ascii="仿宋_GB2312" w:eastAsia="仿宋_GB2312"/>
          <w:sz w:val="32"/>
          <w:szCs w:val="32"/>
          <w:lang w:eastAsia="zh-CN"/>
        </w:rPr>
        <w:t>开展远程医疗服务的医疗机构，应当建立远程医疗服务质量管理和控制体系，制定包括人员管理、设备管理、专家管理、收费管理、病历资料管理、网络信息安全管理和患者隐私保护等方面的规章制度；制定与远程医疗服务项目相适应的服务流程、操作规程及岗位职责等。对远程医疗服务实现可追溯、可监控、可统计的全过程管理，确保远程医疗服务质量和安全。</w:t>
      </w:r>
    </w:p>
    <w:p>
      <w:pPr>
        <w:tabs>
          <w:tab w:val="left" w:pos="5676"/>
        </w:tabs>
        <w:adjustRightInd w:val="0"/>
        <w:snapToGrid w:val="0"/>
        <w:spacing w:line="540" w:lineRule="exact"/>
        <w:jc w:val="both"/>
        <w:rPr>
          <w:rFonts w:ascii="仿宋_GB2312" w:eastAsia="仿宋_GB2312"/>
          <w:sz w:val="32"/>
          <w:szCs w:val="32"/>
          <w:lang w:eastAsia="zh-CN"/>
        </w:rPr>
      </w:pPr>
      <w:r>
        <w:rPr>
          <w:rFonts w:hint="eastAsia" w:ascii="黑体" w:eastAsia="黑体" w:cs="仿宋_GB2312"/>
          <w:sz w:val="32"/>
          <w:szCs w:val="32"/>
          <w:lang w:eastAsia="zh-CN"/>
        </w:rPr>
        <w:t>第十四条</w:t>
      </w:r>
      <w:r>
        <w:rPr>
          <w:rFonts w:ascii="仿宋_GB2312" w:eastAsia="仿宋_GB2312" w:cs="宋体"/>
          <w:sz w:val="32"/>
          <w:szCs w:val="32"/>
          <w:lang w:eastAsia="zh-CN"/>
        </w:rPr>
        <w:t xml:space="preserve">  </w:t>
      </w:r>
      <w:r>
        <w:rPr>
          <w:rFonts w:hint="eastAsia" w:ascii="仿宋_GB2312" w:eastAsia="仿宋_GB2312"/>
          <w:sz w:val="32"/>
          <w:szCs w:val="32"/>
          <w:lang w:eastAsia="zh-CN"/>
        </w:rPr>
        <w:t>开展远程医疗服务的医疗机构，应当加强远程医疗业务和服务信息平台的日常管理、技术保障等工作，对远程医疗仪器、设备、设施、信息系统进行定期检测、登记、维护、改造、升级，确保远程医疗系统处于正常运行状态，满足开展远程医疗服务的需要。</w:t>
      </w:r>
    </w:p>
    <w:p>
      <w:pPr>
        <w:tabs>
          <w:tab w:val="left" w:pos="5676"/>
        </w:tabs>
        <w:adjustRightInd w:val="0"/>
        <w:snapToGrid w:val="0"/>
        <w:spacing w:line="540" w:lineRule="exact"/>
        <w:jc w:val="both"/>
        <w:rPr>
          <w:rFonts w:ascii="仿宋_GB2312" w:eastAsia="仿宋_GB2312" w:cs="宋体"/>
          <w:sz w:val="32"/>
          <w:szCs w:val="32"/>
          <w:lang w:eastAsia="zh-CN"/>
        </w:rPr>
      </w:pPr>
      <w:r>
        <w:rPr>
          <w:rFonts w:hint="eastAsia" w:ascii="黑体" w:eastAsia="黑体" w:cs="仿宋_GB2312"/>
          <w:sz w:val="32"/>
          <w:szCs w:val="32"/>
          <w:lang w:eastAsia="zh-CN"/>
        </w:rPr>
        <w:t xml:space="preserve">第十五条  </w:t>
      </w:r>
      <w:r>
        <w:rPr>
          <w:rFonts w:hint="eastAsia" w:ascii="仿宋_GB2312" w:eastAsia="仿宋_GB2312"/>
          <w:sz w:val="32"/>
          <w:szCs w:val="32"/>
          <w:lang w:eastAsia="zh-CN"/>
        </w:rPr>
        <w:t>开展远程医疗服务的医疗机构，应积极参与自治区远程医疗质控中心组织的医疗质量管理与控制相关工作，接受卫生健康行政部门和质控中心的业务指导与监管。</w:t>
      </w:r>
    </w:p>
    <w:p>
      <w:pPr>
        <w:pStyle w:val="10"/>
        <w:tabs>
          <w:tab w:val="left" w:pos="709"/>
        </w:tabs>
        <w:adjustRightInd w:val="0"/>
        <w:snapToGrid w:val="0"/>
        <w:spacing w:line="540" w:lineRule="exact"/>
        <w:jc w:val="both"/>
        <w:rPr>
          <w:rFonts w:ascii="仿宋_GB2312" w:eastAsia="仿宋_GB2312"/>
          <w:sz w:val="32"/>
          <w:szCs w:val="32"/>
          <w:lang w:eastAsia="zh-CN"/>
        </w:rPr>
      </w:pPr>
      <w:r>
        <w:rPr>
          <w:rFonts w:hint="eastAsia" w:ascii="黑体" w:eastAsia="黑体" w:cs="仿宋_GB2312"/>
          <w:sz w:val="32"/>
          <w:szCs w:val="32"/>
          <w:lang w:eastAsia="zh-CN"/>
        </w:rPr>
        <w:t>第十六条</w:t>
      </w:r>
      <w:r>
        <w:rPr>
          <w:rFonts w:ascii="仿宋_GB2312" w:eastAsia="仿宋_GB2312"/>
          <w:sz w:val="32"/>
          <w:szCs w:val="32"/>
          <w:lang w:eastAsia="zh-CN"/>
        </w:rPr>
        <w:t xml:space="preserve">  </w:t>
      </w:r>
      <w:r>
        <w:rPr>
          <w:rFonts w:hint="eastAsia" w:ascii="仿宋_GB2312" w:eastAsia="仿宋_GB2312"/>
          <w:sz w:val="32"/>
          <w:szCs w:val="32"/>
          <w:lang w:eastAsia="zh-CN"/>
        </w:rPr>
        <w:t>邀请方、受邀方医疗机构、第三方运营机构签订远程医疗服务合作协议，主要内容包括约定合作目的、合作条件、合作内容、远程医疗流程、双方权利义务、收益分配、医疗损害风险和责任分担等事项。</w:t>
      </w:r>
    </w:p>
    <w:p>
      <w:pPr>
        <w:pStyle w:val="10"/>
        <w:tabs>
          <w:tab w:val="left" w:pos="709"/>
        </w:tabs>
        <w:adjustRightInd w:val="0"/>
        <w:snapToGrid w:val="0"/>
        <w:spacing w:line="540" w:lineRule="exact"/>
        <w:jc w:val="both"/>
        <w:rPr>
          <w:rFonts w:ascii="仿宋_GB2312" w:eastAsia="仿宋_GB2312"/>
          <w:sz w:val="32"/>
          <w:szCs w:val="32"/>
          <w:lang w:eastAsia="zh-CN"/>
        </w:rPr>
      </w:pPr>
      <w:r>
        <w:rPr>
          <w:rFonts w:hint="eastAsia" w:ascii="黑体" w:eastAsia="黑体" w:cs="仿宋_GB2312"/>
          <w:sz w:val="32"/>
          <w:szCs w:val="32"/>
          <w:lang w:eastAsia="zh-CN"/>
        </w:rPr>
        <w:t>第十七条</w:t>
      </w:r>
      <w:r>
        <w:rPr>
          <w:rFonts w:ascii="仿宋_GB2312" w:eastAsia="仿宋_GB2312"/>
          <w:sz w:val="32"/>
          <w:szCs w:val="32"/>
          <w:lang w:eastAsia="zh-CN"/>
        </w:rPr>
        <w:t xml:space="preserve">  </w:t>
      </w:r>
      <w:r>
        <w:rPr>
          <w:rFonts w:hint="eastAsia" w:ascii="仿宋_GB2312" w:eastAsia="仿宋_GB2312"/>
          <w:sz w:val="32"/>
          <w:szCs w:val="32"/>
          <w:lang w:eastAsia="zh-CN"/>
        </w:rPr>
        <w:t>受邀方医疗机构应当建立远程医疗专家库，定期对远程医疗专家进行考评和动态调整。参与远程医疗服务的医务人员应当具有应急处理能力。</w:t>
      </w:r>
    </w:p>
    <w:p>
      <w:pPr>
        <w:pStyle w:val="10"/>
        <w:tabs>
          <w:tab w:val="left" w:pos="709"/>
        </w:tabs>
        <w:adjustRightInd w:val="0"/>
        <w:snapToGrid w:val="0"/>
        <w:spacing w:line="540" w:lineRule="exact"/>
        <w:jc w:val="both"/>
        <w:rPr>
          <w:rFonts w:ascii="仿宋_GB2312" w:eastAsia="仿宋_GB2312"/>
          <w:sz w:val="32"/>
          <w:szCs w:val="32"/>
          <w:lang w:eastAsia="zh-CN"/>
        </w:rPr>
      </w:pPr>
      <w:r>
        <w:rPr>
          <w:rFonts w:hint="eastAsia" w:ascii="黑体" w:eastAsia="黑体" w:cs="仿宋_GB2312"/>
          <w:sz w:val="32"/>
          <w:szCs w:val="32"/>
          <w:lang w:eastAsia="zh-CN"/>
        </w:rPr>
        <w:t>第十八条</w:t>
      </w:r>
      <w:r>
        <w:rPr>
          <w:rFonts w:ascii="仿宋_GB2312" w:eastAsia="仿宋_GB2312"/>
          <w:sz w:val="32"/>
          <w:szCs w:val="32"/>
          <w:lang w:eastAsia="zh-CN"/>
        </w:rPr>
        <w:t xml:space="preserve">  </w:t>
      </w:r>
      <w:r>
        <w:rPr>
          <w:rFonts w:hint="eastAsia" w:ascii="仿宋_GB2312" w:eastAsia="仿宋_GB2312"/>
          <w:sz w:val="32"/>
          <w:szCs w:val="32"/>
          <w:lang w:eastAsia="zh-CN"/>
        </w:rPr>
        <w:t>开</w:t>
      </w:r>
      <w:r>
        <w:rPr>
          <w:rFonts w:hint="eastAsia" w:ascii="仿宋_GB2312" w:eastAsia="仿宋_GB2312" w:cs="宋体"/>
          <w:sz w:val="32"/>
          <w:szCs w:val="32"/>
          <w:lang w:eastAsia="zh-CN"/>
        </w:rPr>
        <w:t>展远程医疗</w:t>
      </w:r>
      <w:r>
        <w:rPr>
          <w:rFonts w:hint="eastAsia" w:ascii="仿宋_GB2312" w:eastAsia="仿宋_GB2312"/>
          <w:sz w:val="32"/>
          <w:szCs w:val="32"/>
          <w:lang w:eastAsia="zh-CN"/>
        </w:rPr>
        <w:t>服务的医疗机构应当对提供远程医疗服务的医务人员进行远程医疗操作技能培训。医务人员应当使用医疗机构建立的远程医疗系统、服务信息平台和设备，在具备相应条件的场所依法从事远程医疗服务活动。</w:t>
      </w:r>
    </w:p>
    <w:p>
      <w:pPr>
        <w:pStyle w:val="10"/>
        <w:tabs>
          <w:tab w:val="left" w:pos="709"/>
        </w:tabs>
        <w:adjustRightInd w:val="0"/>
        <w:snapToGrid w:val="0"/>
        <w:spacing w:line="540" w:lineRule="exact"/>
        <w:jc w:val="both"/>
        <w:rPr>
          <w:rFonts w:ascii="仿宋_GB2312" w:eastAsia="仿宋_GB2312"/>
          <w:sz w:val="32"/>
          <w:szCs w:val="32"/>
          <w:lang w:eastAsia="zh-CN"/>
        </w:rPr>
      </w:pPr>
      <w:r>
        <w:rPr>
          <w:rFonts w:hint="eastAsia" w:ascii="黑体" w:eastAsia="黑体" w:cs="仿宋_GB2312"/>
          <w:sz w:val="32"/>
          <w:szCs w:val="32"/>
          <w:lang w:eastAsia="zh-CN"/>
        </w:rPr>
        <w:t>第十九条</w:t>
      </w:r>
      <w:r>
        <w:rPr>
          <w:rFonts w:ascii="仿宋_GB2312" w:eastAsia="仿宋_GB2312"/>
          <w:sz w:val="32"/>
          <w:szCs w:val="32"/>
          <w:lang w:eastAsia="zh-CN"/>
        </w:rPr>
        <w:t xml:space="preserve">  </w:t>
      </w:r>
      <w:r>
        <w:rPr>
          <w:rFonts w:hint="eastAsia" w:ascii="仿宋_GB2312" w:eastAsia="仿宋_GB2312"/>
          <w:sz w:val="32"/>
          <w:szCs w:val="32"/>
          <w:lang w:eastAsia="zh-CN"/>
        </w:rPr>
        <w:t>开展远程医疗服务时，邀请方医疗机构应当向患者告知远程医疗服务项目内容、收费标准等事项，并征得其同意，不宜向患者说明的，须征得其监护人或者近亲属同意，并签订知情同意书。</w:t>
      </w:r>
    </w:p>
    <w:p>
      <w:pPr>
        <w:pStyle w:val="10"/>
        <w:tabs>
          <w:tab w:val="left" w:pos="709"/>
        </w:tabs>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由邀请方医疗机构实施检查、受邀方医疗机构出具相应诊断报告的远程医疗服务项目，可简化患者知情同意手续。</w:t>
      </w:r>
    </w:p>
    <w:p>
      <w:pPr>
        <w:spacing w:line="540" w:lineRule="exact"/>
        <w:rPr>
          <w:rFonts w:ascii="仿宋_GB2312" w:eastAsia="仿宋_GB2312"/>
          <w:sz w:val="32"/>
          <w:szCs w:val="32"/>
          <w:lang w:eastAsia="zh-CN"/>
        </w:rPr>
      </w:pPr>
      <w:r>
        <w:rPr>
          <w:rFonts w:hint="eastAsia" w:ascii="黑体" w:eastAsia="黑体" w:cs="仿宋_GB2312"/>
          <w:sz w:val="32"/>
          <w:szCs w:val="32"/>
          <w:lang w:eastAsia="zh-CN"/>
        </w:rPr>
        <w:t xml:space="preserve">第二十条  </w:t>
      </w:r>
      <w:r>
        <w:rPr>
          <w:rFonts w:hint="eastAsia" w:ascii="仿宋_GB2312" w:eastAsia="仿宋_GB2312"/>
          <w:sz w:val="32"/>
          <w:szCs w:val="32"/>
          <w:lang w:eastAsia="zh-CN"/>
        </w:rPr>
        <w:t>应急状况下开展的远程医疗服务，在保证医疗安全和质量的前提下，应简化远程医疗的流程和程序。</w:t>
      </w:r>
    </w:p>
    <w:p>
      <w:pPr>
        <w:pStyle w:val="10"/>
        <w:tabs>
          <w:tab w:val="left" w:pos="709"/>
        </w:tabs>
        <w:adjustRightInd w:val="0"/>
        <w:snapToGrid w:val="0"/>
        <w:spacing w:line="540" w:lineRule="exact"/>
        <w:jc w:val="both"/>
        <w:rPr>
          <w:rFonts w:ascii="仿宋_GB2312" w:eastAsia="仿宋_GB2312"/>
          <w:sz w:val="32"/>
          <w:szCs w:val="32"/>
          <w:lang w:eastAsia="zh-CN"/>
        </w:rPr>
      </w:pPr>
      <w:r>
        <w:rPr>
          <w:rFonts w:hint="eastAsia" w:ascii="黑体" w:eastAsia="黑体" w:cs="仿宋_GB2312"/>
          <w:sz w:val="32"/>
          <w:szCs w:val="32"/>
          <w:lang w:eastAsia="zh-CN"/>
        </w:rPr>
        <w:t>第二十一条</w:t>
      </w:r>
      <w:r>
        <w:rPr>
          <w:rFonts w:ascii="仿宋_GB2312" w:eastAsia="仿宋_GB2312" w:cs="宋体"/>
          <w:sz w:val="32"/>
          <w:szCs w:val="32"/>
          <w:lang w:eastAsia="zh-CN"/>
        </w:rPr>
        <w:t xml:space="preserve">  </w:t>
      </w:r>
      <w:r>
        <w:rPr>
          <w:rFonts w:hint="eastAsia" w:ascii="仿宋_GB2312" w:eastAsia="仿宋_GB2312"/>
          <w:sz w:val="32"/>
          <w:szCs w:val="32"/>
          <w:lang w:eastAsia="zh-CN"/>
        </w:rPr>
        <w:t>开展远程医疗服务的医疗机构，对具有下列情形之一的，在患方知情同意的情况下及时实施远程会诊：</w:t>
      </w:r>
    </w:p>
    <w:p>
      <w:pPr>
        <w:pStyle w:val="10"/>
        <w:tabs>
          <w:tab w:val="left" w:pos="709"/>
        </w:tabs>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（一）住院科室根据患者病情，认为需要进行远程会诊的；</w:t>
      </w:r>
    </w:p>
    <w:p>
      <w:pPr>
        <w:pStyle w:val="10"/>
        <w:tabs>
          <w:tab w:val="left" w:pos="709"/>
        </w:tabs>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（二）患方要求进行远程会诊的；</w:t>
      </w:r>
    </w:p>
    <w:p>
      <w:pPr>
        <w:pStyle w:val="10"/>
        <w:tabs>
          <w:tab w:val="left" w:pos="709"/>
        </w:tabs>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（三）拟上转病人可先进行远程会诊，开通转诊绿色通道；</w:t>
      </w:r>
    </w:p>
    <w:p>
      <w:pPr>
        <w:pStyle w:val="10"/>
        <w:tabs>
          <w:tab w:val="left" w:pos="709"/>
        </w:tabs>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（四）其他需要进行远程会诊的情形。</w:t>
      </w:r>
    </w:p>
    <w:p>
      <w:pPr>
        <w:pStyle w:val="10"/>
        <w:tabs>
          <w:tab w:val="left" w:pos="709"/>
        </w:tabs>
        <w:adjustRightInd w:val="0"/>
        <w:snapToGrid w:val="0"/>
        <w:spacing w:line="540" w:lineRule="exact"/>
        <w:jc w:val="both"/>
        <w:rPr>
          <w:rFonts w:ascii="仿宋_GB2312" w:eastAsia="仿宋_GB2312"/>
          <w:sz w:val="32"/>
          <w:szCs w:val="32"/>
          <w:lang w:eastAsia="zh-CN"/>
        </w:rPr>
      </w:pPr>
      <w:r>
        <w:rPr>
          <w:rFonts w:hint="eastAsia" w:ascii="黑体" w:eastAsia="黑体" w:cs="仿宋_GB2312"/>
          <w:sz w:val="32"/>
          <w:szCs w:val="32"/>
          <w:lang w:eastAsia="zh-CN"/>
        </w:rPr>
        <w:t>第二十二条</w:t>
      </w:r>
      <w:r>
        <w:rPr>
          <w:rFonts w:ascii="仿宋_GB2312" w:eastAsia="仿宋_GB2312"/>
          <w:sz w:val="32"/>
          <w:szCs w:val="32"/>
          <w:lang w:eastAsia="zh-CN"/>
        </w:rPr>
        <w:t xml:space="preserve">  </w:t>
      </w:r>
      <w:r>
        <w:rPr>
          <w:rFonts w:hint="eastAsia" w:ascii="仿宋_GB2312" w:eastAsia="仿宋_GB2312"/>
          <w:sz w:val="32"/>
          <w:szCs w:val="32"/>
          <w:lang w:eastAsia="zh-CN"/>
        </w:rPr>
        <w:t>邀请方医疗机构提交远程会诊申请前应当做好以下准备工作：</w:t>
      </w:r>
    </w:p>
    <w:p>
      <w:pPr>
        <w:pStyle w:val="10"/>
        <w:tabs>
          <w:tab w:val="left" w:pos="709"/>
        </w:tabs>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（一）签订知情同意书；</w:t>
      </w:r>
    </w:p>
    <w:p>
      <w:pPr>
        <w:pStyle w:val="10"/>
        <w:tabs>
          <w:tab w:val="left" w:pos="709"/>
        </w:tabs>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（二）准备好各项资料，如病史摘要、临床检验、检查的文字、数据及影像等资料，完成有关病历资料的数字化制作、提取等工作；</w:t>
      </w:r>
    </w:p>
    <w:p>
      <w:pPr>
        <w:pStyle w:val="10"/>
        <w:tabs>
          <w:tab w:val="left" w:pos="709"/>
        </w:tabs>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（三）填写远程会诊申请表，明确提出申请的目的与要求等。</w:t>
      </w:r>
    </w:p>
    <w:p>
      <w:pPr>
        <w:pStyle w:val="10"/>
        <w:tabs>
          <w:tab w:val="left" w:pos="709"/>
        </w:tabs>
        <w:adjustRightInd w:val="0"/>
        <w:snapToGrid w:val="0"/>
        <w:spacing w:line="540" w:lineRule="exact"/>
        <w:jc w:val="both"/>
        <w:rPr>
          <w:rFonts w:ascii="仿宋_GB2312" w:eastAsia="仿宋_GB2312"/>
          <w:sz w:val="32"/>
          <w:szCs w:val="32"/>
          <w:lang w:eastAsia="zh-CN"/>
        </w:rPr>
      </w:pPr>
      <w:r>
        <w:rPr>
          <w:rFonts w:hint="eastAsia" w:ascii="黑体" w:eastAsia="黑体" w:cs="仿宋_GB2312"/>
          <w:sz w:val="32"/>
          <w:szCs w:val="32"/>
          <w:lang w:eastAsia="zh-CN"/>
        </w:rPr>
        <w:t>第二十三条</w:t>
      </w:r>
      <w:r>
        <w:rPr>
          <w:rFonts w:ascii="仿宋_GB2312" w:eastAsia="仿宋_GB2312"/>
          <w:sz w:val="32"/>
          <w:szCs w:val="32"/>
          <w:lang w:eastAsia="zh-CN"/>
        </w:rPr>
        <w:t xml:space="preserve">  </w:t>
      </w:r>
      <w:r>
        <w:rPr>
          <w:rFonts w:hint="eastAsia" w:ascii="仿宋_GB2312" w:eastAsia="仿宋_GB2312"/>
          <w:sz w:val="32"/>
          <w:szCs w:val="32"/>
          <w:lang w:eastAsia="zh-CN"/>
        </w:rPr>
        <w:t>受邀方医疗机构接到远程会诊申请后应当做好以下工作：</w:t>
      </w:r>
    </w:p>
    <w:p>
      <w:pPr>
        <w:pStyle w:val="10"/>
        <w:tabs>
          <w:tab w:val="left" w:pos="709"/>
        </w:tabs>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（一）工作人员初步审核患者资料，对涉及诊断治疗依据的关键性资料逐项核对，以保证所提供的资料信息完整，质量可靠；</w:t>
      </w:r>
    </w:p>
    <w:p>
      <w:pPr>
        <w:pStyle w:val="10"/>
        <w:tabs>
          <w:tab w:val="left" w:pos="709"/>
        </w:tabs>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（二）根据申请需求，尽快确定应诊专家和应诊时间；</w:t>
      </w:r>
    </w:p>
    <w:p>
      <w:pPr>
        <w:pStyle w:val="10"/>
        <w:tabs>
          <w:tab w:val="left" w:pos="709"/>
        </w:tabs>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（三）按照正确诊断、合理治疗的原则，提出诊疗意见，提交有专家签名的书面会诊报告；</w:t>
      </w:r>
    </w:p>
    <w:p>
      <w:pPr>
        <w:pStyle w:val="10"/>
        <w:tabs>
          <w:tab w:val="left" w:pos="709"/>
        </w:tabs>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书面会诊报告的内容包括：受邀方专家姓名、职称、专业、单位名称、医院等级、所属行政区域、会诊结果、诊疗意见等。</w:t>
      </w:r>
    </w:p>
    <w:p>
      <w:pPr>
        <w:pStyle w:val="10"/>
        <w:tabs>
          <w:tab w:val="left" w:pos="709"/>
        </w:tabs>
        <w:adjustRightInd w:val="0"/>
        <w:snapToGrid w:val="0"/>
        <w:spacing w:line="540" w:lineRule="exact"/>
        <w:jc w:val="both"/>
        <w:rPr>
          <w:rFonts w:ascii="仿宋_GB2312" w:eastAsia="仿宋_GB2312"/>
          <w:sz w:val="32"/>
          <w:szCs w:val="32"/>
          <w:lang w:eastAsia="zh-CN"/>
        </w:rPr>
      </w:pPr>
      <w:r>
        <w:rPr>
          <w:rFonts w:hint="eastAsia" w:ascii="黑体" w:eastAsia="黑体" w:cs="仿宋_GB2312"/>
          <w:sz w:val="32"/>
          <w:szCs w:val="32"/>
          <w:lang w:eastAsia="zh-CN"/>
        </w:rPr>
        <w:t>第二十四条</w:t>
      </w:r>
      <w:r>
        <w:rPr>
          <w:rFonts w:ascii="仿宋_GB2312" w:eastAsia="仿宋_GB2312"/>
          <w:sz w:val="32"/>
          <w:szCs w:val="32"/>
          <w:lang w:eastAsia="zh-CN"/>
        </w:rPr>
        <w:t xml:space="preserve">  </w:t>
      </w:r>
      <w:r>
        <w:rPr>
          <w:rFonts w:hint="eastAsia" w:ascii="仿宋_GB2312" w:eastAsia="仿宋_GB2312"/>
          <w:sz w:val="32"/>
          <w:szCs w:val="32"/>
          <w:lang w:eastAsia="zh-CN"/>
        </w:rPr>
        <w:t>远程医疗服务病历资料的采集参照国家病历书写、电子病历管理等有关规定执行。医疗机构应当妥善保存远程医疗服务病历资料，对远程医疗产生的数据进行记录和归档，并参照国家有关医疗机构病历管理规定进行管理。</w:t>
      </w:r>
    </w:p>
    <w:p>
      <w:pPr>
        <w:pStyle w:val="10"/>
        <w:tabs>
          <w:tab w:val="left" w:pos="709"/>
        </w:tabs>
        <w:adjustRightInd w:val="0"/>
        <w:snapToGrid w:val="0"/>
        <w:spacing w:line="540" w:lineRule="exact"/>
        <w:jc w:val="both"/>
        <w:rPr>
          <w:rFonts w:ascii="仿宋_GB2312" w:eastAsia="仿宋_GB2312"/>
          <w:sz w:val="32"/>
          <w:szCs w:val="32"/>
          <w:lang w:eastAsia="zh-CN"/>
        </w:rPr>
      </w:pPr>
      <w:r>
        <w:rPr>
          <w:rFonts w:hint="eastAsia" w:ascii="仿宋_GB2312" w:eastAsia="仿宋_GB2312"/>
          <w:sz w:val="32"/>
          <w:szCs w:val="32"/>
          <w:lang w:eastAsia="zh-CN"/>
        </w:rPr>
        <w:t>邀请方和受邀方医疗机构应当按照病历书写及保管有关规定共同完成和保管病历资料，原件由邀请方和受邀方医疗机构分别归档保存。远程医疗服务相关文书可通过传真、扫描文件及电子签名的电子文件等方式发送。</w:t>
      </w:r>
    </w:p>
    <w:p>
      <w:pPr>
        <w:adjustRightInd w:val="0"/>
        <w:snapToGrid w:val="0"/>
        <w:spacing w:line="540" w:lineRule="exact"/>
        <w:jc w:val="both"/>
        <w:rPr>
          <w:rFonts w:ascii="仿宋_GB2312" w:eastAsia="仿宋_GB2312"/>
          <w:sz w:val="32"/>
          <w:szCs w:val="32"/>
          <w:lang w:eastAsia="zh-CN"/>
        </w:rPr>
      </w:pPr>
      <w:r>
        <w:rPr>
          <w:rFonts w:hint="eastAsia" w:ascii="黑体" w:eastAsia="黑体" w:cs="仿宋_GB2312"/>
          <w:sz w:val="32"/>
          <w:szCs w:val="32"/>
          <w:lang w:eastAsia="zh-CN"/>
        </w:rPr>
        <w:t>第二十五条</w:t>
      </w:r>
      <w:r>
        <w:rPr>
          <w:rFonts w:ascii="仿宋_GB2312" w:eastAsia="仿宋_GB2312"/>
          <w:sz w:val="32"/>
          <w:szCs w:val="32"/>
          <w:lang w:eastAsia="zh-CN"/>
        </w:rPr>
        <w:t xml:space="preserve">  </w:t>
      </w:r>
      <w:r>
        <w:rPr>
          <w:rFonts w:hint="eastAsia" w:ascii="仿宋_GB2312" w:eastAsia="仿宋_GB2312"/>
          <w:sz w:val="32"/>
          <w:szCs w:val="32"/>
          <w:lang w:eastAsia="zh-CN"/>
        </w:rPr>
        <w:t>开展远程医疗服务的医疗机构应当对远程医疗各环节执行情况加强管理，加强远程医疗服务效果评价，持续改进远程医疗服务质量。</w:t>
      </w:r>
    </w:p>
    <w:p>
      <w:pPr>
        <w:pStyle w:val="4"/>
        <w:adjustRightInd w:val="0"/>
        <w:snapToGrid w:val="0"/>
        <w:spacing w:before="0" w:beforeAutospacing="0" w:after="0" w:afterAutospacing="0" w:line="540" w:lineRule="exact"/>
        <w:jc w:val="both"/>
        <w:rPr>
          <w:rFonts w:ascii="仿宋_GB2312" w:eastAsia="仿宋_GB2312" w:cs="Times New Roman"/>
          <w:sz w:val="32"/>
          <w:szCs w:val="32"/>
          <w:lang w:eastAsia="zh-CN"/>
        </w:rPr>
      </w:pPr>
      <w:r>
        <w:rPr>
          <w:rFonts w:hint="eastAsia" w:ascii="黑体" w:eastAsia="黑体" w:cs="仿宋_GB2312"/>
          <w:sz w:val="32"/>
          <w:szCs w:val="32"/>
          <w:lang w:eastAsia="zh-CN"/>
        </w:rPr>
        <w:t>第二十六条</w:t>
      </w:r>
      <w:r>
        <w:rPr>
          <w:rFonts w:ascii="仿宋_GB2312" w:eastAsia="仿宋_GB2312"/>
          <w:sz w:val="32"/>
          <w:szCs w:val="32"/>
          <w:lang w:eastAsia="zh-CN"/>
        </w:rPr>
        <w:t xml:space="preserve">  </w:t>
      </w:r>
      <w:r>
        <w:rPr>
          <w:rFonts w:hint="eastAsia" w:ascii="仿宋_GB2312" w:eastAsia="仿宋_GB2312" w:cs="Times New Roman"/>
          <w:sz w:val="32"/>
          <w:szCs w:val="32"/>
          <w:lang w:eastAsia="zh-CN"/>
        </w:rPr>
        <w:t>在多个医疗机构之间同时开展多方远程医疗服务的，按照本办法相应条款执行。</w:t>
      </w:r>
    </w:p>
    <w:p>
      <w:pPr>
        <w:pStyle w:val="4"/>
        <w:adjustRightInd w:val="0"/>
        <w:snapToGrid w:val="0"/>
        <w:spacing w:before="0" w:beforeAutospacing="0" w:after="0" w:afterAutospacing="0" w:line="540" w:lineRule="exact"/>
        <w:jc w:val="both"/>
        <w:rPr>
          <w:rFonts w:ascii="仿宋_GB2312" w:eastAsia="仿宋_GB2312"/>
          <w:sz w:val="32"/>
          <w:szCs w:val="32"/>
          <w:lang w:eastAsia="zh-CN"/>
        </w:rPr>
      </w:pPr>
      <w:r>
        <w:rPr>
          <w:rFonts w:hint="eastAsia" w:ascii="黑体" w:eastAsia="黑体" w:cs="仿宋_GB2312"/>
          <w:sz w:val="32"/>
          <w:szCs w:val="32"/>
          <w:lang w:eastAsia="zh-CN"/>
        </w:rPr>
        <w:t>第二十七条</w:t>
      </w:r>
      <w:r>
        <w:rPr>
          <w:rFonts w:ascii="仿宋_GB2312" w:eastAsia="仿宋_GB2312"/>
          <w:sz w:val="32"/>
          <w:szCs w:val="32"/>
          <w:lang w:eastAsia="zh-CN"/>
        </w:rPr>
        <w:t xml:space="preserve">  </w:t>
      </w:r>
      <w:r>
        <w:rPr>
          <w:rFonts w:hint="eastAsia" w:ascii="仿宋_GB2312" w:eastAsia="仿宋_GB2312" w:cs="Times New Roman"/>
          <w:sz w:val="32"/>
          <w:szCs w:val="32"/>
          <w:lang w:eastAsia="zh-CN"/>
        </w:rPr>
        <w:t>各级卫生健康部门和医疗机构要充分利用远程医疗服务信息平台，开展多种形式的远程医学教育培训，不断提高医疗卫生队伍的素质。</w:t>
      </w:r>
    </w:p>
    <w:p>
      <w:pPr>
        <w:pStyle w:val="4"/>
        <w:adjustRightInd w:val="0"/>
        <w:snapToGrid w:val="0"/>
        <w:spacing w:before="0" w:beforeAutospacing="0" w:after="0" w:afterAutospacing="0" w:line="540" w:lineRule="exact"/>
        <w:jc w:val="both"/>
        <w:rPr>
          <w:rFonts w:ascii="仿宋_GB2312" w:eastAsia="仿宋_GB2312" w:cs="Times New Roman"/>
          <w:sz w:val="32"/>
          <w:szCs w:val="32"/>
          <w:lang w:eastAsia="zh-CN"/>
        </w:rPr>
      </w:pPr>
      <w:r>
        <w:rPr>
          <w:rFonts w:hint="eastAsia" w:ascii="黑体" w:eastAsia="黑体" w:cs="仿宋_GB2312"/>
          <w:sz w:val="32"/>
          <w:szCs w:val="32"/>
          <w:lang w:eastAsia="zh-CN"/>
        </w:rPr>
        <w:t>第二十八条</w:t>
      </w:r>
      <w:r>
        <w:rPr>
          <w:rFonts w:ascii="仿宋_GB2312" w:eastAsia="仿宋_GB2312"/>
          <w:sz w:val="32"/>
          <w:szCs w:val="32"/>
          <w:lang w:eastAsia="zh-CN"/>
        </w:rPr>
        <w:t xml:space="preserve">  </w:t>
      </w:r>
      <w:r>
        <w:rPr>
          <w:rFonts w:hint="eastAsia" w:ascii="仿宋_GB2312" w:eastAsia="仿宋_GB2312"/>
          <w:sz w:val="32"/>
          <w:szCs w:val="32"/>
          <w:lang w:eastAsia="zh-CN"/>
        </w:rPr>
        <w:t>医疗机构对</w:t>
      </w:r>
      <w:r>
        <w:rPr>
          <w:rFonts w:hint="eastAsia" w:ascii="仿宋_GB2312" w:eastAsia="仿宋_GB2312" w:cs="Times New Roman"/>
          <w:sz w:val="32"/>
          <w:szCs w:val="32"/>
          <w:lang w:eastAsia="zh-CN"/>
        </w:rPr>
        <w:t>远程医疗服务费用实行单独统计、监测和管理，由邀请方收取远程医疗服务项目费用，具体可由受邀方和邀请方以及第三方合作通过协议明确各方权利、义务和法律责任以及收益分配，落实财务管理各项制度。远程医疗服务项目价格按医保有关规定执行。</w:t>
      </w:r>
    </w:p>
    <w:p>
      <w:pPr>
        <w:adjustRightInd w:val="0"/>
        <w:snapToGrid w:val="0"/>
        <w:spacing w:line="540" w:lineRule="exact"/>
        <w:jc w:val="both"/>
        <w:rPr>
          <w:rFonts w:ascii="仿宋_GB2312" w:eastAsia="仿宋_GB2312"/>
          <w:sz w:val="32"/>
          <w:szCs w:val="32"/>
          <w:lang w:eastAsia="zh-CN"/>
        </w:rPr>
      </w:pPr>
      <w:r>
        <w:rPr>
          <w:rFonts w:hint="eastAsia" w:ascii="黑体" w:eastAsia="黑体" w:cs="仿宋_GB2312"/>
          <w:sz w:val="32"/>
          <w:szCs w:val="32"/>
          <w:lang w:eastAsia="zh-CN"/>
        </w:rPr>
        <w:t>第二十九条</w:t>
      </w:r>
      <w:r>
        <w:rPr>
          <w:rFonts w:ascii="仿宋_GB2312" w:eastAsia="仿宋_GB2312" w:cs="宋体"/>
          <w:sz w:val="32"/>
          <w:szCs w:val="32"/>
          <w:lang w:eastAsia="zh-CN"/>
        </w:rPr>
        <w:t xml:space="preserve">  </w:t>
      </w:r>
      <w:r>
        <w:rPr>
          <w:rFonts w:hint="eastAsia" w:ascii="仿宋_GB2312" w:eastAsia="仿宋_GB2312"/>
          <w:sz w:val="32"/>
          <w:szCs w:val="32"/>
          <w:lang w:eastAsia="zh-CN"/>
        </w:rPr>
        <w:t>医疗机构和医务人员在开展远程医疗服务过程中，有违反《执业医师法》《医疗机构管理条例》《护士条例》和《</w:t>
      </w:r>
      <w:r>
        <w:rPr>
          <w:rFonts w:hint="eastAsia" w:ascii="仿宋_GB2312" w:eastAsia="仿宋_GB2312" w:cs="宋体"/>
          <w:bCs/>
          <w:sz w:val="32"/>
          <w:szCs w:val="32"/>
          <w:lang w:eastAsia="zh-CN"/>
        </w:rPr>
        <w:t>医疗质量管理办法</w:t>
      </w:r>
      <w:r>
        <w:rPr>
          <w:rFonts w:hint="eastAsia" w:ascii="仿宋_GB2312" w:eastAsia="仿宋_GB2312"/>
          <w:sz w:val="32"/>
          <w:szCs w:val="32"/>
          <w:lang w:eastAsia="zh-CN"/>
        </w:rPr>
        <w:t>》等有关规定的，由县级以上卫生健康行政部门依法予以处理。</w:t>
      </w:r>
    </w:p>
    <w:p>
      <w:pPr>
        <w:adjustRightInd w:val="0"/>
        <w:snapToGrid w:val="0"/>
        <w:spacing w:line="540" w:lineRule="exact"/>
        <w:jc w:val="both"/>
        <w:rPr>
          <w:rFonts w:ascii="仿宋_GB2312" w:eastAsia="仿宋_GB2312"/>
          <w:color w:val="FF0000"/>
          <w:sz w:val="32"/>
          <w:szCs w:val="32"/>
          <w:lang w:eastAsia="zh-CN"/>
        </w:rPr>
      </w:pPr>
      <w:r>
        <w:rPr>
          <w:rFonts w:hint="eastAsia" w:ascii="黑体" w:eastAsia="黑体" w:cs="仿宋_GB2312"/>
          <w:sz w:val="32"/>
          <w:szCs w:val="32"/>
          <w:lang w:eastAsia="zh-CN"/>
        </w:rPr>
        <w:t>第三十条</w:t>
      </w:r>
      <w:r>
        <w:rPr>
          <w:rFonts w:ascii="仿宋_GB2312" w:eastAsia="仿宋_GB2312"/>
          <w:sz w:val="32"/>
          <w:szCs w:val="32"/>
          <w:lang w:eastAsia="zh-CN"/>
        </w:rPr>
        <w:t xml:space="preserve">  </w:t>
      </w:r>
      <w:r>
        <w:rPr>
          <w:rFonts w:hint="eastAsia" w:ascii="仿宋_GB2312" w:eastAsia="仿宋_GB2312" w:cs="仿宋_GB2312"/>
          <w:sz w:val="32"/>
          <w:szCs w:val="32"/>
          <w:lang w:eastAsia="zh-CN"/>
        </w:rPr>
        <w:t>远程医疗服务发生医疗争议的，患者方向邀请方所在地卫生健康行政部门提出申请，远程会诊由邀请方承担相应法律责任，远程诊断由邀请方和受邀方共同承担法律责任，</w:t>
      </w:r>
      <w:r>
        <w:rPr>
          <w:rFonts w:hint="eastAsia" w:ascii="仿宋_GB2312" w:eastAsia="仿宋_GB2312"/>
          <w:sz w:val="32"/>
          <w:szCs w:val="32"/>
          <w:lang w:eastAsia="zh-CN"/>
        </w:rPr>
        <w:t>其余方式按照有关法律、法规和各方达成的相关协议进行处理，依法承担相应的责任。</w:t>
      </w:r>
    </w:p>
    <w:p>
      <w:pPr>
        <w:adjustRightInd w:val="0"/>
        <w:snapToGrid w:val="0"/>
        <w:spacing w:line="540" w:lineRule="exact"/>
        <w:jc w:val="both"/>
        <w:rPr>
          <w:rFonts w:ascii="仿宋_GB2312" w:eastAsia="仿宋_GB2312" w:cs="宋体"/>
          <w:sz w:val="32"/>
          <w:szCs w:val="32"/>
          <w:lang w:eastAsia="zh-CN"/>
        </w:rPr>
      </w:pPr>
    </w:p>
    <w:p>
      <w:pPr>
        <w:pStyle w:val="8"/>
        <w:adjustRightInd w:val="0"/>
        <w:snapToGrid w:val="0"/>
        <w:spacing w:line="540" w:lineRule="exact"/>
        <w:ind w:left="0" w:firstLine="0" w:firstLineChars="0"/>
        <w:contextualSpacing/>
        <w:jc w:val="center"/>
        <w:rPr>
          <w:rFonts w:ascii="黑体" w:eastAsia="黑体"/>
          <w:sz w:val="32"/>
          <w:szCs w:val="32"/>
          <w:lang w:eastAsia="zh-CN"/>
        </w:rPr>
      </w:pPr>
      <w:r>
        <w:rPr>
          <w:rFonts w:hint="eastAsia" w:ascii="黑体" w:eastAsia="黑体"/>
          <w:sz w:val="32"/>
          <w:szCs w:val="32"/>
          <w:lang w:eastAsia="zh-CN"/>
        </w:rPr>
        <w:t>第四章</w:t>
      </w:r>
      <w:r>
        <w:rPr>
          <w:rFonts w:ascii="黑体" w:eastAsia="黑体"/>
          <w:sz w:val="32"/>
          <w:szCs w:val="32"/>
          <w:lang w:eastAsia="zh-CN"/>
        </w:rPr>
        <w:t xml:space="preserve">  </w:t>
      </w:r>
      <w:r>
        <w:rPr>
          <w:rFonts w:hint="eastAsia" w:ascii="黑体" w:eastAsia="黑体"/>
          <w:sz w:val="32"/>
          <w:szCs w:val="32"/>
          <w:lang w:eastAsia="zh-CN"/>
        </w:rPr>
        <w:t>附</w:t>
      </w:r>
      <w:r>
        <w:rPr>
          <w:rFonts w:ascii="黑体" w:eastAsia="黑体"/>
          <w:sz w:val="32"/>
          <w:szCs w:val="32"/>
          <w:lang w:eastAsia="zh-CN"/>
        </w:rPr>
        <w:t xml:space="preserve">  </w:t>
      </w:r>
      <w:r>
        <w:rPr>
          <w:rFonts w:hint="eastAsia" w:ascii="黑体" w:eastAsia="黑体"/>
          <w:sz w:val="32"/>
          <w:szCs w:val="32"/>
          <w:lang w:eastAsia="zh-CN"/>
        </w:rPr>
        <w:t>则</w:t>
      </w:r>
    </w:p>
    <w:p>
      <w:pPr>
        <w:pStyle w:val="4"/>
        <w:adjustRightInd w:val="0"/>
        <w:snapToGrid w:val="0"/>
        <w:spacing w:before="0" w:beforeAutospacing="0" w:after="0" w:afterAutospacing="0" w:line="540" w:lineRule="exact"/>
        <w:jc w:val="both"/>
        <w:rPr>
          <w:rFonts w:ascii="仿宋_GB2312" w:eastAsia="仿宋_GB2312"/>
          <w:sz w:val="32"/>
          <w:szCs w:val="32"/>
          <w:lang w:eastAsia="zh-CN"/>
        </w:rPr>
      </w:pPr>
      <w:r>
        <w:rPr>
          <w:rFonts w:hint="eastAsia" w:ascii="黑体" w:eastAsia="黑体" w:cs="仿宋_GB2312"/>
          <w:sz w:val="32"/>
          <w:szCs w:val="32"/>
          <w:lang w:eastAsia="zh-CN"/>
        </w:rPr>
        <w:t>第三十一条</w:t>
      </w:r>
      <w:r>
        <w:rPr>
          <w:rFonts w:ascii="仿宋_GB2312" w:eastAsia="仿宋_GB2312"/>
          <w:sz w:val="32"/>
          <w:szCs w:val="32"/>
          <w:lang w:eastAsia="zh-CN"/>
        </w:rPr>
        <w:t xml:space="preserve">  </w:t>
      </w:r>
      <w:r>
        <w:rPr>
          <w:rFonts w:hint="eastAsia" w:ascii="仿宋_GB2312" w:eastAsia="仿宋_GB2312" w:cs="Times New Roman"/>
          <w:sz w:val="32"/>
          <w:szCs w:val="32"/>
          <w:lang w:eastAsia="zh-CN"/>
        </w:rPr>
        <w:t>自治区内医疗机构与区外（含国外）医疗机构之间开展远程医疗服务的，参照本办法执行。</w:t>
      </w:r>
    </w:p>
    <w:p>
      <w:pPr>
        <w:spacing w:line="540" w:lineRule="exact"/>
        <w:jc w:val="both"/>
        <w:rPr>
          <w:rFonts w:hint="eastAsia" w:ascii="仿宋_GB2312" w:eastAsia="仿宋_GB2312"/>
          <w:sz w:val="32"/>
          <w:szCs w:val="32"/>
          <w:lang w:eastAsia="zh-CN"/>
        </w:rPr>
      </w:pPr>
      <w:r>
        <w:rPr>
          <w:rFonts w:hint="eastAsia" w:ascii="黑体" w:eastAsia="黑体" w:cs="仿宋_GB2312"/>
          <w:sz w:val="32"/>
          <w:szCs w:val="32"/>
          <w:lang w:eastAsia="zh-CN"/>
        </w:rPr>
        <w:t>第三十二条</w:t>
      </w:r>
      <w:r>
        <w:rPr>
          <w:rFonts w:ascii="仿宋_GB2312" w:eastAsia="仿宋_GB2312"/>
          <w:sz w:val="32"/>
          <w:szCs w:val="32"/>
          <w:lang w:eastAsia="zh-CN"/>
        </w:rPr>
        <w:t xml:space="preserve">  </w:t>
      </w:r>
      <w:r>
        <w:rPr>
          <w:rFonts w:hint="eastAsia" w:ascii="仿宋_GB2312" w:eastAsia="仿宋_GB2312"/>
          <w:sz w:val="32"/>
          <w:szCs w:val="32"/>
          <w:lang w:eastAsia="zh-CN"/>
        </w:rPr>
        <w:t>本办法由广西壮族自治区卫生健康委员会</w:t>
      </w:r>
      <w:r>
        <w:rPr>
          <w:rFonts w:ascii="仿宋_GB2312" w:eastAsia="仿宋_GB2312"/>
          <w:sz w:val="32"/>
          <w:szCs w:val="32"/>
          <w:lang w:eastAsia="zh-CN"/>
        </w:rPr>
        <w:t>、广西壮族自治区中医药管理局</w:t>
      </w:r>
      <w:r>
        <w:rPr>
          <w:rFonts w:hint="eastAsia" w:ascii="仿宋_GB2312" w:eastAsia="仿宋_GB2312"/>
          <w:sz w:val="32"/>
          <w:szCs w:val="32"/>
          <w:lang w:eastAsia="zh-CN"/>
        </w:rPr>
        <w:t>负责解释。</w:t>
      </w:r>
    </w:p>
    <w:p>
      <w:pPr>
        <w:spacing w:line="540" w:lineRule="exact"/>
        <w:rPr>
          <w:rFonts w:ascii="仿宋_GB2312" w:eastAsia="仿宋_GB2312"/>
          <w:sz w:val="32"/>
          <w:szCs w:val="32"/>
          <w:lang w:eastAsia="zh-CN"/>
        </w:rPr>
      </w:pPr>
      <w:r>
        <w:rPr>
          <w:rFonts w:hint="eastAsia" w:ascii="黑体" w:eastAsia="黑体" w:cs="仿宋_GB2312"/>
          <w:sz w:val="32"/>
          <w:szCs w:val="32"/>
          <w:lang w:eastAsia="zh-CN"/>
        </w:rPr>
        <w:t xml:space="preserve">第三十三条 </w:t>
      </w:r>
      <w:r>
        <w:rPr>
          <w:rFonts w:hint="eastAsia" w:ascii="仿宋_GB2312" w:eastAsia="仿宋_GB2312"/>
          <w:sz w:val="32"/>
          <w:szCs w:val="32"/>
          <w:lang w:eastAsia="zh-CN"/>
        </w:rPr>
        <w:t xml:space="preserve"> 本办法有效期限3年，自2019年12月</w:t>
      </w:r>
      <w:r>
        <w:rPr>
          <w:rFonts w:ascii="仿宋_GB2312" w:eastAsia="仿宋_GB2312"/>
          <w:sz w:val="32"/>
          <w:szCs w:val="32"/>
          <w:lang w:eastAsia="zh-CN"/>
        </w:rPr>
        <w:t>25</w:t>
      </w:r>
      <w:r>
        <w:rPr>
          <w:rFonts w:hint="eastAsia" w:ascii="仿宋_GB2312" w:eastAsia="仿宋_GB2312"/>
          <w:sz w:val="32"/>
          <w:szCs w:val="32"/>
          <w:lang w:eastAsia="zh-CN"/>
        </w:rPr>
        <w:t>日起施行。</w:t>
      </w:r>
    </w:p>
    <w:p>
      <w:pPr>
        <w:spacing w:line="540" w:lineRule="exact"/>
        <w:sectPr>
          <w:pgSz w:w="11907" w:h="16840"/>
          <w:pgMar w:top="1701" w:right="1418" w:bottom="1418" w:left="1701" w:header="851" w:footer="992" w:gutter="0"/>
          <w:cols w:space="720" w:num="1"/>
          <w:docGrid w:type="lines" w:linePitch="312" w:charSpace="0"/>
        </w:sectPr>
      </w:pPr>
    </w:p>
    <w:p>
      <w:pPr>
        <w:spacing w:line="580" w:lineRule="exact"/>
        <w:ind w:left="0" w:firstLine="0" w:firstLineChars="0"/>
        <w:rPr>
          <w:rFonts w:ascii="黑体" w:eastAsia="黑体"/>
          <w:sz w:val="32"/>
          <w:szCs w:val="32"/>
        </w:rPr>
      </w:pPr>
    </w:p>
    <w:p>
      <w:pPr>
        <w:spacing w:line="580" w:lineRule="exact"/>
        <w:ind w:left="0" w:firstLine="0" w:firstLineChars="0"/>
        <w:rPr>
          <w:rFonts w:ascii="黑体" w:eastAsia="黑体"/>
          <w:sz w:val="32"/>
          <w:szCs w:val="32"/>
        </w:rPr>
      </w:pPr>
    </w:p>
    <w:p>
      <w:pPr>
        <w:spacing w:line="580" w:lineRule="exact"/>
        <w:ind w:left="0" w:firstLine="0" w:firstLineChars="0"/>
        <w:rPr>
          <w:rFonts w:ascii="黑体" w:eastAsia="黑体"/>
          <w:sz w:val="32"/>
          <w:szCs w:val="32"/>
        </w:rPr>
      </w:pPr>
    </w:p>
    <w:p>
      <w:pPr>
        <w:spacing w:line="580" w:lineRule="exact"/>
        <w:ind w:left="0" w:firstLine="0" w:firstLineChars="0"/>
        <w:rPr>
          <w:rFonts w:ascii="黑体" w:eastAsia="黑体"/>
          <w:sz w:val="32"/>
          <w:szCs w:val="32"/>
        </w:rPr>
      </w:pPr>
    </w:p>
    <w:p>
      <w:pPr>
        <w:spacing w:line="580" w:lineRule="exact"/>
        <w:ind w:left="0" w:firstLine="0" w:firstLineChars="0"/>
        <w:rPr>
          <w:rFonts w:ascii="黑体" w:eastAsia="黑体"/>
          <w:sz w:val="32"/>
          <w:szCs w:val="32"/>
        </w:rPr>
      </w:pPr>
    </w:p>
    <w:p>
      <w:pPr>
        <w:spacing w:line="580" w:lineRule="exact"/>
        <w:ind w:left="0" w:firstLine="0" w:firstLineChars="0"/>
        <w:rPr>
          <w:rFonts w:ascii="黑体" w:eastAsia="黑体"/>
          <w:sz w:val="32"/>
          <w:szCs w:val="32"/>
        </w:rPr>
      </w:pPr>
    </w:p>
    <w:p>
      <w:pPr>
        <w:spacing w:line="580" w:lineRule="exact"/>
        <w:ind w:left="0" w:firstLine="0" w:firstLineChars="0"/>
        <w:rPr>
          <w:rFonts w:ascii="黑体" w:eastAsia="黑体"/>
          <w:sz w:val="32"/>
          <w:szCs w:val="32"/>
        </w:rPr>
      </w:pPr>
    </w:p>
    <w:p>
      <w:pPr>
        <w:spacing w:line="580" w:lineRule="exact"/>
        <w:ind w:left="0" w:firstLine="0" w:firstLineChars="0"/>
        <w:rPr>
          <w:rFonts w:ascii="黑体" w:eastAsia="黑体"/>
          <w:sz w:val="32"/>
          <w:szCs w:val="32"/>
        </w:rPr>
      </w:pPr>
    </w:p>
    <w:p>
      <w:pPr>
        <w:spacing w:line="580" w:lineRule="exact"/>
        <w:ind w:left="0" w:firstLine="0" w:firstLineChars="0"/>
        <w:rPr>
          <w:rFonts w:ascii="黑体" w:eastAsia="黑体"/>
          <w:sz w:val="32"/>
          <w:szCs w:val="32"/>
        </w:rPr>
      </w:pPr>
    </w:p>
    <w:p>
      <w:pPr>
        <w:spacing w:line="580" w:lineRule="exact"/>
        <w:ind w:left="0" w:firstLine="0" w:firstLineChars="0"/>
        <w:rPr>
          <w:rFonts w:ascii="黑体" w:eastAsia="黑体"/>
          <w:sz w:val="32"/>
          <w:szCs w:val="32"/>
        </w:rPr>
      </w:pPr>
    </w:p>
    <w:p>
      <w:pPr>
        <w:spacing w:line="580" w:lineRule="exact"/>
        <w:ind w:left="0" w:firstLine="0" w:firstLineChars="0"/>
        <w:rPr>
          <w:rFonts w:ascii="黑体" w:eastAsia="黑体"/>
          <w:sz w:val="32"/>
          <w:szCs w:val="32"/>
        </w:rPr>
      </w:pPr>
    </w:p>
    <w:p>
      <w:pPr>
        <w:spacing w:line="580" w:lineRule="exact"/>
        <w:ind w:left="0" w:firstLine="0" w:firstLineChars="0"/>
        <w:rPr>
          <w:rFonts w:ascii="黑体" w:eastAsia="黑体"/>
          <w:sz w:val="32"/>
          <w:szCs w:val="32"/>
        </w:rPr>
      </w:pPr>
    </w:p>
    <w:p>
      <w:pPr>
        <w:spacing w:line="580" w:lineRule="exact"/>
        <w:ind w:left="0" w:firstLine="0" w:firstLineChars="0"/>
        <w:rPr>
          <w:rFonts w:ascii="黑体" w:eastAsia="黑体"/>
          <w:sz w:val="32"/>
          <w:szCs w:val="32"/>
        </w:rPr>
      </w:pPr>
    </w:p>
    <w:p>
      <w:pPr>
        <w:spacing w:line="580" w:lineRule="exact"/>
        <w:ind w:left="0" w:firstLine="0" w:firstLineChars="0"/>
        <w:rPr>
          <w:rFonts w:ascii="黑体" w:eastAsia="黑体"/>
          <w:sz w:val="32"/>
          <w:szCs w:val="32"/>
        </w:rPr>
      </w:pPr>
    </w:p>
    <w:p>
      <w:pPr>
        <w:spacing w:line="580" w:lineRule="exact"/>
        <w:ind w:left="0" w:firstLine="0" w:firstLineChars="0"/>
        <w:rPr>
          <w:rFonts w:ascii="黑体" w:eastAsia="黑体"/>
          <w:sz w:val="32"/>
          <w:szCs w:val="32"/>
        </w:rPr>
      </w:pPr>
    </w:p>
    <w:p>
      <w:pPr>
        <w:spacing w:line="580" w:lineRule="exact"/>
        <w:ind w:left="0" w:firstLine="0" w:firstLineChars="0"/>
        <w:rPr>
          <w:rFonts w:ascii="黑体" w:eastAsia="黑体"/>
          <w:sz w:val="32"/>
          <w:szCs w:val="32"/>
        </w:rPr>
      </w:pPr>
    </w:p>
    <w:p>
      <w:pPr>
        <w:spacing w:line="580" w:lineRule="exact"/>
        <w:ind w:left="0" w:firstLine="0" w:firstLineChars="0"/>
        <w:rPr>
          <w:rFonts w:ascii="黑体" w:eastAsia="黑体"/>
          <w:sz w:val="32"/>
          <w:szCs w:val="32"/>
        </w:rPr>
      </w:pPr>
    </w:p>
    <w:p>
      <w:pPr>
        <w:spacing w:line="580" w:lineRule="exact"/>
        <w:ind w:left="0" w:firstLine="0" w:firstLineChars="0"/>
        <w:rPr>
          <w:rFonts w:ascii="黑体" w:eastAsia="黑体"/>
          <w:sz w:val="32"/>
          <w:szCs w:val="32"/>
        </w:rPr>
      </w:pPr>
    </w:p>
    <w:p>
      <w:pPr>
        <w:spacing w:line="580" w:lineRule="exact"/>
        <w:ind w:left="0" w:firstLine="0" w:firstLineChars="0"/>
        <w:rPr>
          <w:rFonts w:ascii="黑体" w:eastAsia="黑体"/>
          <w:sz w:val="32"/>
          <w:szCs w:val="32"/>
        </w:rPr>
      </w:pPr>
    </w:p>
    <w:p>
      <w:pPr>
        <w:spacing w:line="580" w:lineRule="exact"/>
        <w:ind w:left="0" w:firstLine="0" w:firstLineChars="0"/>
        <w:rPr>
          <w:rFonts w:ascii="黑体" w:eastAsia="黑体"/>
          <w:sz w:val="32"/>
          <w:szCs w:val="32"/>
        </w:rPr>
      </w:pPr>
    </w:p>
    <w:p>
      <w:pPr>
        <w:spacing w:line="580" w:lineRule="exact"/>
        <w:ind w:left="0" w:firstLine="0" w:firstLineChars="0"/>
        <w:rPr>
          <w:rFonts w:ascii="黑体" w:eastAsia="黑体"/>
          <w:sz w:val="32"/>
          <w:szCs w:val="32"/>
        </w:rPr>
      </w:pPr>
    </w:p>
    <w:p>
      <w:pPr>
        <w:spacing w:line="580" w:lineRule="exact"/>
        <w:ind w:left="0" w:firstLine="0" w:firstLineChars="0"/>
        <w:rPr>
          <w:rFonts w:ascii="黑体" w:eastAsia="黑体" w:cs="方正小标宋简体"/>
          <w:bCs/>
          <w:color w:val="000000"/>
          <w:kern w:val="0"/>
          <w:sz w:val="32"/>
          <w:szCs w:val="32"/>
        </w:rPr>
      </w:pPr>
      <w:r>
        <w:rPr>
          <w:rFonts w:ascii="黑体" w:eastAsia="黑体" w:cs="方正小标宋简体"/>
          <w:bCs/>
          <w:color w:val="000000"/>
          <w:kern w:val="0"/>
          <w:sz w:val="32"/>
          <w:szCs w:val="32"/>
        </w:rPr>
        <w:t>信息公开形式：主动公开</w:t>
      </w:r>
    </w:p>
    <w:p>
      <w:pPr>
        <w:tabs>
          <w:tab w:val="left" w:pos="7980"/>
          <w:tab w:val="left" w:pos="8190"/>
        </w:tabs>
        <w:adjustRightInd w:val="0"/>
        <w:snapToGrid w:val="0"/>
        <w:spacing w:line="560" w:lineRule="exact"/>
        <w:ind w:left="0" w:firstLine="0" w:firstLineChars="0"/>
        <w:rPr>
          <w:rFonts w:ascii="仿宋_GB2312" w:eastAsia="仿宋_GB2312"/>
          <w:sz w:val="28"/>
          <w:szCs w:val="28"/>
        </w:rPr>
      </w:pPr>
      <w:r>
        <mc:AlternateContent>
          <mc:Choice Requires="wps">
            <w:drawing>
              <wp:anchor distT="0" distB="0" distL="113665" distR="113665" simplePos="0" relativeHeight="251659264" behindDoc="0" locked="0" layoutInCell="1" allowOverlap="1">
                <wp:simplePos x="0" y="0"/>
                <wp:positionH relativeFrom="column">
                  <wp:posOffset>8890</wp:posOffset>
                </wp:positionH>
                <wp:positionV relativeFrom="paragraph">
                  <wp:posOffset>394970</wp:posOffset>
                </wp:positionV>
                <wp:extent cx="5534025" cy="0"/>
                <wp:effectExtent l="0" t="0" r="0" b="0"/>
                <wp:wrapNone/>
                <wp:docPr id="3" name="直接连接符 2"/>
                <wp:cNvGraphicFramePr/>
                <a:graphic xmlns:a="http://schemas.openxmlformats.org/drawingml/2006/main">
                  <a:graphicData uri="http://schemas.microsoft.com/office/word/2010/wordprocessingShape">
                    <wps:wsp>
                      <wps:cNvCnPr/>
                      <wps:spPr>
                        <a:xfrm>
                          <a:off x="0" y="0"/>
                          <a:ext cx="5534025" cy="0"/>
                        </a:xfrm>
                        <a:prstGeom prst="line">
                          <a:avLst/>
                        </a:prstGeom>
                        <a:noFill/>
                        <a:ln w="444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0.7pt;margin-top:31.1pt;height:0pt;width:435.75pt;z-index:251659264;mso-width-relative:page;mso-height-relative:page;" filled="f" stroked="t" coordsize="21600,21600" o:gfxdata="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mJPAXUAAAABwEA&#10;AA8AAAAAAAAAAQAgAAAAIgAAAGRycy9kb3ducmV2LnhtbFBLAQIUABQAAAAIAIdO4kDYicpFHgIA&#10;ACYEAAAOAAAAAAAAAAEAIAAAACMBAABkcnMvZTJvRG9jLnhtbFBLBQYAAAAABgAGAFkBAACzBQAA&#10;AAA=&#10;">
                <v:fill on="f" focussize="0,0"/>
                <v:stroke weight="0.35pt" color="#000000" joinstyle="round"/>
                <v:imagedata o:title=""/>
                <o:lock v:ext="edit" aspectratio="f"/>
              </v:line>
            </w:pict>
          </mc:Fallback>
        </mc:AlternateContent>
      </w:r>
      <w:r>
        <mc:AlternateContent>
          <mc:Choice Requires="wps">
            <w:drawing>
              <wp:anchor distT="0" distB="0" distL="113665" distR="113665" simplePos="0" relativeHeight="251659264" behindDoc="0" locked="0" layoutInCell="1" allowOverlap="1">
                <wp:simplePos x="0" y="0"/>
                <wp:positionH relativeFrom="column">
                  <wp:posOffset>0</wp:posOffset>
                </wp:positionH>
                <wp:positionV relativeFrom="paragraph">
                  <wp:posOffset>42545</wp:posOffset>
                </wp:positionV>
                <wp:extent cx="5534025" cy="0"/>
                <wp:effectExtent l="0" t="0" r="0" b="0"/>
                <wp:wrapNone/>
                <wp:docPr id="5" name="直接连接符 1"/>
                <wp:cNvGraphicFramePr/>
                <a:graphic xmlns:a="http://schemas.openxmlformats.org/drawingml/2006/main">
                  <a:graphicData uri="http://schemas.microsoft.com/office/word/2010/wordprocessingShape">
                    <wps:wsp>
                      <wps:cNvCnPr/>
                      <wps:spPr>
                        <a:xfrm>
                          <a:off x="0" y="0"/>
                          <a:ext cx="5534025" cy="0"/>
                        </a:xfrm>
                        <a:prstGeom prst="line">
                          <a:avLst/>
                        </a:prstGeom>
                        <a:noFill/>
                        <a:ln w="444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3.35pt;height:0pt;width:435.75pt;z-index:251659264;mso-width-relative:page;mso-height-relative:page;" filled="f" stroked="t" coordsize="21600,21600" o:gfxdata="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Ze1uNQAAAAEAQAA&#10;DwAAAAAAAAABACAAAAAiAAAAZHJzL2Rvd25yZXYueG1sUEsBAhQAFAAAAAgAh07iQFzm7fcdAgAA&#10;JgQAAA4AAAAAAAAAAQAgAAAAIwEAAGRycy9lMm9Eb2MueG1sUEsFBgAAAAAGAAYAWQEAALIFAAAA&#10;AA==&#10;">
                <v:fill on="f" focussize="0,0"/>
                <v:stroke weight="0.35pt" color="#000000" joinstyle="round"/>
                <v:imagedata o:title=""/>
                <o:lock v:ext="edit" aspectratio="f"/>
              </v:line>
            </w:pict>
          </mc:Fallback>
        </mc:AlternateContent>
      </w:r>
      <w:r>
        <w:rPr>
          <w:rFonts w:ascii="黑体" w:eastAsia="黑体"/>
          <w:sz w:val="32"/>
          <w:szCs w:val="32"/>
        </w:rPr>
        <w:t xml:space="preserve">  </w:t>
      </w:r>
      <w:r>
        <w:rPr>
          <w:rFonts w:hint="eastAsia" w:ascii="仿宋_GB2312" w:eastAsia="仿宋_GB2312"/>
          <w:sz w:val="28"/>
          <w:szCs w:val="28"/>
        </w:rPr>
        <w:t>广西壮族自治区卫生健康委办公室</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201</w:t>
      </w:r>
      <w:r>
        <w:rPr>
          <w:rFonts w:hint="eastAsia" w:ascii="仿宋_GB2312" w:eastAsia="仿宋_GB2312"/>
          <w:sz w:val="28"/>
          <w:szCs w:val="28"/>
        </w:rPr>
        <w:t>9年</w:t>
      </w:r>
      <w:r>
        <w:rPr>
          <w:rFonts w:ascii="仿宋_GB2312" w:eastAsia="仿宋_GB2312"/>
          <w:sz w:val="28"/>
          <w:szCs w:val="28"/>
        </w:rPr>
        <w:t>12</w:t>
      </w:r>
      <w:r>
        <w:rPr>
          <w:rFonts w:hint="eastAsia" w:ascii="仿宋_GB2312" w:eastAsia="仿宋_GB2312"/>
          <w:sz w:val="28"/>
          <w:szCs w:val="28"/>
        </w:rPr>
        <w:t>月1</w:t>
      </w:r>
      <w:r>
        <w:rPr>
          <w:rFonts w:ascii="仿宋_GB2312" w:eastAsia="仿宋_GB2312"/>
          <w:sz w:val="28"/>
          <w:szCs w:val="28"/>
        </w:rPr>
        <w:t>8</w:t>
      </w:r>
      <w:r>
        <w:rPr>
          <w:rFonts w:hint="eastAsia" w:ascii="仿宋_GB2312" w:eastAsia="仿宋_GB2312"/>
          <w:sz w:val="28"/>
          <w:szCs w:val="28"/>
        </w:rPr>
        <w:t>日印发</w:t>
      </w:r>
      <w:r>
        <w:rPr>
          <w:rFonts w:ascii="仿宋_GB2312" w:eastAsia="仿宋_GB2312"/>
          <w:sz w:val="28"/>
          <w:szCs w:val="28"/>
        </w:rPr>
        <w:t xml:space="preserve">  </w:t>
      </w:r>
    </w:p>
    <w:sectPr>
      <w:pgSz w:w="11907" w:h="16840"/>
      <w:pgMar w:top="1701" w:right="1418" w:bottom="1418" w:left="1701"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0"/>
      </w:pPr>
      <w:r>
        <w:separator/>
      </w:r>
    </w:p>
  </w:endnote>
  <w:endnote w:type="continuationSeparator" w:id="1">
    <w:p>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pBdr>
        <w:top w:val="none" w:color="auto" w:sz="0" w:space="0"/>
        <w:left w:val="none" w:color="auto" w:sz="0" w:space="0"/>
        <w:bottom w:val="none" w:color="auto" w:sz="0" w:space="0"/>
        <w:right w:val="none" w:color="auto" w:sz="0" w:space="0"/>
      </w:pBdr>
      <w:ind w:left="0" w:firstLine="0" w:firstLineChars="0"/>
      <w:rPr>
        <w:rFonts w:hint="eastAsia" w:ascii="宋体"/>
        <w:sz w:val="28"/>
        <w:szCs w:val="28"/>
      </w:rPr>
    </w:pPr>
    <w:r>
      <w:rPr>
        <w:rStyle w:val="7"/>
        <w:rFonts w:hint="eastAsia" w:ascii="宋体"/>
        <w:sz w:val="28"/>
        <w:szCs w:val="28"/>
      </w:rPr>
      <w:t>—</w:t>
    </w:r>
    <w:r>
      <w:rPr>
        <w:rStyle w:val="7"/>
        <w:rFonts w:hint="eastAsia" w:ascii="宋体"/>
        <w:sz w:val="28"/>
        <w:szCs w:val="28"/>
      </w:rPr>
      <w:fldChar w:fldCharType="begin"/>
    </w:r>
    <w:r>
      <w:rPr>
        <w:rStyle w:val="7"/>
        <w:rFonts w:hint="eastAsia" w:ascii="宋体"/>
        <w:sz w:val="28"/>
        <w:szCs w:val="28"/>
      </w:rPr>
      <w:instrText xml:space="preserve">Page</w:instrText>
    </w:r>
    <w:r>
      <w:rPr>
        <w:rStyle w:val="7"/>
        <w:rFonts w:hint="eastAsia" w:ascii="宋体"/>
        <w:sz w:val="28"/>
        <w:szCs w:val="28"/>
      </w:rPr>
      <w:fldChar w:fldCharType="separate"/>
    </w:r>
    <w:r>
      <w:rPr>
        <w:rStyle w:val="7"/>
        <w:rFonts w:hint="eastAsia" w:ascii="宋体"/>
        <w:sz w:val="28"/>
        <w:szCs w:val="28"/>
      </w:rPr>
      <w:t>1</w:t>
    </w:r>
    <w:r>
      <w:rPr>
        <w:rStyle w:val="7"/>
        <w:rFonts w:hint="eastAsia" w:ascii="宋体"/>
        <w:sz w:val="28"/>
        <w:szCs w:val="28"/>
      </w:rPr>
      <w:fldChar w:fldCharType="end"/>
    </w:r>
    <w:r>
      <w:rPr>
        <w:rStyle w:val="7"/>
        <w:rFonts w:hint="eastAsia" w:ascii="宋体"/>
        <w:sz w:val="28"/>
        <w:szCs w:val="28"/>
      </w:rPr>
      <w:t>—</w:t>
    </w:r>
  </w:p>
  <w:p>
    <w:pPr>
      <w:pStyle w:val="2"/>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pBdr>
        <w:top w:val="none" w:color="auto" w:sz="0" w:space="0"/>
        <w:left w:val="none" w:color="auto" w:sz="0" w:space="0"/>
        <w:bottom w:val="none" w:color="auto" w:sz="0" w:space="0"/>
        <w:right w:val="none" w:color="auto" w:sz="0" w:space="0"/>
      </w:pBdr>
    </w:pPr>
    <w:r>
      <w:rPr>
        <w:rStyle w:val="7"/>
      </w:rPr>
      <w:fldChar w:fldCharType="begin"/>
    </w:r>
    <w:r>
      <w:rPr>
        <w:rStyle w:val="7"/>
      </w:rPr>
      <w:instrText xml:space="preserve">Page</w:instrText>
    </w:r>
    <w:r>
      <w:rPr>
        <w:rStyle w:val="7"/>
      </w:rPr>
      <w:fldChar w:fldCharType="separate"/>
    </w:r>
    <w:r>
      <w:rPr>
        <w:rStyle w:val="7"/>
      </w:rPr>
      <w:t>1</w:t>
    </w:r>
    <w:r>
      <w:rPr>
        <w:rStyle w:val="7"/>
      </w:rPr>
      <w:fldChar w:fldCharType="end"/>
    </w:r>
  </w:p>
  <w:p>
    <w:pPr>
      <w:pStyle w:val="2"/>
      <w:ind w:right="360" w:firstLine="36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ind w:firstLine="440"/>
      </w:pPr>
      <w:r>
        <w:separator/>
      </w:r>
    </w:p>
  </w:footnote>
  <w:footnote w:type="continuationSeparator" w:id="1">
    <w:p>
      <w:pPr>
        <w:spacing w:line="276" w:lineRule="auto"/>
        <w:ind w:firstLine="4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docVars>
    <w:docVar w:name="commondata" w:val="eyJoZGlkIjoiYjI0NjQ4ZjMxMmVlZWQ0NDJmZDFhOTdmMzE0NDdjMWQifQ=="/>
  </w:docVars>
  <w:rsids>
    <w:rsidRoot w:val="00000000"/>
    <w:rsid w:val="525758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ind w:firstLine="200" w:firstLineChars="200"/>
    </w:pPr>
    <w:rPr>
      <w:rFonts w:ascii="Calibri" w:hAnsi="Calibri" w:eastAsia="宋体" w:cs="Times New Roman"/>
      <w:sz w:val="22"/>
      <w:szCs w:val="22"/>
      <w:lang w:val="en-US" w:eastAsia="en-US" w:bidi="ar-SA"/>
    </w:rPr>
  </w:style>
  <w:style w:type="character" w:default="1" w:styleId="6">
    <w:name w:val="Default Paragraph Font"/>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7"/>
      </w:tabs>
      <w:snapToGrid w:val="0"/>
      <w:jc w:val="left"/>
    </w:pPr>
    <w:rPr>
      <w:sz w:val="18"/>
    </w:rPr>
  </w:style>
  <w:style w:type="paragraph" w:styleId="3">
    <w:name w:val="header"/>
    <w:basedOn w:val="1"/>
    <w:uiPriority w:val="0"/>
    <w:pPr>
      <w:pBdr>
        <w:bottom w:val="single" w:color="auto" w:sz="6" w:space="1"/>
      </w:pBdr>
      <w:tabs>
        <w:tab w:val="center" w:pos="4153"/>
        <w:tab w:val="right" w:pos="8307"/>
      </w:tabs>
      <w:snapToGrid w:val="0"/>
      <w:jc w:val="center"/>
    </w:pPr>
    <w:rPr>
      <w:sz w:val="18"/>
    </w:rPr>
  </w:style>
  <w:style w:type="paragraph" w:styleId="4">
    <w:name w:val="Normal (Web)"/>
    <w:basedOn w:val="1"/>
    <w:qFormat/>
    <w:uiPriority w:val="0"/>
    <w:pPr>
      <w:spacing w:before="100" w:beforeAutospacing="1" w:after="100" w:afterAutospacing="1"/>
    </w:pPr>
    <w:rPr>
      <w:rFonts w:ascii="宋体" w:cs="宋体"/>
      <w:sz w:val="24"/>
      <w:szCs w:val="24"/>
    </w:rPr>
  </w:style>
  <w:style w:type="character" w:styleId="7">
    <w:name w:val="page number"/>
    <w:basedOn w:val="6"/>
    <w:uiPriority w:val="0"/>
  </w:style>
  <w:style w:type="paragraph" w:customStyle="1" w:styleId="8">
    <w:name w:val="List Paragraph"/>
    <w:basedOn w:val="1"/>
    <w:uiPriority w:val="0"/>
    <w:pPr>
      <w:ind w:left="720"/>
      <w:contextualSpacing/>
    </w:pPr>
  </w:style>
  <w:style w:type="paragraph" w:customStyle="1" w:styleId="9">
    <w:name w:val="Default"/>
    <w:uiPriority w:val="0"/>
    <w:pPr>
      <w:widowControl w:val="0"/>
      <w:autoSpaceDE w:val="0"/>
      <w:autoSpaceDN w:val="0"/>
      <w:adjustRightInd w:val="0"/>
    </w:pPr>
    <w:rPr>
      <w:rFonts w:ascii="仿宋_GB2312" w:hAnsi="仿宋_GB2312" w:eastAsia="Times New Roman" w:cs="仿宋_GB2312"/>
      <w:color w:val="000000"/>
      <w:sz w:val="24"/>
      <w:szCs w:val="24"/>
      <w:lang w:val="en-US" w:eastAsia="zh-CN" w:bidi="ar-SA"/>
    </w:rPr>
  </w:style>
  <w:style w:type="paragraph" w:customStyle="1" w:styleId="10">
    <w:name w:val="列出段落1"/>
    <w:basedOn w:val="1"/>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3793</Words>
  <Characters>3816</Characters>
  <Lines>212</Lines>
  <Paragraphs>78</Paragraphs>
  <TotalTime>29</TotalTime>
  <ScaleCrop>false</ScaleCrop>
  <LinksUpToDate>false</LinksUpToDate>
  <CharactersWithSpaces>3968</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2019-12-18T02:43:00Z</dcterms:created>
  <dc:creator>lenovo</dc:creator>
  <cp:lastModifiedBy>worker</cp:lastModifiedBy>
  <cp:lastPrinted>2019-12-18T03:28:00Z</cp:lastPrinted>
  <dcterms:modified xsi:type="dcterms:W3CDTF">2022-11-23T02:59:38Z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44562D2F75304BB68688417EE581CE2E</vt:lpwstr>
  </property>
</Properties>
</file>