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CE" w:rsidRPr="004C7DCE" w:rsidRDefault="004C7DCE" w:rsidP="004C7DCE">
      <w:pPr>
        <w:widowControl/>
        <w:pBdr>
          <w:bottom w:val="dashed" w:sz="6" w:space="0" w:color="CCCCCC"/>
        </w:pBdr>
        <w:shd w:val="clear" w:color="auto" w:fill="FFFFFF"/>
        <w:jc w:val="center"/>
        <w:rPr>
          <w:rFonts w:ascii="微软雅黑" w:eastAsia="微软雅黑" w:hAnsi="微软雅黑" w:cs="Arial"/>
          <w:b/>
          <w:bCs/>
          <w:color w:val="1166A1"/>
          <w:kern w:val="0"/>
          <w:sz w:val="36"/>
          <w:szCs w:val="36"/>
        </w:rPr>
      </w:pPr>
      <w:r w:rsidRPr="004C7DCE">
        <w:rPr>
          <w:rFonts w:ascii="微软雅黑" w:eastAsia="微软雅黑" w:hAnsi="微软雅黑" w:cs="Arial" w:hint="eastAsia"/>
          <w:b/>
          <w:bCs/>
          <w:color w:val="1166A1"/>
          <w:kern w:val="0"/>
          <w:sz w:val="36"/>
          <w:szCs w:val="36"/>
        </w:rPr>
        <w:t xml:space="preserve">《中华人民共和国中医药法》全文 </w:t>
      </w:r>
    </w:p>
    <w:p w:rsidR="004C7DCE" w:rsidRPr="004C7DCE" w:rsidRDefault="004C7DCE" w:rsidP="004C7DCE">
      <w:pPr>
        <w:widowControl/>
        <w:pBdr>
          <w:bottom w:val="dashed" w:sz="6" w:space="0" w:color="CCCCCC"/>
        </w:pBdr>
        <w:shd w:val="clear" w:color="auto" w:fill="FFFFFF"/>
        <w:jc w:val="center"/>
        <w:rPr>
          <w:rFonts w:ascii="微软雅黑" w:eastAsia="微软雅黑" w:hAnsi="微软雅黑" w:cs="Arial" w:hint="eastAsia"/>
          <w:color w:val="333333"/>
          <w:kern w:val="0"/>
          <w:szCs w:val="21"/>
        </w:rPr>
      </w:pPr>
      <w:r w:rsidRPr="004C7DCE">
        <w:rPr>
          <w:rFonts w:ascii="微软雅黑" w:eastAsia="微软雅黑" w:hAnsi="微软雅黑" w:cs="Arial" w:hint="eastAsia"/>
          <w:color w:val="333333"/>
          <w:kern w:val="0"/>
          <w:szCs w:val="21"/>
        </w:rPr>
        <w:t xml:space="preserve">发布时间： 2016-12-26 </w:t>
      </w:r>
    </w:p>
    <w:p w:rsidR="004C7DCE" w:rsidRPr="004C7DCE" w:rsidRDefault="004C7DCE" w:rsidP="004C7DCE">
      <w:pPr>
        <w:widowControl/>
        <w:shd w:val="clear" w:color="auto" w:fill="FFFFFF"/>
        <w:spacing w:line="420" w:lineRule="atLeast"/>
        <w:ind w:left="720"/>
        <w:jc w:val="center"/>
        <w:outlineLvl w:val="0"/>
        <w:rPr>
          <w:rFonts w:ascii="Helvetica" w:eastAsia="仿宋_GB2312" w:hAnsi="Helvetica" w:cs="Helvetica" w:hint="eastAsia"/>
          <w:color w:val="3E3E3E"/>
          <w:kern w:val="36"/>
          <w:sz w:val="24"/>
          <w:szCs w:val="24"/>
        </w:rPr>
      </w:pPr>
      <w:r w:rsidRPr="004C7DCE">
        <w:rPr>
          <w:rFonts w:ascii="Helvetica" w:eastAsia="仿宋_GB2312" w:hAnsi="Helvetica" w:cs="Helvetica"/>
          <w:b/>
          <w:bCs/>
          <w:color w:val="007AAA"/>
          <w:kern w:val="36"/>
          <w:sz w:val="30"/>
        </w:rPr>
        <w:t>中华人民共和国主席令</w:t>
      </w:r>
    </w:p>
    <w:p w:rsidR="004C7DCE" w:rsidRPr="004C7DCE" w:rsidRDefault="004C7DCE" w:rsidP="004C7DCE">
      <w:pPr>
        <w:widowControl/>
        <w:shd w:val="clear" w:color="auto" w:fill="FFFFFF"/>
        <w:spacing w:line="420" w:lineRule="atLeast"/>
        <w:ind w:left="720"/>
        <w:jc w:val="center"/>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420" w:lineRule="atLeast"/>
        <w:ind w:left="720"/>
        <w:jc w:val="center"/>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第五十九号</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420" w:lineRule="atLeast"/>
        <w:ind w:left="720" w:firstLine="48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《中华人民共和国中医药法》已由中华人民共和国第十二届全国人民代表大会常务委员会第二十五次会议于</w:t>
      </w:r>
      <w:r w:rsidRPr="004C7DCE">
        <w:rPr>
          <w:rFonts w:ascii="Helvetica" w:eastAsia="仿宋_GB2312" w:hAnsi="Helvetica" w:cs="Helvetica"/>
          <w:color w:val="3E3E3E"/>
          <w:kern w:val="0"/>
          <w:sz w:val="24"/>
          <w:szCs w:val="24"/>
        </w:rPr>
        <w:t>2016</w:t>
      </w:r>
      <w:r w:rsidRPr="004C7DCE">
        <w:rPr>
          <w:rFonts w:ascii="Helvetica" w:eastAsia="仿宋_GB2312" w:hAnsi="Helvetica" w:cs="Helvetica"/>
          <w:color w:val="3E3E3E"/>
          <w:kern w:val="0"/>
          <w:sz w:val="24"/>
          <w:szCs w:val="24"/>
        </w:rPr>
        <w:t>年</w:t>
      </w:r>
      <w:r w:rsidRPr="004C7DCE">
        <w:rPr>
          <w:rFonts w:ascii="Helvetica" w:eastAsia="仿宋_GB2312" w:hAnsi="Helvetica" w:cs="Helvetica"/>
          <w:color w:val="3E3E3E"/>
          <w:kern w:val="0"/>
          <w:sz w:val="24"/>
          <w:szCs w:val="24"/>
        </w:rPr>
        <w:t>12</w:t>
      </w:r>
      <w:r w:rsidRPr="004C7DCE">
        <w:rPr>
          <w:rFonts w:ascii="Helvetica" w:eastAsia="仿宋_GB2312" w:hAnsi="Helvetica" w:cs="Helvetica"/>
          <w:color w:val="3E3E3E"/>
          <w:kern w:val="0"/>
          <w:sz w:val="24"/>
          <w:szCs w:val="24"/>
        </w:rPr>
        <w:t>月</w:t>
      </w:r>
      <w:r w:rsidRPr="004C7DCE">
        <w:rPr>
          <w:rFonts w:ascii="Helvetica" w:eastAsia="仿宋_GB2312" w:hAnsi="Helvetica" w:cs="Helvetica"/>
          <w:color w:val="3E3E3E"/>
          <w:kern w:val="0"/>
          <w:sz w:val="24"/>
          <w:szCs w:val="24"/>
        </w:rPr>
        <w:t>25</w:t>
      </w:r>
      <w:r w:rsidRPr="004C7DCE">
        <w:rPr>
          <w:rFonts w:ascii="Helvetica" w:eastAsia="仿宋_GB2312" w:hAnsi="Helvetica" w:cs="Helvetica"/>
          <w:color w:val="3E3E3E"/>
          <w:kern w:val="0"/>
          <w:sz w:val="24"/>
          <w:szCs w:val="24"/>
        </w:rPr>
        <w:t>日通过，现予公布，自</w:t>
      </w:r>
      <w:r w:rsidRPr="004C7DCE">
        <w:rPr>
          <w:rFonts w:ascii="Helvetica" w:eastAsia="仿宋_GB2312" w:hAnsi="Helvetica" w:cs="Helvetica"/>
          <w:color w:val="3E3E3E"/>
          <w:kern w:val="0"/>
          <w:sz w:val="24"/>
          <w:szCs w:val="24"/>
        </w:rPr>
        <w:t>2017</w:t>
      </w:r>
      <w:r w:rsidRPr="004C7DCE">
        <w:rPr>
          <w:rFonts w:ascii="Helvetica" w:eastAsia="仿宋_GB2312" w:hAnsi="Helvetica" w:cs="Helvetica"/>
          <w:color w:val="3E3E3E"/>
          <w:kern w:val="0"/>
          <w:sz w:val="24"/>
          <w:szCs w:val="24"/>
        </w:rPr>
        <w:t>年</w:t>
      </w:r>
      <w:r w:rsidRPr="004C7DCE">
        <w:rPr>
          <w:rFonts w:ascii="Helvetica" w:eastAsia="仿宋_GB2312" w:hAnsi="Helvetica" w:cs="Helvetica"/>
          <w:color w:val="3E3E3E"/>
          <w:kern w:val="0"/>
          <w:sz w:val="24"/>
          <w:szCs w:val="24"/>
        </w:rPr>
        <w:t>7</w:t>
      </w:r>
      <w:r w:rsidRPr="004C7DCE">
        <w:rPr>
          <w:rFonts w:ascii="Helvetica" w:eastAsia="仿宋_GB2312" w:hAnsi="Helvetica" w:cs="Helvetica"/>
          <w:color w:val="3E3E3E"/>
          <w:kern w:val="0"/>
          <w:sz w:val="24"/>
          <w:szCs w:val="24"/>
        </w:rPr>
        <w:t>月</w:t>
      </w:r>
      <w:r w:rsidRPr="004C7DCE">
        <w:rPr>
          <w:rFonts w:ascii="Helvetica" w:eastAsia="仿宋_GB2312" w:hAnsi="Helvetica" w:cs="Helvetica"/>
          <w:color w:val="3E3E3E"/>
          <w:kern w:val="0"/>
          <w:sz w:val="24"/>
          <w:szCs w:val="24"/>
        </w:rPr>
        <w:t>1</w:t>
      </w:r>
      <w:r w:rsidRPr="004C7DCE">
        <w:rPr>
          <w:rFonts w:ascii="Helvetica" w:eastAsia="仿宋_GB2312" w:hAnsi="Helvetica" w:cs="Helvetica"/>
          <w:color w:val="3E3E3E"/>
          <w:kern w:val="0"/>
          <w:sz w:val="24"/>
          <w:szCs w:val="24"/>
        </w:rPr>
        <w:t>日起施行。</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420" w:lineRule="atLeast"/>
        <w:ind w:left="720"/>
        <w:jc w:val="righ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中华人民共和国主席</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习近平</w:t>
      </w:r>
    </w:p>
    <w:p w:rsidR="004C7DCE" w:rsidRPr="004C7DCE" w:rsidRDefault="004C7DCE" w:rsidP="004C7DCE">
      <w:pPr>
        <w:widowControl/>
        <w:shd w:val="clear" w:color="auto" w:fill="FFFFFF"/>
        <w:spacing w:line="420" w:lineRule="atLeast"/>
        <w:ind w:left="720"/>
        <w:jc w:val="righ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2016</w:t>
      </w:r>
      <w:r w:rsidRPr="004C7DCE">
        <w:rPr>
          <w:rFonts w:ascii="Helvetica" w:eastAsia="仿宋_GB2312" w:hAnsi="Helvetica" w:cs="Helvetica"/>
          <w:color w:val="3E3E3E"/>
          <w:kern w:val="0"/>
          <w:sz w:val="24"/>
          <w:szCs w:val="24"/>
        </w:rPr>
        <w:t>年</w:t>
      </w:r>
      <w:r w:rsidRPr="004C7DCE">
        <w:rPr>
          <w:rFonts w:ascii="Helvetica" w:eastAsia="仿宋_GB2312" w:hAnsi="Helvetica" w:cs="Helvetica"/>
          <w:color w:val="3E3E3E"/>
          <w:kern w:val="0"/>
          <w:sz w:val="24"/>
          <w:szCs w:val="24"/>
        </w:rPr>
        <w:t>12</w:t>
      </w:r>
      <w:r w:rsidRPr="004C7DCE">
        <w:rPr>
          <w:rFonts w:ascii="Helvetica" w:eastAsia="仿宋_GB2312" w:hAnsi="Helvetica" w:cs="Helvetica"/>
          <w:color w:val="3E3E3E"/>
          <w:kern w:val="0"/>
          <w:sz w:val="24"/>
          <w:szCs w:val="24"/>
        </w:rPr>
        <w:t>月</w:t>
      </w:r>
      <w:r w:rsidRPr="004C7DCE">
        <w:rPr>
          <w:rFonts w:ascii="Helvetica" w:eastAsia="仿宋_GB2312" w:hAnsi="Helvetica" w:cs="Helvetica"/>
          <w:color w:val="3E3E3E"/>
          <w:kern w:val="0"/>
          <w:sz w:val="24"/>
          <w:szCs w:val="24"/>
        </w:rPr>
        <w:t>25</w:t>
      </w:r>
      <w:r w:rsidRPr="004C7DCE">
        <w:rPr>
          <w:rFonts w:ascii="Helvetica" w:eastAsia="仿宋_GB2312" w:hAnsi="Helvetica" w:cs="Helvetica"/>
          <w:color w:val="3E3E3E"/>
          <w:kern w:val="0"/>
          <w:sz w:val="24"/>
          <w:szCs w:val="24"/>
        </w:rPr>
        <w:t>日</w:t>
      </w:r>
    </w:p>
    <w:p w:rsidR="004C7DCE" w:rsidRPr="004C7DCE" w:rsidRDefault="004C7DCE" w:rsidP="004C7DCE">
      <w:pPr>
        <w:widowControl/>
        <w:shd w:val="clear" w:color="auto" w:fill="FFFFFF"/>
        <w:spacing w:line="375" w:lineRule="atLeast"/>
        <w:ind w:left="720"/>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375" w:lineRule="atLeast"/>
        <w:ind w:left="720"/>
        <w:jc w:val="left"/>
        <w:rPr>
          <w:rFonts w:ascii="Helvetica" w:eastAsia="仿宋_GB2312" w:hAnsi="Helvetica" w:cs="Helvetica"/>
          <w:color w:val="3E3E3E"/>
          <w:kern w:val="0"/>
          <w:sz w:val="24"/>
          <w:szCs w:val="24"/>
        </w:rPr>
      </w:pPr>
      <w:r w:rsidRPr="004C7DCE">
        <w:rPr>
          <w:rFonts w:ascii="宋体" w:eastAsia="宋体" w:hAnsi="宋体" w:cs="Helvetica" w:hint="eastAsia"/>
          <w:color w:val="3E3E3E"/>
          <w:kern w:val="0"/>
          <w:szCs w:val="21"/>
        </w:rPr>
        <w:br/>
      </w:r>
    </w:p>
    <w:p w:rsidR="004C7DCE" w:rsidRPr="004C7DCE" w:rsidRDefault="004C7DCE" w:rsidP="004C7DCE">
      <w:pPr>
        <w:widowControl/>
        <w:shd w:val="clear" w:color="auto" w:fill="FFFFFF"/>
        <w:spacing w:line="420" w:lineRule="atLeast"/>
        <w:ind w:left="720"/>
        <w:jc w:val="center"/>
        <w:outlineLvl w:val="0"/>
        <w:rPr>
          <w:rFonts w:ascii="Helvetica" w:eastAsia="仿宋_GB2312" w:hAnsi="Helvetica" w:cs="Helvetica"/>
          <w:color w:val="3E3E3E"/>
          <w:kern w:val="36"/>
          <w:sz w:val="24"/>
          <w:szCs w:val="24"/>
        </w:rPr>
      </w:pPr>
      <w:r w:rsidRPr="004C7DCE">
        <w:rPr>
          <w:rFonts w:ascii="Helvetica" w:eastAsia="仿宋_GB2312" w:hAnsi="Helvetica" w:cs="Helvetica"/>
          <w:b/>
          <w:bCs/>
          <w:color w:val="007AAA"/>
          <w:kern w:val="36"/>
          <w:sz w:val="30"/>
        </w:rPr>
        <w:t>中华人民共和国中医药法</w:t>
      </w:r>
    </w:p>
    <w:p w:rsidR="004C7DCE" w:rsidRPr="004C7DCE" w:rsidRDefault="004C7DCE" w:rsidP="004C7DCE">
      <w:pPr>
        <w:widowControl/>
        <w:shd w:val="clear" w:color="auto" w:fill="FFFFFF"/>
        <w:spacing w:line="375" w:lineRule="atLeast"/>
        <w:ind w:left="720"/>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420" w:lineRule="atLeast"/>
        <w:ind w:left="720"/>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目</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录</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第一章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总</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则</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第二章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中医药服务</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第三章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中药保护与发展</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第四章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中医药人才培养</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第五章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中医药科学研究</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第六章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中医药传承与文化传播</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第七章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保障措施</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第八章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法律责任</w:t>
      </w:r>
    </w:p>
    <w:p w:rsidR="004C7DCE" w:rsidRPr="004C7DCE" w:rsidRDefault="004C7DCE" w:rsidP="004C7DCE">
      <w:pPr>
        <w:widowControl/>
        <w:shd w:val="clear" w:color="auto" w:fill="FFFFFF"/>
        <w:spacing w:line="420" w:lineRule="atLeast"/>
        <w:ind w:left="720"/>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第九章</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附</w:t>
      </w:r>
      <w:r w:rsidRPr="004C7DCE">
        <w:rPr>
          <w:rFonts w:ascii="Helvetica" w:eastAsia="仿宋_GB2312" w:hAnsi="Helvetica" w:cs="Helvetica"/>
          <w:color w:val="3E3E3E"/>
          <w:kern w:val="0"/>
          <w:sz w:val="24"/>
          <w:szCs w:val="24"/>
        </w:rPr>
        <w:t xml:space="preserve">    </w:t>
      </w:r>
      <w:r w:rsidRPr="004C7DCE">
        <w:rPr>
          <w:rFonts w:ascii="Helvetica" w:eastAsia="仿宋_GB2312" w:hAnsi="Helvetica" w:cs="Helvetica"/>
          <w:color w:val="3E3E3E"/>
          <w:kern w:val="0"/>
          <w:sz w:val="24"/>
          <w:szCs w:val="24"/>
        </w:rPr>
        <w:t>则</w:t>
      </w:r>
    </w:p>
    <w:p w:rsidR="004C7DCE" w:rsidRPr="004C7DCE" w:rsidRDefault="004C7DCE" w:rsidP="004C7DCE">
      <w:pPr>
        <w:widowControl/>
        <w:shd w:val="clear" w:color="auto" w:fill="FFFFFF"/>
        <w:spacing w:line="375" w:lineRule="atLeast"/>
        <w:ind w:left="720"/>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第一章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总</w:t>
      </w:r>
      <w:r w:rsidRPr="004C7DCE">
        <w:rPr>
          <w:rFonts w:ascii="Helvetica" w:eastAsia="仿宋_GB2312" w:hAnsi="Helvetica" w:cs="Helvetica"/>
          <w:b/>
          <w:bCs/>
          <w:color w:val="007AAA"/>
          <w:kern w:val="0"/>
          <w:sz w:val="27"/>
        </w:rPr>
        <w:t>   </w:t>
      </w:r>
      <w:r w:rsidRPr="004C7DCE">
        <w:rPr>
          <w:rFonts w:ascii="Helvetica" w:eastAsia="仿宋_GB2312" w:hAnsi="Helvetica" w:cs="Helvetica"/>
          <w:b/>
          <w:bCs/>
          <w:color w:val="007AAA"/>
          <w:kern w:val="0"/>
          <w:sz w:val="27"/>
        </w:rPr>
        <w:t>则</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第一条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为了继承和弘扬中医药，保障和促进中医药事业发展，保护人民健康，制定本法。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本法所称中医药，是包括汉族和少数民族医药在内的我国各民族医药的统称，是反映中华民族对生命、健康和疾病的认识，具有悠久历史传统和独特理论及技术方法的医药学体系。</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中医药事业是我国医药卫生事业的重要组成部分。国家大力发展中医药事业，实行中西医并重的方针，建立符合中医药特点的管理制度，充分发挥中医药在我国医药卫生事业中的作用。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发展中医药事业应当遵循中医药发展规律，坚持继承和创新相结合，保持和发挥中医药特色和优势，运用现代科学技术，促进中医药理论和实践的发展。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国家鼓励中医西医相互学习，相互补充，协调发展，发挥各自优势，促进中西医结合。</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县级以上人民政府应当将中医药事业纳入国民经济和社会发展规划，建立健全中医药管理体系，统筹推进中医药事业发展。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国务院中医药主管部门负责全国的中医药管理工作。国务院其他有关部门在各自职责范围内负责与中医药管理有关的工作。</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县级以上地方人民政府中医药主管部门负责本行政区域的中医药管理工作。县级以上地方人民政府其他有关部门在各自职责范围内负责与中医药管理有关的工作。</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第六条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国家加强中医药服务体系建设，合理规划和配置中医药服务资源，为公民获得中医药服务提供保障。</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国家支持社会力量投资中医药事业，支持组织和个人捐赠、资助中医药事业。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第七条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国家发展中医药教育，建立适应中医药事业发展需要、规模适宜、结构合理、形式多样的中医药教育体系，培养中医药人才。</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lastRenderedPageBreak/>
        <w:t>第八条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国家支持中医药科学研究和技术开发，鼓励中医药科学技术创新，推广应用中医药科学技术成果，保护中医药知识产权，提高中医药科学技术水平。</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第九条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国家支持中医药对外交流与合作，促进中医药的国际传播和应用。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对在中医药事业中做出突出贡献的组织和个人，按照国家有关规定给予表彰、奖励。</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r w:rsidRPr="004C7DCE">
        <w:rPr>
          <w:rFonts w:ascii="Helvetica" w:eastAsia="仿宋_GB2312" w:hAnsi="Helvetica" w:cs="Helvetica"/>
          <w:b/>
          <w:bCs/>
          <w:color w:val="007AAA"/>
          <w:kern w:val="0"/>
          <w:sz w:val="27"/>
        </w:rPr>
        <w:t>第二章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中医药服务</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第十一条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县级以上人民政府应当将中医医疗机构建设纳入医疗机构设置规划，举办规模适宜的中医医疗机构，扶持有中医药特色和优势的医疗机构发展。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合并、撤销政府举办的中医医疗机构或者改变其中医医疗性质，应当征求上一级人民政府中医药主管部门的意见。</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第十二条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政府举办的综合医院、妇幼保健机构和有条件的专科医院、社区卫生服务中心、乡镇卫生院，应当设置中医药科室。</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县级以上人民政府应当采取措施，增强社区卫生服务站和村卫生室提供中医药服务的能力。</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第十三条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国家支持社会力量举办中医医疗机构。</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社会力量举办的中医医疗机构在准入、执业、基本医疗保险、科研教学、医务人员职称评定等方面享有与政府举办的中医医疗机构同等的权利。</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第十四条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举办中医医疗机构应当按照国家有关医疗机构管理的规定办理审批手续，并遵守医疗机构管理的有关规定。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lastRenderedPageBreak/>
        <w:t>第十五条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从事中医医疗活动的人员应当依照《中华人民共和国执业医师法》的规定，通过中医医师资格考试取得中医医师资格，并进行执业注册。中医医师资格考试的内容应当体现中医药特点。</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第十六条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社区卫生服务中心、乡镇卫生院、社区卫生服务站以及有条件的村卫生室应当合理配备中医药专业技术人员，并运用和推广适宜的中医药技术方法。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r w:rsidRPr="004C7DCE">
        <w:rPr>
          <w:rFonts w:ascii="Helvetica" w:eastAsia="仿宋_GB2312" w:hAnsi="Helvetica" w:cs="Helvetica"/>
          <w:b/>
          <w:bCs/>
          <w:color w:val="3E3E3E"/>
          <w:kern w:val="0"/>
          <w:sz w:val="24"/>
          <w:szCs w:val="24"/>
        </w:rPr>
        <w:t>第十七条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开展中医药服务，应当以中医药理论为指导，运用中医药技术方法，并符合国务院中医药主管部门制定的中医药服务基本要求。</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第十八条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县级以上人民政府应当发展中医药预防、保健服务，并按照国家有关规定将其纳入基本公共卫生服务项目统筹实施。</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县级以上人民政府应当发挥中医药在突发公共卫生事件应急工作中的作用，加强中医药应急物资、设备、设施、技术与人才资源储备。</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医疗卫生机构应当在疾病预防与控制中积极运用中医药理论和技术方法。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lastRenderedPageBreak/>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第十九条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县级以上人民政府中医药主管部门应当加强对中医药服务的监督检查，并将下列事项作为监督检查的重点：</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（一）中医医疗机构、中医医师是否超出规定的范围开展医疗活动；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（二）开展中医药服务是否符合国务院中医药主管部门制定的中医药服务基本要求；</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（三）中医医疗广告发布行为是否符合本法的规定。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中医药主管部门依法开展监督检查，有关单位和个人应当予以配合，不得拒绝或者阻挠。</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第三章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中药保护与发展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第二十一条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国家制定中药材种植养殖、采集、贮存和初加工的技术规范、标准，加强对中药材生产流通全过程的质量监督管理，保障中药材质量安全。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第二十二条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国家鼓励发展中药材规范化种植养殖，严格管理农药、肥料等农业投入品的使用，禁止在中药材种植过程中使用剧毒、高毒农药，支持中药材良种繁育，提高中药材质量。</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lastRenderedPageBreak/>
        <w:t>第二十三条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国家建立道地中药材评价体系，支持道地中药材品种选育，扶持道地中药材生产基地建设，加强道地中药材生产基地生态环境保护，鼓励采取地理标志产品保护等措施保护道地中药材。</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前款所称道地中药材，是指经过中医临床长期应用优选出来的，产在特定地域，与其他地区所产同种中药材相比，品质和疗效更好，且质量稳定，具有较高知名度的中药材。</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第二十四条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国务院药品监督管理部门应当组织并加强对中药材质量的监测，定期向社会公布监测结果。国务院有关部门应当协助做好中药材质量监测有关工作。</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采集、贮存中药材以及对中药材进行初加工，应当符合国家有关技术规范、标准和管理规定。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第二十五条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保护药用野生动植物资源，对药用野生动植物资源实行动态监测和定期普查，建立药用野生动植物资源种质基因库，鼓励发展人工种植养殖，支持依法开展珍贵、濒危药用野生动植物的保护、繁育及其相关研究。</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第二十六条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在村医疗机构执业的中医医师、具备中药材知识和识别能力的乡村医生，按照国家有关规定可以自种、自采地产中药材并在其执业活动中使用。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第二十七条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国家保护中药饮片传统炮制技术和工艺，支持应用传统工艺炮制中药饮片，鼓励运用现代科学技术开展中药饮片炮制技术研究。</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第二十八条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对市场上没有供应的中药饮片，医疗机构可以根据本医疗机构医师处方的需要，在本医疗机构内炮制、使用。医疗机构应当遵守中药饮片炮制的有关规定，对其炮制的中药饮片的质量负责，保证药品安全。</w:t>
      </w:r>
      <w:r w:rsidRPr="004C7DCE">
        <w:rPr>
          <w:rFonts w:ascii="Helvetica" w:eastAsia="仿宋_GB2312" w:hAnsi="Helvetica" w:cs="Helvetica"/>
          <w:color w:val="3E3E3E"/>
          <w:kern w:val="0"/>
          <w:sz w:val="24"/>
          <w:szCs w:val="24"/>
        </w:rPr>
        <w:lastRenderedPageBreak/>
        <w:t>医疗机构炮制中药饮片，应当向所在地设区的市级人民政府药品监督管理部门备案。</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根据临床用药需要，医疗机构可以凭本医疗机构医师的处方对中药饮片进行再加工。</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第二十九条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国家鼓励和支持中药新药的研制和生产。</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国家保护传统中药加工技术和工艺，支持传统剂型中成药的生产，鼓励运用现代科学技术研究开发传统中成药。</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生产符合国家规定条件的来源于古代经典名方的中药复方制剂，在申请药品批准文号时，可以仅提供非临床安全性研究资料。具体管理办法由国务院药品监督管理部门会同中医药主管部门制定。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前款所称古代经典名方，是指至今仍广泛应用、疗效确切、具有明显特色与优势的古代中医典籍所记载的方剂。具体目录由国务院中医药主管部门会同药品监督管理部门制定。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第三十一条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国家鼓励医疗机构根据本医疗机构临床用药需要配制和使用中药制剂，支持应用传统工艺配制中药制剂，支持以中药制剂为基础研制中药新药。</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医疗机构对其配制的中药制剂的质量负责；委托配制中药制剂的，委托方和受托方对所配制的中药制剂的质量分别承担相应责任。</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第三十二条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医疗机构配制的中药制剂品种，应当依法取得制剂批准文号。但是，仅应用传统工艺配制的中药制剂品种，向医疗机构所在地省、自治</w:t>
      </w:r>
      <w:r w:rsidRPr="004C7DCE">
        <w:rPr>
          <w:rFonts w:ascii="Helvetica" w:eastAsia="仿宋_GB2312" w:hAnsi="Helvetica" w:cs="Helvetica"/>
          <w:color w:val="3E3E3E"/>
          <w:kern w:val="0"/>
          <w:sz w:val="24"/>
          <w:szCs w:val="24"/>
        </w:rPr>
        <w:lastRenderedPageBreak/>
        <w:t>区、直辖市人民政府药品监督管理部门备案后即可配制，不需要取得制剂批准文号。</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医疗机构应当加强对备案的中药制剂品种的不良反应监测，并按照国家有关规定进行报告。药品监督管理部门应当加强对备案的中药制剂品种配制、使用的监督检查。</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第四章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中医药人才培养</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第三十三条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中医药教育应当遵循中医药人才成长规律，以中医药内容为主，体现中医药文化特色，注重中医药经典理论和中医药临床实践、现代教育方式和传统教育方式相结合。</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第三十四条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国家完善中医药学校教育体系，支持专门实施中医药教育的高等学校、中等职业学校和其他教育机构的发展。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中医药学校教育的培养目标、修业年限、教学形式、教学内容、教学评价及学术水平评价标准等，应当体现中医药学科特色，符合中医药学科发展规律。</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第三十五条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国家发展中医药师承教育，支持有丰富临床经验和技术专长的中医医师、中药专业技术人员在执业、业务活动中带徒授业，传授中医药理论和技术方法，培养中医药专业技术人员。</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第三十六条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国家加强对中医医师和城乡基层中医药专业技术人员的培养和培训。</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国家发展中西医结合教育，培养高层次的中西医结合人才。</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第三十七条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县级以上地方人民政府中医药主管部门应当组织开展中医药继续教育，加强对医务人员，特别是城乡基层医务人员中医药基本知识和技能的培训。</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lastRenderedPageBreak/>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中医药专业技术人员应当按照规定参加继续教育，所在机构应当为其接受继续教育创造条件。</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第五章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中医药科学研究</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第三十八条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国家鼓励科研机构、高等学校、医疗机构和药品生产企业等，运用现代科学技术和传统中医药研究方法，开展中医药科学研究，加强中西医结合研究，促进中医药理论和技术方法的继承和创新。</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第三十九条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国家采取措施支持对中医药古籍文献、著名中医药专家的学术思想和诊疗经验以及民间中医药技术方法的整理、研究和利用。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国家鼓励组织和个人捐献有科学研究和临床应用价值的中医药文献、秘方、验方、诊疗方法和技术。</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r w:rsidRPr="004C7DCE">
        <w:rPr>
          <w:rFonts w:ascii="Helvetica" w:eastAsia="仿宋_GB2312" w:hAnsi="Helvetica" w:cs="Helvetica"/>
          <w:b/>
          <w:bCs/>
          <w:color w:val="3E3E3E"/>
          <w:kern w:val="0"/>
          <w:sz w:val="24"/>
          <w:szCs w:val="24"/>
        </w:rPr>
        <w:t>第四十条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国家建立和完善符合中医药特点的科学技术创新体系、评价体系和管理体制，推动中医药科学技术进步与创新。</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第四十一条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国家采取措施，加强对中医药基础理论和辨证论治方法，常见病、多发病、慢性病和重大疑难疾病、重大传染病的中医药防治，以及其他对中医药理论和实践发展有重大促进作用的项目的科学研究。</w:t>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第六章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中医药传承与文化传播</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第四十二条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对具有重要学术价值的中医药理论和技术方法，省级以上人民政府中医药主管部门应当组织遴选本行政区域内的中医药学术传承项</w:t>
      </w:r>
      <w:r w:rsidRPr="004C7DCE">
        <w:rPr>
          <w:rFonts w:ascii="Helvetica" w:eastAsia="仿宋_GB2312" w:hAnsi="Helvetica" w:cs="Helvetica"/>
          <w:color w:val="3E3E3E"/>
          <w:kern w:val="0"/>
          <w:sz w:val="24"/>
          <w:szCs w:val="24"/>
        </w:rPr>
        <w:lastRenderedPageBreak/>
        <w:t>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第四十三条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国家建立中医药传统知识保护数据库、保护名录和保护制度。</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中医药传统知识持有人对其持有的中医药传统知识享有传承使用的权利，对他人获取、利用其持有的中医药传统知识享有知情同意和利益分享等权利。</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国家对经依法认定属于国家秘密的传统中药处方组成和生产工艺实行特殊保护。</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第四十四条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国家发展中医养生保健服务，支持社会力量举办规范的中医养生保健机构。中医养生保健服务规范、标准由国务院中医药主管部门制定。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第四十五条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县级以上人民政府应当加强中医药文化宣传，普及中医药知识，鼓励组织和个人创作中医药文化和科普作品。</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四十六条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开展中医药文化宣传和知识普及活动，应当遵守国家有关规定。任何组织或者个人不得对中医药作虚假、夸大宣传，不得冒用中医药名义牟取不正当利益。</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广播、电视、报刊、互联网等媒体开展中医药知识宣传，应当聘请中医药专业技术人员进行。</w:t>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第七章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保障措施</w:t>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szCs w:val="27"/>
        </w:rPr>
        <w:br/>
      </w:r>
      <w:r w:rsidRPr="004C7DCE">
        <w:rPr>
          <w:rFonts w:ascii="Helvetica" w:eastAsia="仿宋_GB2312" w:hAnsi="Helvetica" w:cs="Helvetica"/>
          <w:b/>
          <w:bCs/>
          <w:color w:val="3E3E3E"/>
          <w:kern w:val="0"/>
          <w:sz w:val="24"/>
          <w:szCs w:val="24"/>
        </w:rPr>
        <w:t>第四十七条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县级以上人民政府应当为中医药事业发展提供政策支持和条件保障，将中医药事业发展经费纳入本级财政预算。</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lastRenderedPageBreak/>
        <w:t>县级以上人民政府及其有关部门制定基本医疗保险支付政策、药物政策等医药卫生政策，应当有中医药主管部门参加，注重发挥中医药的优势，支持提供和利用中医药服务。</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第四十八条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县级以上人民政府及其有关部门应当按照法定价格管理权限，合理确定中医医疗服务的收费项目和标准，体现中医医疗服务成本和专业技术价值。</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第四十九条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国家加强中医药标准体系建设，根据中医药特点对需要统一的技术要求制定标准并及时修订。</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中医药国家标准、行业标准由国务院有关部门依据职责制定或者修订，并在其网站上公布，供公众免费查阅。</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国家推动建立中医药国际标准体系。</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第五十一条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开展法律、行政法规规定的与中医药有关的评审、评估、鉴定活动，应当成立中医药评审、评估、鉴定的专门组织，或者有中医药专家参加。</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第五十二条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国家采取措施，加大对少数民族医药传承创新、应用发展和人才培养的扶持力度，加强少数民族医疗机构和医师队伍建设，促进和规范少数民族医药事业发展。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第八章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法律责任</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r w:rsidRPr="004C7DCE">
        <w:rPr>
          <w:rFonts w:ascii="Helvetica" w:eastAsia="仿宋_GB2312" w:hAnsi="Helvetica" w:cs="Helvetica"/>
          <w:b/>
          <w:bCs/>
          <w:color w:val="3E3E3E"/>
          <w:kern w:val="0"/>
          <w:sz w:val="24"/>
          <w:szCs w:val="24"/>
        </w:rPr>
        <w:t>第五十三条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县级以上人民政府中医药主管部门及其他有关部门未履行本</w:t>
      </w:r>
      <w:r w:rsidRPr="004C7DCE">
        <w:rPr>
          <w:rFonts w:ascii="Helvetica" w:eastAsia="仿宋_GB2312" w:hAnsi="Helvetica" w:cs="Helvetica"/>
          <w:color w:val="3E3E3E"/>
          <w:kern w:val="0"/>
          <w:sz w:val="24"/>
          <w:szCs w:val="24"/>
        </w:rPr>
        <w:lastRenderedPageBreak/>
        <w:t>法规定的职责的，由本级人民政府或者上级人民政府有关部门责令改正；情节严重的，对直接负责的主管人员和其他直接责任人员，依法给予处分。</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第五十四条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违反本法规定，中医诊所超出备案范围开展医疗活动的，由所在地县级人民政府中医药主管部门责令改正，没收违法所得，并处一万元以上三万元以下罚款；情节严重的，责令停止执业活动。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第五十五条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第五十六条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医疗机构应用传统工艺配制中药制剂未依照本法规定备案，或者未按照备案材料载明的要求配制中药制剂的，按生产假药给予处罚。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第五十七条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违反本法规定，发布的中医医疗广告内容与经审查批准的内容不相符的，由原审查部门撤销该广告的审查批准文件，一年内不受理该医疗机构的广告审查申请。</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违反本法规定，发布中医医疗广告有前款规定以外违法行为的，依照《中华人民共和国广告法》的规定给予处罚。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lastRenderedPageBreak/>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第五十八条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违反本法规定，在中药材种植过程中使用剧毒、高毒农药的，依照有关法律、法规规定给予处罚；情节严重的，可以由公安机关对其直接负责的主管人员和其他直接责任人员处五日以上十五日以下拘留。</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3E3E3E"/>
          <w:kern w:val="0"/>
          <w:sz w:val="24"/>
          <w:szCs w:val="24"/>
        </w:rPr>
        <w:t>第五十九条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违反本法规定，造成人身、财产损害的，依法承担民事责任；构成犯罪的，依法追究刑事责任。</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center"/>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7"/>
        </w:rPr>
        <w:t>第九章</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附</w:t>
      </w:r>
      <w:r w:rsidRPr="004C7DCE">
        <w:rPr>
          <w:rFonts w:ascii="Helvetica" w:eastAsia="仿宋_GB2312" w:hAnsi="Helvetica" w:cs="Helvetica"/>
          <w:b/>
          <w:bCs/>
          <w:color w:val="007AAA"/>
          <w:kern w:val="0"/>
          <w:sz w:val="27"/>
        </w:rPr>
        <w:t xml:space="preserve">    </w:t>
      </w:r>
      <w:r w:rsidRPr="004C7DCE">
        <w:rPr>
          <w:rFonts w:ascii="Helvetica" w:eastAsia="仿宋_GB2312" w:hAnsi="Helvetica" w:cs="Helvetica"/>
          <w:b/>
          <w:bCs/>
          <w:color w:val="007AAA"/>
          <w:kern w:val="0"/>
          <w:sz w:val="27"/>
        </w:rPr>
        <w:t>则</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br/>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4"/>
          <w:szCs w:val="24"/>
        </w:rPr>
        <w:t>第六十条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中医药的管理，本法未作规定的，适用《中华人民共和国执业医师法》、《中华人民共和国药品管理法》等相关法律、行政法规的规定。</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color w:val="3E3E3E"/>
          <w:kern w:val="0"/>
          <w:sz w:val="24"/>
          <w:szCs w:val="24"/>
        </w:rPr>
        <w:t>军队的中医药管理，由军队卫生主管部门依照本法和军队有关规定组织实施。</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4"/>
          <w:szCs w:val="24"/>
        </w:rPr>
        <w:t>第六十一条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民族自治地方可以根据《中华人民共和国民族区域自治法》和本法的有关规定，结合实际，制定促进和规范本地方少数民族医药事业发展的办法。</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4"/>
          <w:szCs w:val="24"/>
        </w:rPr>
        <w:t>第六十二条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盲人按照国家有关规定取得盲人医疗按摩人员资格的，可以以个人开业的方式或者在医疗机构内提供医疗按摩服务。</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r w:rsidRPr="004C7DCE">
        <w:rPr>
          <w:rFonts w:ascii="Helvetica" w:eastAsia="仿宋_GB2312" w:hAnsi="Helvetica" w:cs="Helvetica"/>
          <w:b/>
          <w:bCs/>
          <w:color w:val="007AAA"/>
          <w:kern w:val="0"/>
          <w:sz w:val="24"/>
          <w:szCs w:val="24"/>
        </w:rPr>
        <w:t>第六十三条</w:t>
      </w:r>
      <w:r w:rsidRPr="004C7DCE">
        <w:rPr>
          <w:rFonts w:ascii="Helvetica" w:eastAsia="仿宋_GB2312" w:hAnsi="Helvetica" w:cs="Helvetica"/>
          <w:color w:val="3E3E3E"/>
          <w:kern w:val="0"/>
          <w:sz w:val="24"/>
          <w:szCs w:val="24"/>
        </w:rPr>
        <w:t> </w:t>
      </w:r>
      <w:r w:rsidRPr="004C7DCE">
        <w:rPr>
          <w:rFonts w:ascii="Helvetica" w:eastAsia="仿宋_GB2312" w:hAnsi="Helvetica" w:cs="Helvetica"/>
          <w:color w:val="3E3E3E"/>
          <w:kern w:val="0"/>
          <w:sz w:val="24"/>
          <w:szCs w:val="24"/>
        </w:rPr>
        <w:t>本法自</w:t>
      </w:r>
      <w:r w:rsidRPr="004C7DCE">
        <w:rPr>
          <w:rFonts w:ascii="Helvetica" w:eastAsia="仿宋_GB2312" w:hAnsi="Helvetica" w:cs="Helvetica"/>
          <w:color w:val="3E3E3E"/>
          <w:kern w:val="0"/>
          <w:sz w:val="24"/>
          <w:szCs w:val="24"/>
        </w:rPr>
        <w:t>2017</w:t>
      </w:r>
      <w:r w:rsidRPr="004C7DCE">
        <w:rPr>
          <w:rFonts w:ascii="Helvetica" w:eastAsia="仿宋_GB2312" w:hAnsi="Helvetica" w:cs="Helvetica"/>
          <w:color w:val="3E3E3E"/>
          <w:kern w:val="0"/>
          <w:sz w:val="24"/>
          <w:szCs w:val="24"/>
        </w:rPr>
        <w:t>年</w:t>
      </w:r>
      <w:r w:rsidRPr="004C7DCE">
        <w:rPr>
          <w:rFonts w:ascii="Helvetica" w:eastAsia="仿宋_GB2312" w:hAnsi="Helvetica" w:cs="Helvetica"/>
          <w:color w:val="3E3E3E"/>
          <w:kern w:val="0"/>
          <w:sz w:val="24"/>
          <w:szCs w:val="24"/>
        </w:rPr>
        <w:t>7</w:t>
      </w:r>
      <w:r w:rsidRPr="004C7DCE">
        <w:rPr>
          <w:rFonts w:ascii="Helvetica" w:eastAsia="仿宋_GB2312" w:hAnsi="Helvetica" w:cs="Helvetica"/>
          <w:color w:val="3E3E3E"/>
          <w:kern w:val="0"/>
          <w:sz w:val="24"/>
          <w:szCs w:val="24"/>
        </w:rPr>
        <w:t>月</w:t>
      </w:r>
      <w:r w:rsidRPr="004C7DCE">
        <w:rPr>
          <w:rFonts w:ascii="Helvetica" w:eastAsia="仿宋_GB2312" w:hAnsi="Helvetica" w:cs="Helvetica"/>
          <w:color w:val="3E3E3E"/>
          <w:kern w:val="0"/>
          <w:sz w:val="24"/>
          <w:szCs w:val="24"/>
        </w:rPr>
        <w:t>1</w:t>
      </w:r>
      <w:r w:rsidRPr="004C7DCE">
        <w:rPr>
          <w:rFonts w:ascii="Helvetica" w:eastAsia="仿宋_GB2312" w:hAnsi="Helvetica" w:cs="Helvetica"/>
          <w:color w:val="3E3E3E"/>
          <w:kern w:val="0"/>
          <w:sz w:val="24"/>
          <w:szCs w:val="24"/>
        </w:rPr>
        <w:t>日起施行。</w:t>
      </w:r>
    </w:p>
    <w:p w:rsidR="004C7DCE" w:rsidRPr="004C7DCE" w:rsidRDefault="004C7DCE" w:rsidP="004C7DCE">
      <w:pPr>
        <w:widowControl/>
        <w:shd w:val="clear" w:color="auto" w:fill="FFFFFF"/>
        <w:spacing w:line="500" w:lineRule="exact"/>
        <w:ind w:left="720"/>
        <w:contextualSpacing/>
        <w:jc w:val="right"/>
        <w:rPr>
          <w:rFonts w:ascii="Helvetica" w:eastAsia="仿宋_GB2312" w:hAnsi="Helvetica" w:cs="Helvetica"/>
          <w:color w:val="3E3E3E"/>
          <w:kern w:val="0"/>
          <w:sz w:val="24"/>
          <w:szCs w:val="24"/>
        </w:rPr>
      </w:pPr>
      <w:r>
        <w:rPr>
          <w:rFonts w:ascii="Helvetica" w:eastAsia="仿宋_GB2312" w:hAnsi="Helvetica" w:cs="Helvetica" w:hint="eastAsia"/>
          <w:color w:val="3E3E3E"/>
          <w:kern w:val="0"/>
          <w:sz w:val="24"/>
          <w:szCs w:val="24"/>
        </w:rPr>
        <w:t xml:space="preserve"> </w:t>
      </w:r>
    </w:p>
    <w:p w:rsidR="004C7DCE" w:rsidRPr="004C7DCE" w:rsidRDefault="004C7DCE" w:rsidP="004C7DCE">
      <w:pPr>
        <w:widowControl/>
        <w:shd w:val="clear" w:color="auto" w:fill="FFFFFF"/>
        <w:spacing w:line="500" w:lineRule="exact"/>
        <w:ind w:left="720"/>
        <w:contextualSpacing/>
        <w:jc w:val="left"/>
        <w:rPr>
          <w:rFonts w:ascii="Helvetica" w:eastAsia="仿宋_GB2312" w:hAnsi="Helvetica" w:cs="Helvetica"/>
          <w:color w:val="3E3E3E"/>
          <w:kern w:val="0"/>
          <w:sz w:val="24"/>
          <w:szCs w:val="24"/>
        </w:rPr>
      </w:pPr>
    </w:p>
    <w:p w:rsidR="00A43CDE" w:rsidRPr="004C7DCE" w:rsidRDefault="00A43CDE" w:rsidP="004C7DCE">
      <w:pPr>
        <w:spacing w:line="500" w:lineRule="exact"/>
        <w:contextualSpacing/>
      </w:pPr>
    </w:p>
    <w:sectPr w:rsidR="00A43CDE" w:rsidRPr="004C7DCE" w:rsidSect="00A43C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1E9E"/>
    <w:multiLevelType w:val="multilevel"/>
    <w:tmpl w:val="89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550E2"/>
    <w:multiLevelType w:val="multilevel"/>
    <w:tmpl w:val="6D00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7DCE"/>
    <w:rsid w:val="004C7DCE"/>
    <w:rsid w:val="00A43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CDE"/>
    <w:pPr>
      <w:widowControl w:val="0"/>
      <w:jc w:val="both"/>
    </w:pPr>
  </w:style>
  <w:style w:type="paragraph" w:styleId="1">
    <w:name w:val="heading 1"/>
    <w:basedOn w:val="a"/>
    <w:link w:val="1Char"/>
    <w:uiPriority w:val="9"/>
    <w:qFormat/>
    <w:rsid w:val="004C7DCE"/>
    <w:pPr>
      <w:widowControl/>
      <w:spacing w:before="300" w:after="150"/>
      <w:jc w:val="left"/>
      <w:outlineLvl w:val="0"/>
    </w:pPr>
    <w:rPr>
      <w:rFonts w:ascii="inherit" w:eastAsia="宋体" w:hAnsi="inherit" w:cs="宋体"/>
      <w:kern w:val="36"/>
      <w:sz w:val="54"/>
      <w:szCs w:val="5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7DCE"/>
    <w:rPr>
      <w:rFonts w:ascii="inherit" w:eastAsia="宋体" w:hAnsi="inherit" w:cs="宋体"/>
      <w:kern w:val="36"/>
      <w:sz w:val="54"/>
      <w:szCs w:val="54"/>
    </w:rPr>
  </w:style>
  <w:style w:type="character" w:styleId="a3">
    <w:name w:val="Strong"/>
    <w:basedOn w:val="a0"/>
    <w:uiPriority w:val="22"/>
    <w:qFormat/>
    <w:rsid w:val="004C7DCE"/>
    <w:rPr>
      <w:b/>
      <w:bCs/>
    </w:rPr>
  </w:style>
  <w:style w:type="paragraph" w:styleId="a4">
    <w:name w:val="Normal (Web)"/>
    <w:basedOn w:val="a"/>
    <w:uiPriority w:val="99"/>
    <w:semiHidden/>
    <w:unhideWhenUsed/>
    <w:rsid w:val="004C7DCE"/>
    <w:pPr>
      <w:widowControl/>
      <w:spacing w:after="150"/>
      <w:jc w:val="left"/>
    </w:pPr>
    <w:rPr>
      <w:rFonts w:ascii="宋体" w:eastAsia="宋体" w:hAnsi="宋体" w:cs="宋体"/>
      <w:kern w:val="0"/>
      <w:sz w:val="24"/>
      <w:szCs w:val="24"/>
    </w:rPr>
  </w:style>
  <w:style w:type="character" w:customStyle="1" w:styleId="fontz2">
    <w:name w:val="font_z2"/>
    <w:basedOn w:val="a0"/>
    <w:rsid w:val="004C7DCE"/>
    <w:rPr>
      <w:b/>
      <w:bCs/>
      <w:vanish w:val="0"/>
      <w:webHidden w:val="0"/>
      <w:color w:val="222222"/>
      <w:sz w:val="36"/>
      <w:szCs w:val="36"/>
      <w:shd w:val="clear" w:color="auto" w:fill="EEEEF0"/>
      <w:specVanish w:val="0"/>
    </w:rPr>
  </w:style>
  <w:style w:type="character" w:customStyle="1" w:styleId="fsizea2">
    <w:name w:val="f_sizea2"/>
    <w:basedOn w:val="a0"/>
    <w:rsid w:val="004C7DCE"/>
    <w:rPr>
      <w:vanish w:val="0"/>
      <w:webHidden w:val="0"/>
      <w:sz w:val="21"/>
      <w:szCs w:val="21"/>
      <w:shd w:val="clear" w:color="auto" w:fill="FFFFFF"/>
      <w:specVanish w:val="0"/>
    </w:rPr>
  </w:style>
  <w:style w:type="character" w:customStyle="1" w:styleId="fsizee2">
    <w:name w:val="f_sizee2"/>
    <w:basedOn w:val="a0"/>
    <w:rsid w:val="004C7DCE"/>
    <w:rPr>
      <w:vanish w:val="0"/>
      <w:webHidden w:val="0"/>
      <w:sz w:val="21"/>
      <w:szCs w:val="21"/>
      <w:shd w:val="clear" w:color="auto" w:fill="FFFFFF"/>
      <w:specVanish w:val="0"/>
    </w:rPr>
  </w:style>
  <w:style w:type="paragraph" w:styleId="a5">
    <w:name w:val="Balloon Text"/>
    <w:basedOn w:val="a"/>
    <w:link w:val="Char"/>
    <w:uiPriority w:val="99"/>
    <w:semiHidden/>
    <w:unhideWhenUsed/>
    <w:rsid w:val="004C7DCE"/>
    <w:rPr>
      <w:sz w:val="18"/>
      <w:szCs w:val="18"/>
    </w:rPr>
  </w:style>
  <w:style w:type="character" w:customStyle="1" w:styleId="Char">
    <w:name w:val="批注框文本 Char"/>
    <w:basedOn w:val="a0"/>
    <w:link w:val="a5"/>
    <w:uiPriority w:val="99"/>
    <w:semiHidden/>
    <w:rsid w:val="004C7DCE"/>
    <w:rPr>
      <w:sz w:val="18"/>
      <w:szCs w:val="18"/>
    </w:rPr>
  </w:style>
</w:styles>
</file>

<file path=word/webSettings.xml><?xml version="1.0" encoding="utf-8"?>
<w:webSettings xmlns:r="http://schemas.openxmlformats.org/officeDocument/2006/relationships" xmlns:w="http://schemas.openxmlformats.org/wordprocessingml/2006/main">
  <w:divs>
    <w:div w:id="172502403">
      <w:bodyDiv w:val="1"/>
      <w:marLeft w:val="0"/>
      <w:marRight w:val="0"/>
      <w:marTop w:val="0"/>
      <w:marBottom w:val="0"/>
      <w:divBdr>
        <w:top w:val="none" w:sz="0" w:space="0" w:color="auto"/>
        <w:left w:val="none" w:sz="0" w:space="0" w:color="auto"/>
        <w:bottom w:val="none" w:sz="0" w:space="0" w:color="auto"/>
        <w:right w:val="none" w:sz="0" w:space="0" w:color="auto"/>
      </w:divBdr>
      <w:divsChild>
        <w:div w:id="477385157">
          <w:marLeft w:val="0"/>
          <w:marRight w:val="0"/>
          <w:marTop w:val="0"/>
          <w:marBottom w:val="0"/>
          <w:divBdr>
            <w:top w:val="none" w:sz="0" w:space="0" w:color="auto"/>
            <w:left w:val="none" w:sz="0" w:space="0" w:color="auto"/>
            <w:bottom w:val="none" w:sz="0" w:space="0" w:color="auto"/>
            <w:right w:val="none" w:sz="0" w:space="0" w:color="auto"/>
          </w:divBdr>
          <w:divsChild>
            <w:div w:id="1844392510">
              <w:marLeft w:val="0"/>
              <w:marRight w:val="0"/>
              <w:marTop w:val="0"/>
              <w:marBottom w:val="0"/>
              <w:divBdr>
                <w:top w:val="none" w:sz="0" w:space="0" w:color="auto"/>
                <w:left w:val="none" w:sz="0" w:space="0" w:color="auto"/>
                <w:bottom w:val="none" w:sz="0" w:space="0" w:color="auto"/>
                <w:right w:val="none" w:sz="0" w:space="0" w:color="auto"/>
              </w:divBdr>
              <w:divsChild>
                <w:div w:id="477303255">
                  <w:marLeft w:val="0"/>
                  <w:marRight w:val="0"/>
                  <w:marTop w:val="150"/>
                  <w:marBottom w:val="0"/>
                  <w:divBdr>
                    <w:top w:val="none" w:sz="0" w:space="0" w:color="auto"/>
                    <w:left w:val="none" w:sz="0" w:space="0" w:color="auto"/>
                    <w:bottom w:val="none" w:sz="0" w:space="0" w:color="auto"/>
                    <w:right w:val="none" w:sz="0" w:space="0" w:color="auto"/>
                  </w:divBdr>
                  <w:divsChild>
                    <w:div w:id="17530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6561">
              <w:marLeft w:val="0"/>
              <w:marRight w:val="0"/>
              <w:marTop w:val="0"/>
              <w:marBottom w:val="0"/>
              <w:divBdr>
                <w:top w:val="dashed" w:sz="6" w:space="0" w:color="999999"/>
                <w:left w:val="none" w:sz="0" w:space="0" w:color="auto"/>
                <w:bottom w:val="dashed" w:sz="6" w:space="0" w:color="999999"/>
                <w:right w:val="none" w:sz="0" w:space="0" w:color="auto"/>
              </w:divBdr>
              <w:divsChild>
                <w:div w:id="1031345450">
                  <w:marLeft w:val="0"/>
                  <w:marRight w:val="0"/>
                  <w:marTop w:val="0"/>
                  <w:marBottom w:val="0"/>
                  <w:divBdr>
                    <w:top w:val="none" w:sz="0" w:space="0" w:color="auto"/>
                    <w:left w:val="none" w:sz="0" w:space="0" w:color="auto"/>
                    <w:bottom w:val="none" w:sz="0" w:space="0" w:color="auto"/>
                    <w:right w:val="none" w:sz="0" w:space="0" w:color="auto"/>
                  </w:divBdr>
                </w:div>
              </w:divsChild>
            </w:div>
            <w:div w:id="1345013519">
              <w:marLeft w:val="0"/>
              <w:marRight w:val="0"/>
              <w:marTop w:val="0"/>
              <w:marBottom w:val="0"/>
              <w:divBdr>
                <w:top w:val="none" w:sz="0" w:space="0" w:color="auto"/>
                <w:left w:val="none" w:sz="0" w:space="0" w:color="auto"/>
                <w:bottom w:val="none" w:sz="0" w:space="0" w:color="auto"/>
                <w:right w:val="none" w:sz="0" w:space="0" w:color="auto"/>
              </w:divBdr>
              <w:divsChild>
                <w:div w:id="1033261384">
                  <w:marLeft w:val="0"/>
                  <w:marRight w:val="0"/>
                  <w:marTop w:val="0"/>
                  <w:marBottom w:val="0"/>
                  <w:divBdr>
                    <w:top w:val="none" w:sz="0" w:space="0" w:color="auto"/>
                    <w:left w:val="none" w:sz="0" w:space="0" w:color="auto"/>
                    <w:bottom w:val="none" w:sz="0" w:space="0" w:color="auto"/>
                    <w:right w:val="none" w:sz="0" w:space="0" w:color="auto"/>
                  </w:divBdr>
                </w:div>
              </w:divsChild>
            </w:div>
            <w:div w:id="1175537636">
              <w:marLeft w:val="0"/>
              <w:marRight w:val="0"/>
              <w:marTop w:val="0"/>
              <w:marBottom w:val="0"/>
              <w:divBdr>
                <w:top w:val="none" w:sz="0" w:space="0" w:color="auto"/>
                <w:left w:val="none" w:sz="0" w:space="0" w:color="auto"/>
                <w:bottom w:val="none" w:sz="0" w:space="0" w:color="auto"/>
                <w:right w:val="none" w:sz="0" w:space="0" w:color="auto"/>
              </w:divBdr>
              <w:divsChild>
                <w:div w:id="18542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54156F-5DB2-4222-9C1C-44DA6115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法稽科-450142</dc:creator>
  <cp:lastModifiedBy>法稽科-450142</cp:lastModifiedBy>
  <cp:revision>2</cp:revision>
  <dcterms:created xsi:type="dcterms:W3CDTF">2018-08-28T04:40:00Z</dcterms:created>
  <dcterms:modified xsi:type="dcterms:W3CDTF">2018-08-28T04:40:00Z</dcterms:modified>
</cp:coreProperties>
</file>