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bCs/>
          <w:color w:val="000000"/>
          <w:kern w:val="0"/>
          <w:sz w:val="32"/>
          <w:szCs w:val="32"/>
        </w:rPr>
      </w:pPr>
      <w:bookmarkStart w:id="0" w:name="_GoBack"/>
      <w:bookmarkEnd w:id="0"/>
      <w:r>
        <w:rPr>
          <w:rFonts w:hint="eastAsia" w:ascii="仿宋_GB2312" w:hAnsi="仿宋_GB2312" w:eastAsia="仿宋_GB2312" w:cs="仿宋_GB2312"/>
          <w:bCs/>
          <w:color w:val="000000"/>
          <w:kern w:val="0"/>
          <w:sz w:val="32"/>
          <w:szCs w:val="32"/>
        </w:rPr>
        <w:t>桂卫</w:t>
      </w:r>
      <w:r>
        <w:rPr>
          <w:rFonts w:hint="eastAsia" w:ascii="仿宋_GB2312" w:hAnsi="仿宋_GB2312" w:eastAsia="仿宋_GB2312" w:cs="仿宋_GB2312"/>
          <w:bCs/>
          <w:color w:val="000000"/>
          <w:kern w:val="0"/>
          <w:sz w:val="32"/>
          <w:szCs w:val="32"/>
          <w:lang w:eastAsia="zh-CN"/>
        </w:rPr>
        <w:t>基层</w:t>
      </w:r>
      <w:r>
        <w:rPr>
          <w:rFonts w:hint="eastAsia" w:ascii="仿宋_GB2312" w:hAnsi="仿宋_GB2312" w:eastAsia="仿宋_GB2312" w:cs="仿宋_GB2312"/>
          <w:bCs/>
          <w:color w:val="000000"/>
          <w:kern w:val="0"/>
          <w:sz w:val="32"/>
          <w:szCs w:val="32"/>
        </w:rPr>
        <w:t>发〔</w:t>
      </w:r>
      <w:r>
        <w:rPr>
          <w:rFonts w:hint="eastAsia" w:ascii="仿宋_GB2312" w:hAnsi="仿宋_GB2312" w:eastAsia="仿宋_GB2312" w:cs="仿宋_GB2312"/>
          <w:bCs/>
          <w:color w:val="000000"/>
          <w:kern w:val="0"/>
          <w:sz w:val="32"/>
          <w:szCs w:val="32"/>
          <w:lang w:val="en-US" w:eastAsia="zh-CN"/>
        </w:rPr>
        <w:t>2023</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7</w:t>
      </w:r>
      <w:r>
        <w:rPr>
          <w:rFonts w:hint="eastAsia" w:ascii="仿宋_GB2312" w:hAnsi="仿宋_GB2312" w:eastAsia="仿宋_GB2312" w:cs="仿宋_GB2312"/>
          <w:bCs/>
          <w:color w:val="000000"/>
          <w:kern w:val="0"/>
          <w:sz w:val="32"/>
          <w:szCs w:val="32"/>
        </w:rPr>
        <w:t>号</w:t>
      </w:r>
    </w:p>
    <w:p>
      <w:pPr>
        <w:spacing w:line="500" w:lineRule="exact"/>
        <w:jc w:val="center"/>
        <w:rPr>
          <w:rFonts w:ascii="Times New Roman" w:eastAsia="仿宋_GB2312" w:cs="Times New Roman"/>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159" w:beforeLines="50" w:line="560" w:lineRule="exact"/>
        <w:jc w:val="center"/>
        <w:textAlignment w:val="auto"/>
        <w:outlineLvl w:val="9"/>
        <w:rPr>
          <w:rFonts w:hint="eastAsia" w:ascii="方正小标宋简体" w:eastAsia="方正小标宋简体"/>
          <w:color w:val="0C0C0C"/>
          <w:sz w:val="44"/>
          <w:szCs w:val="44"/>
          <w:highlight w:val="none"/>
        </w:rPr>
      </w:pPr>
      <w:r>
        <w:rPr>
          <w:rFonts w:hint="eastAsia" w:ascii="方正小标宋简体" w:eastAsia="方正小标宋简体" w:cs="方正小标宋简体"/>
          <w:sz w:val="44"/>
          <w:szCs w:val="44"/>
          <w:highlight w:val="none"/>
          <w:lang w:bidi="ar-SA"/>
        </w:rPr>
        <w:t>自治区卫生健康委</w:t>
      </w:r>
      <w:r>
        <w:rPr>
          <w:rFonts w:hint="eastAsia" w:ascii="方正小标宋简体" w:eastAsia="方正小标宋简体" w:cs="方正小标宋简体"/>
          <w:sz w:val="44"/>
          <w:szCs w:val="44"/>
          <w:highlight w:val="none"/>
          <w:lang w:val="en-US" w:eastAsia="zh-CN" w:bidi="ar-SA"/>
        </w:rPr>
        <w:t xml:space="preserve"> 自治区中医药局</w:t>
      </w:r>
      <w:r>
        <w:rPr>
          <w:rFonts w:hint="eastAsia" w:ascii="方正小标宋简体" w:eastAsia="方正小标宋简体"/>
          <w:color w:val="0C0C0C"/>
          <w:sz w:val="44"/>
          <w:szCs w:val="44"/>
          <w:highlight w:val="none"/>
        </w:rPr>
        <w:t>关于通报</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eastAsia="方正小标宋简体"/>
          <w:color w:val="0C0C0C"/>
          <w:sz w:val="44"/>
          <w:szCs w:val="44"/>
          <w:highlight w:val="none"/>
        </w:rPr>
      </w:pPr>
      <w:r>
        <w:rPr>
          <w:rFonts w:hint="eastAsia" w:ascii="方正小标宋简体" w:eastAsia="方正小标宋简体"/>
          <w:color w:val="0C0C0C"/>
          <w:sz w:val="44"/>
          <w:szCs w:val="44"/>
          <w:highlight w:val="none"/>
        </w:rPr>
        <w:t>表扬</w:t>
      </w:r>
      <w:r>
        <w:rPr>
          <w:rFonts w:hint="eastAsia" w:ascii="方正小标宋简体" w:eastAsia="方正小标宋简体" w:cs="方正小标宋简体"/>
          <w:b w:val="0"/>
          <w:bCs w:val="0"/>
          <w:i w:val="0"/>
          <w:color w:val="000000"/>
          <w:kern w:val="0"/>
          <w:sz w:val="44"/>
          <w:szCs w:val="44"/>
          <w:highlight w:val="none"/>
          <w:u w:val="none"/>
          <w:lang w:val="en-US" w:eastAsia="zh-CN"/>
        </w:rPr>
        <w:t>2019-2022年</w:t>
      </w:r>
      <w:r>
        <w:rPr>
          <w:rFonts w:hint="eastAsia" w:ascii="方正小标宋简体" w:eastAsia="方正小标宋简体"/>
          <w:color w:val="0C0C0C"/>
          <w:sz w:val="44"/>
          <w:szCs w:val="44"/>
          <w:highlight w:val="none"/>
        </w:rPr>
        <w:t>通过社区医院建设</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eastAsia="方正小标宋简体"/>
          <w:color w:val="0C0C0C"/>
          <w:sz w:val="44"/>
          <w:szCs w:val="44"/>
          <w:highlight w:val="none"/>
        </w:rPr>
      </w:pPr>
      <w:r>
        <w:rPr>
          <w:rFonts w:hint="eastAsia" w:ascii="方正小标宋简体" w:eastAsia="方正小标宋简体"/>
          <w:color w:val="0C0C0C"/>
          <w:sz w:val="44"/>
          <w:szCs w:val="44"/>
          <w:highlight w:val="none"/>
        </w:rPr>
        <w:t>评估</w:t>
      </w:r>
      <w:r>
        <w:rPr>
          <w:rFonts w:hint="eastAsia" w:ascii="方正小标宋简体" w:eastAsia="方正小标宋简体"/>
          <w:color w:val="0C0C0C"/>
          <w:sz w:val="44"/>
          <w:szCs w:val="44"/>
          <w:highlight w:val="none"/>
          <w:lang w:eastAsia="zh-CN"/>
        </w:rPr>
        <w:t>基层</w:t>
      </w:r>
      <w:r>
        <w:rPr>
          <w:rFonts w:hint="eastAsia" w:ascii="方正小标宋简体" w:eastAsia="方正小标宋简体"/>
          <w:color w:val="0C0C0C"/>
          <w:sz w:val="44"/>
          <w:szCs w:val="44"/>
          <w:highlight w:val="none"/>
        </w:rPr>
        <w:t>医疗</w:t>
      </w:r>
      <w:r>
        <w:rPr>
          <w:rFonts w:hint="eastAsia" w:ascii="方正小标宋简体" w:eastAsia="方正小标宋简体"/>
          <w:color w:val="0C0C0C"/>
          <w:sz w:val="44"/>
          <w:szCs w:val="44"/>
          <w:highlight w:val="none"/>
          <w:lang w:eastAsia="zh-CN"/>
        </w:rPr>
        <w:t>卫生</w:t>
      </w:r>
      <w:r>
        <w:rPr>
          <w:rFonts w:hint="eastAsia" w:ascii="方正小标宋简体" w:eastAsia="方正小标宋简体"/>
          <w:color w:val="0C0C0C"/>
          <w:sz w:val="44"/>
          <w:szCs w:val="44"/>
          <w:highlight w:val="none"/>
        </w:rPr>
        <w:t>机构的通知</w:t>
      </w:r>
    </w:p>
    <w:p>
      <w:pPr>
        <w:keepNext w:val="0"/>
        <w:keepLines w:val="0"/>
        <w:pageBreakBefore w:val="0"/>
        <w:widowControl w:val="0"/>
        <w:kinsoku/>
        <w:wordWrap/>
        <w:overflowPunct/>
        <w:topLinePunct w:val="0"/>
        <w:autoSpaceDE/>
        <w:autoSpaceDN/>
        <w:bidi w:val="0"/>
        <w:adjustRightInd/>
        <w:snapToGrid/>
        <w:spacing w:line="560" w:lineRule="exact"/>
        <w:rPr>
          <w:color w:val="0C0C0C"/>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各市、县（市、区）卫生健康委（局）</w:t>
      </w:r>
      <w:r>
        <w:rPr>
          <w:rFonts w:hint="eastAsia" w:ascii="仿宋_GB2312" w:eastAsia="仿宋_GB2312"/>
          <w:sz w:val="32"/>
          <w:szCs w:val="32"/>
          <w:highlight w:val="none"/>
          <w:lang w:eastAsia="zh-CN"/>
        </w:rPr>
        <w:t>、</w:t>
      </w:r>
      <w:r>
        <w:rPr>
          <w:rFonts w:hint="eastAsia" w:ascii="仿宋_GB2312" w:eastAsia="仿宋_GB2312"/>
          <w:color w:val="000000"/>
          <w:sz w:val="32"/>
          <w:szCs w:val="32"/>
          <w:highlight w:val="none"/>
        </w:rPr>
        <w:t>中医药局</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仿宋_GB2312"/>
          <w:color w:val="auto"/>
          <w:sz w:val="32"/>
          <w:szCs w:val="32"/>
          <w:highlight w:val="none"/>
          <w:lang w:val="en-US" w:eastAsia="zh-CN" w:bidi="ar-SA"/>
        </w:rPr>
        <w:sectPr>
          <w:footerReference r:id="rId3" w:type="default"/>
          <w:pgSz w:w="11907" w:h="16840"/>
          <w:pgMar w:top="3968" w:right="1418" w:bottom="1417" w:left="1701" w:header="851" w:footer="992" w:gutter="0"/>
          <w:pgNumType w:fmt="decimal"/>
          <w:cols w:space="0" w:num="1"/>
          <w:rtlGutter w:val="0"/>
          <w:docGrid w:type="lines" w:linePitch="327" w:charSpace="0"/>
        </w:sectPr>
      </w:pPr>
      <w:r>
        <w:rPr>
          <w:rFonts w:hint="eastAsia" w:ascii="仿宋_GB2312" w:eastAsia="仿宋_GB2312"/>
          <w:sz w:val="32"/>
          <w:szCs w:val="32"/>
          <w:highlight w:val="none"/>
        </w:rPr>
        <w:t>根据《国家卫生健康委办公厅关于印发社区医院基本标准和医疗质量安全核心制度要点（试行）的通知》（国卫办医函〔2019〕518号）和</w:t>
      </w:r>
      <w:r>
        <w:rPr>
          <w:rFonts w:hint="eastAsia" w:ascii="仿宋_GB2312" w:eastAsia="仿宋_GB2312"/>
          <w:sz w:val="32"/>
          <w:szCs w:val="32"/>
          <w:highlight w:val="none"/>
          <w:lang w:eastAsia="zh-CN"/>
        </w:rPr>
        <w:t>有关文件</w:t>
      </w:r>
      <w:r>
        <w:rPr>
          <w:rFonts w:hint="eastAsia" w:ascii="仿宋_GB2312" w:eastAsia="仿宋_GB2312"/>
          <w:sz w:val="32"/>
          <w:szCs w:val="32"/>
          <w:highlight w:val="none"/>
        </w:rPr>
        <w:t>要求，</w:t>
      </w:r>
      <w:r>
        <w:rPr>
          <w:rFonts w:hint="eastAsia" w:ascii="仿宋_GB2312" w:eastAsia="仿宋_GB2312"/>
          <w:sz w:val="32"/>
          <w:szCs w:val="32"/>
          <w:highlight w:val="none"/>
          <w:lang w:eastAsia="zh-CN"/>
        </w:rPr>
        <w:t>各地积极开展社区医院创建工作，对照</w:t>
      </w:r>
      <w:r>
        <w:rPr>
          <w:rFonts w:hint="eastAsia" w:ascii="仿宋_GB2312" w:eastAsia="仿宋_GB2312"/>
          <w:sz w:val="32"/>
          <w:szCs w:val="32"/>
          <w:highlight w:val="none"/>
        </w:rPr>
        <w:t>社区医院</w:t>
      </w:r>
      <w:r>
        <w:rPr>
          <w:rFonts w:hint="eastAsia" w:ascii="仿宋_GB2312" w:eastAsia="仿宋_GB2312"/>
          <w:sz w:val="32"/>
          <w:szCs w:val="32"/>
          <w:highlight w:val="none"/>
          <w:lang w:eastAsia="zh-CN"/>
        </w:rPr>
        <w:t>创建</w:t>
      </w:r>
      <w:r>
        <w:rPr>
          <w:rFonts w:hint="eastAsia" w:ascii="仿宋_GB2312" w:eastAsia="仿宋_GB2312"/>
          <w:sz w:val="32"/>
          <w:szCs w:val="32"/>
          <w:highlight w:val="none"/>
        </w:rPr>
        <w:t>标准</w:t>
      </w:r>
      <w:r>
        <w:rPr>
          <w:rFonts w:hint="eastAsia" w:ascii="仿宋_GB2312" w:eastAsia="仿宋_GB2312"/>
          <w:sz w:val="32"/>
          <w:szCs w:val="32"/>
          <w:highlight w:val="none"/>
          <w:lang w:eastAsia="zh-CN"/>
        </w:rPr>
        <w:t>，补短板、</w:t>
      </w:r>
      <w:r>
        <w:rPr>
          <w:rFonts w:hint="eastAsia" w:ascii="仿宋_GB2312" w:eastAsia="仿宋_GB2312" w:cs="仿宋_GB2312"/>
          <w:color w:val="auto"/>
          <w:sz w:val="32"/>
          <w:szCs w:val="32"/>
          <w:highlight w:val="none"/>
          <w:lang w:eastAsia="zh-CN" w:bidi="ar-SA"/>
        </w:rPr>
        <w:t>强弱项</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w:t>
      </w:r>
      <w:r>
        <w:rPr>
          <w:rFonts w:hint="eastAsia" w:ascii="仿宋_GB2312" w:eastAsia="仿宋_GB2312" w:cs="仿宋_GB2312"/>
          <w:color w:val="auto"/>
          <w:sz w:val="32"/>
          <w:szCs w:val="32"/>
          <w:highlight w:val="none"/>
          <w:lang w:eastAsia="zh-CN" w:bidi="ar-SA"/>
        </w:rPr>
        <w:t>持续加强服务能力建设</w:t>
      </w:r>
      <w:r>
        <w:rPr>
          <w:rFonts w:hint="eastAsia" w:ascii="仿宋_GB2312" w:eastAsia="仿宋_GB2312"/>
          <w:sz w:val="32"/>
          <w:szCs w:val="32"/>
          <w:highlight w:val="none"/>
        </w:rPr>
        <w:t>。经评估，全区</w:t>
      </w:r>
      <w:r>
        <w:rPr>
          <w:rFonts w:hint="eastAsia" w:ascii="仿宋_GB2312" w:eastAsia="仿宋_GB2312"/>
          <w:sz w:val="32"/>
          <w:szCs w:val="32"/>
          <w:highlight w:val="none"/>
          <w:lang w:val="en-US" w:eastAsia="zh-CN"/>
        </w:rPr>
        <w:t>2019-2022年</w:t>
      </w:r>
      <w:r>
        <w:rPr>
          <w:rFonts w:hint="eastAsia" w:ascii="仿宋_GB2312" w:eastAsia="仿宋_GB2312"/>
          <w:sz w:val="32"/>
          <w:szCs w:val="32"/>
          <w:highlight w:val="none"/>
        </w:rPr>
        <w:t>共有</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家基层医疗卫生机构通过</w:t>
      </w:r>
      <w:r>
        <w:rPr>
          <w:rFonts w:hint="eastAsia" w:ascii="仿宋_GB2312" w:eastAsia="仿宋_GB2312"/>
          <w:sz w:val="32"/>
          <w:szCs w:val="32"/>
          <w:highlight w:val="none"/>
          <w:lang w:eastAsia="zh-CN"/>
        </w:rPr>
        <w:t>社区医院建设</w:t>
      </w:r>
      <w:r>
        <w:rPr>
          <w:rFonts w:hint="eastAsia" w:ascii="仿宋_GB2312" w:eastAsia="仿宋_GB2312"/>
          <w:sz w:val="32"/>
          <w:szCs w:val="32"/>
          <w:highlight w:val="none"/>
        </w:rPr>
        <w:t>评估。</w:t>
      </w:r>
      <w:r>
        <w:rPr>
          <w:rFonts w:hint="eastAsia" w:ascii="仿宋_GB2312" w:eastAsia="仿宋_GB2312" w:cs="仿宋_GB2312"/>
          <w:sz w:val="32"/>
          <w:szCs w:val="32"/>
          <w:highlight w:val="none"/>
        </w:rPr>
        <w:t>为树立</w:t>
      </w:r>
      <w:r>
        <w:rPr>
          <w:rFonts w:hint="eastAsia" w:ascii="仿宋_GB2312" w:eastAsia="仿宋_GB2312" w:cs="仿宋_GB2312"/>
          <w:sz w:val="32"/>
          <w:szCs w:val="32"/>
          <w:highlight w:val="none"/>
          <w:lang w:eastAsia="zh-CN"/>
        </w:rPr>
        <w:t>典范、</w:t>
      </w:r>
      <w:r>
        <w:rPr>
          <w:rFonts w:hint="eastAsia" w:ascii="仿宋_GB2312" w:eastAsia="仿宋_GB2312" w:cs="仿宋_GB2312"/>
          <w:sz w:val="32"/>
          <w:szCs w:val="32"/>
          <w:highlight w:val="none"/>
        </w:rPr>
        <w:t>表扬先进，</w:t>
      </w:r>
      <w:r>
        <w:rPr>
          <w:rFonts w:hint="eastAsia" w:ascii="仿宋_GB2312" w:eastAsia="仿宋_GB2312" w:cs="仿宋_GB2312"/>
          <w:color w:val="auto"/>
          <w:sz w:val="32"/>
          <w:szCs w:val="32"/>
          <w:highlight w:val="none"/>
          <w:lang w:val="en-US" w:eastAsia="zh-CN" w:bidi="ar-SA"/>
        </w:rPr>
        <w:t>自治区卫生健康委、自治区中医药局决定对</w:t>
      </w:r>
      <w:r>
        <w:rPr>
          <w:rFonts w:hint="eastAsia" w:ascii="仿宋_GB2312" w:eastAsia="仿宋_GB2312" w:cs="仿宋_GB2312"/>
          <w:sz w:val="32"/>
          <w:szCs w:val="32"/>
          <w:highlight w:val="none"/>
        </w:rPr>
        <w:t>南宁市</w:t>
      </w:r>
      <w:r>
        <w:rPr>
          <w:rFonts w:hint="eastAsia" w:ascii="仿宋_GB2312" w:eastAsia="仿宋_GB2312" w:cs="仿宋_GB2312"/>
          <w:sz w:val="32"/>
          <w:szCs w:val="32"/>
          <w:highlight w:val="none"/>
          <w:lang w:val="en-US" w:eastAsia="zh-CN"/>
        </w:rPr>
        <w:t>兴宁区三塘镇卫生院</w:t>
      </w:r>
      <w:r>
        <w:rPr>
          <w:rFonts w:hint="eastAsia" w:ascii="仿宋_GB2312" w:eastAsia="仿宋_GB2312" w:cs="仿宋_GB2312"/>
          <w:sz w:val="32"/>
          <w:szCs w:val="32"/>
          <w:highlight w:val="none"/>
        </w:rPr>
        <w:t>等</w:t>
      </w:r>
      <w:r>
        <w:rPr>
          <w:rFonts w:hint="eastAsia" w:ascii="仿宋_GB2312" w:eastAsia="仿宋_GB2312" w:cs="仿宋_GB2312"/>
          <w:sz w:val="32"/>
          <w:szCs w:val="32"/>
          <w:highlight w:val="none"/>
          <w:lang w:val="en-US" w:eastAsia="zh-CN"/>
        </w:rPr>
        <w:t>100</w:t>
      </w:r>
      <w:r>
        <w:rPr>
          <w:rFonts w:hint="eastAsia" w:ascii="仿宋_GB2312" w:eastAsia="仿宋_GB2312" w:cs="仿宋_GB2312"/>
          <w:color w:val="0C0C0C"/>
          <w:sz w:val="32"/>
          <w:szCs w:val="32"/>
          <w:highlight w:val="none"/>
        </w:rPr>
        <w:t>家通过</w:t>
      </w:r>
      <w:r>
        <w:rPr>
          <w:rFonts w:hint="eastAsia" w:ascii="仿宋_GB2312" w:eastAsia="仿宋_GB2312" w:cs="仿宋_GB2312"/>
          <w:color w:val="0C0C0C"/>
          <w:sz w:val="32"/>
          <w:szCs w:val="32"/>
          <w:highlight w:val="none"/>
          <w:lang w:eastAsia="zh-CN"/>
        </w:rPr>
        <w:t>社区医院建设</w:t>
      </w:r>
      <w:r>
        <w:rPr>
          <w:rFonts w:hint="eastAsia" w:ascii="仿宋_GB2312" w:eastAsia="仿宋_GB2312" w:cs="仿宋_GB2312"/>
          <w:color w:val="0C0C0C"/>
          <w:sz w:val="32"/>
          <w:szCs w:val="32"/>
          <w:highlight w:val="none"/>
        </w:rPr>
        <w:t>评估</w:t>
      </w:r>
      <w:r>
        <w:rPr>
          <w:rFonts w:hint="eastAsia" w:ascii="仿宋_GB2312" w:eastAsia="仿宋_GB2312" w:cs="仿宋_GB2312"/>
          <w:color w:val="0C0C0C"/>
          <w:spacing w:val="6"/>
          <w:sz w:val="32"/>
          <w:szCs w:val="32"/>
          <w:highlight w:val="none"/>
        </w:rPr>
        <w:t>的基层医疗卫生机构给予通报表扬。希望受到表扬的机</w:t>
      </w:r>
      <w:r>
        <w:rPr>
          <w:rFonts w:hint="eastAsia" w:ascii="仿宋_GB2312" w:eastAsia="仿宋_GB2312" w:cs="仿宋_GB2312"/>
          <w:color w:val="0C0C0C"/>
          <w:sz w:val="32"/>
          <w:szCs w:val="32"/>
          <w:highlight w:val="none"/>
        </w:rPr>
        <w:t>构再接再厉、</w:t>
      </w:r>
      <w:r>
        <w:rPr>
          <w:rFonts w:hint="eastAsia" w:ascii="仿宋_GB2312" w:eastAsia="仿宋_GB2312" w:cs="仿宋_GB2312"/>
          <w:color w:val="auto"/>
          <w:sz w:val="32"/>
          <w:szCs w:val="32"/>
          <w:highlight w:val="none"/>
          <w:lang w:val="en-US" w:eastAsia="zh-CN" w:bidi="ar-SA"/>
        </w:rPr>
        <w:t>持续提升工作水</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eastAsia="仿宋_GB2312" w:cs="仿宋_GB2312"/>
          <w:color w:val="0C0C0C"/>
          <w:sz w:val="32"/>
          <w:szCs w:val="32"/>
          <w:highlight w:val="none"/>
        </w:rPr>
      </w:pPr>
      <w:r>
        <w:rPr>
          <w:rFonts w:hint="eastAsia" w:ascii="仿宋_GB2312" w:eastAsia="仿宋_GB2312" w:cs="仿宋_GB2312"/>
          <w:color w:val="auto"/>
          <w:sz w:val="32"/>
          <w:szCs w:val="32"/>
          <w:highlight w:val="none"/>
          <w:lang w:val="en-US" w:eastAsia="zh-CN" w:bidi="ar-SA"/>
        </w:rPr>
        <w:t>平</w:t>
      </w:r>
      <w:r>
        <w:rPr>
          <w:rFonts w:hint="eastAsia" w:ascii="仿宋_GB2312" w:eastAsia="仿宋_GB2312" w:cs="仿宋_GB2312"/>
          <w:color w:val="0C0C0C"/>
          <w:sz w:val="32"/>
          <w:szCs w:val="32"/>
          <w:highlight w:val="none"/>
        </w:rPr>
        <w:t>。通过评估的基层医疗卫生机构，可向所在县（市、区）卫生健康</w:t>
      </w:r>
      <w:r>
        <w:rPr>
          <w:rFonts w:hint="eastAsia" w:ascii="仿宋_GB2312" w:eastAsia="仿宋_GB2312" w:cs="仿宋_GB2312"/>
          <w:color w:val="0C0C0C"/>
          <w:sz w:val="32"/>
          <w:szCs w:val="32"/>
          <w:highlight w:val="none"/>
          <w:lang w:eastAsia="zh-CN"/>
        </w:rPr>
        <w:t>局</w:t>
      </w:r>
      <w:r>
        <w:rPr>
          <w:rFonts w:hint="eastAsia" w:ascii="仿宋_GB2312" w:eastAsia="仿宋_GB2312" w:cs="仿宋_GB2312"/>
          <w:color w:val="0C0C0C"/>
          <w:sz w:val="32"/>
          <w:szCs w:val="32"/>
          <w:highlight w:val="none"/>
        </w:rPr>
        <w:t>申请加挂社区医院的牌子。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sz w:val="32"/>
          <w:szCs w:val="32"/>
          <w:highlight w:val="none"/>
          <w:lang w:val="en-US" w:eastAsia="zh-CN" w:bidi="ar-SA"/>
        </w:rPr>
      </w:pPr>
      <w:r>
        <w:rPr>
          <w:rFonts w:hint="eastAsia" w:ascii="仿宋_GB2312" w:eastAsia="仿宋_GB2312"/>
          <w:sz w:val="32"/>
          <w:szCs w:val="32"/>
          <w:highlight w:val="none"/>
        </w:rPr>
        <w:t>各市、县（市、区）</w:t>
      </w:r>
      <w:r>
        <w:rPr>
          <w:rFonts w:hint="eastAsia" w:ascii="仿宋_GB2312" w:eastAsia="仿宋_GB2312" w:cs="仿宋_GB2312"/>
          <w:color w:val="auto"/>
          <w:sz w:val="32"/>
          <w:szCs w:val="32"/>
          <w:highlight w:val="none"/>
          <w:lang w:val="en-US" w:eastAsia="zh-CN" w:bidi="ar-SA"/>
        </w:rPr>
        <w:t>卫生健康行政部门、中医药管理部门要高度重视</w:t>
      </w:r>
      <w:r>
        <w:rPr>
          <w:rFonts w:hint="eastAsia" w:ascii="仿宋_GB2312" w:eastAsia="仿宋_GB2312" w:cs="仿宋_GB2312"/>
          <w:color w:val="0C0C0C"/>
          <w:sz w:val="32"/>
          <w:szCs w:val="32"/>
          <w:highlight w:val="none"/>
        </w:rPr>
        <w:t>，</w:t>
      </w:r>
      <w:r>
        <w:rPr>
          <w:rFonts w:hint="eastAsia" w:ascii="仿宋_GB2312" w:eastAsia="仿宋_GB2312" w:cs="仿宋_GB2312"/>
          <w:color w:val="0C0C0C"/>
          <w:sz w:val="32"/>
          <w:szCs w:val="32"/>
          <w:highlight w:val="none"/>
          <w:lang w:eastAsia="zh-CN"/>
        </w:rPr>
        <w:t>加快</w:t>
      </w:r>
      <w:r>
        <w:rPr>
          <w:rFonts w:hint="eastAsia" w:ascii="仿宋_GB2312" w:eastAsia="仿宋_GB2312" w:cs="仿宋_GB2312"/>
          <w:color w:val="0C0C0C"/>
          <w:sz w:val="32"/>
          <w:szCs w:val="32"/>
          <w:highlight w:val="none"/>
        </w:rPr>
        <w:t>推进社区医院建设，合理拓展基层医疗卫生服务功能，</w:t>
      </w:r>
      <w:r>
        <w:rPr>
          <w:rFonts w:hint="eastAsia" w:ascii="仿宋_GB2312" w:eastAsia="仿宋_GB2312" w:cs="仿宋_GB2312"/>
          <w:color w:val="auto"/>
          <w:sz w:val="32"/>
          <w:szCs w:val="32"/>
          <w:highlight w:val="none"/>
          <w:lang w:val="en-US" w:eastAsia="zh-CN" w:bidi="ar-SA"/>
        </w:rPr>
        <w:t>持续提升基层医疗卫生服务能力，不断提高服务质量，</w:t>
      </w:r>
      <w:r>
        <w:rPr>
          <w:rFonts w:hint="eastAsia" w:ascii="仿宋_GB2312" w:hAnsi="仿宋_GB2312" w:eastAsia="仿宋_GB2312" w:cs="仿宋_GB2312"/>
          <w:color w:val="auto"/>
          <w:sz w:val="32"/>
          <w:szCs w:val="32"/>
          <w:highlight w:val="none"/>
          <w:lang w:val="en-US" w:eastAsia="zh-CN"/>
        </w:rPr>
        <w:t>为全面推进健康中国建设和乡村振兴，积极应对人口老龄化作出新的更大贡献。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仿宋_GB2312"/>
          <w:color w:val="auto"/>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eastAsia="仿宋_GB2312" w:cs="仿宋_GB2312"/>
          <w:spacing w:val="-6"/>
          <w:sz w:val="32"/>
          <w:szCs w:val="32"/>
          <w:highlight w:val="none"/>
        </w:rPr>
      </w:pPr>
      <w:r>
        <w:rPr>
          <w:rFonts w:hint="eastAsia" w:ascii="仿宋_GB2312" w:eastAsia="仿宋_GB2312" w:cs="仿宋_GB2312"/>
          <w:color w:val="0C0C0C"/>
          <w:sz w:val="32"/>
          <w:szCs w:val="32"/>
          <w:highlight w:val="none"/>
        </w:rPr>
        <w:t>附件：</w:t>
      </w:r>
      <w:r>
        <w:rPr>
          <w:rFonts w:hint="eastAsia" w:ascii="仿宋_GB2312" w:eastAsia="仿宋_GB2312" w:cs="仿宋_GB2312"/>
          <w:spacing w:val="-6"/>
          <w:sz w:val="32"/>
          <w:szCs w:val="32"/>
          <w:highlight w:val="none"/>
          <w:lang w:val="en-US" w:eastAsia="zh-CN"/>
        </w:rPr>
        <w:t>全区2019-2022年</w:t>
      </w:r>
      <w:r>
        <w:rPr>
          <w:rFonts w:hint="eastAsia" w:ascii="仿宋_GB2312" w:eastAsia="仿宋_GB2312" w:cs="仿宋_GB2312"/>
          <w:spacing w:val="-6"/>
          <w:sz w:val="32"/>
          <w:szCs w:val="32"/>
          <w:highlight w:val="none"/>
        </w:rPr>
        <w:t>通过社区医院建设评估的</w:t>
      </w:r>
      <w:r>
        <w:rPr>
          <w:rFonts w:hint="eastAsia" w:ascii="仿宋_GB2312" w:eastAsia="仿宋_GB2312" w:cs="仿宋_GB2312"/>
          <w:spacing w:val="-6"/>
          <w:sz w:val="32"/>
          <w:szCs w:val="32"/>
          <w:highlight w:val="none"/>
          <w:lang w:eastAsia="zh-CN"/>
        </w:rPr>
        <w:t>基层</w:t>
      </w:r>
      <w:r>
        <w:rPr>
          <w:rFonts w:hint="eastAsia" w:ascii="仿宋_GB2312" w:eastAsia="仿宋_GB2312" w:cs="仿宋_GB2312"/>
          <w:spacing w:val="-6"/>
          <w:sz w:val="32"/>
          <w:szCs w:val="32"/>
          <w:highlight w:val="none"/>
        </w:rPr>
        <w:t>医疗</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center"/>
        <w:rPr>
          <w:rFonts w:hint="eastAsia" w:ascii="仿宋_GB2312" w:eastAsia="仿宋_GB2312" w:cs="仿宋_GB2312"/>
          <w:spacing w:val="-6"/>
          <w:sz w:val="32"/>
          <w:szCs w:val="32"/>
          <w:highlight w:val="none"/>
        </w:rPr>
      </w:pPr>
      <w:r>
        <w:rPr>
          <w:rFonts w:hint="eastAsia" w:ascii="仿宋_GB2312" w:eastAsia="仿宋_GB2312" w:cs="仿宋_GB2312"/>
          <w:spacing w:val="-6"/>
          <w:sz w:val="32"/>
          <w:szCs w:val="32"/>
          <w:highlight w:val="none"/>
          <w:lang w:eastAsia="zh-CN"/>
        </w:rPr>
        <w:t>　　　卫生</w:t>
      </w:r>
      <w:r>
        <w:rPr>
          <w:rFonts w:hint="eastAsia" w:ascii="仿宋_GB2312" w:eastAsia="仿宋_GB2312" w:cs="仿宋_GB2312"/>
          <w:spacing w:val="-6"/>
          <w:sz w:val="32"/>
          <w:szCs w:val="32"/>
          <w:highlight w:val="none"/>
        </w:rPr>
        <w:t>机构名单</w:t>
      </w:r>
    </w:p>
    <w:p>
      <w:pPr>
        <w:keepNext w:val="0"/>
        <w:keepLines w:val="0"/>
        <w:pageBreakBefore w:val="0"/>
        <w:widowControl w:val="0"/>
        <w:kinsoku/>
        <w:wordWrap/>
        <w:overflowPunct/>
        <w:topLinePunct w:val="0"/>
        <w:autoSpaceDE/>
        <w:autoSpaceDN/>
        <w:bidi w:val="0"/>
        <w:adjustRightInd/>
        <w:snapToGrid/>
        <w:spacing w:line="560" w:lineRule="exact"/>
        <w:ind w:firstLine="659"/>
        <w:rPr>
          <w:rFonts w:hint="eastAsia" w:ascii="仿宋_GB2312" w:eastAsia="仿宋_GB2312" w:cs="仿宋_GB2312"/>
          <w:color w:val="0C0C0C"/>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59"/>
        <w:rPr>
          <w:rFonts w:hint="eastAsia" w:ascii="仿宋_GB2312" w:eastAsia="仿宋_GB2312" w:cs="仿宋_GB2312"/>
          <w:color w:val="0C0C0C"/>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eastAsia="仿宋_GB2312" w:cs="仿宋_GB2312"/>
          <w:color w:val="0C0C0C"/>
          <w:spacing w:val="-6"/>
          <w:sz w:val="32"/>
          <w:szCs w:val="32"/>
          <w:highlight w:val="none"/>
        </w:rPr>
      </w:pPr>
      <w:r>
        <w:rPr>
          <w:rFonts w:hint="eastAsia" w:ascii="仿宋_GB2312" w:eastAsia="仿宋_GB2312" w:cs="仿宋_GB2312"/>
          <w:color w:val="0C0C0C"/>
          <w:spacing w:val="-6"/>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highlight w:val="none"/>
          <w:lang w:val="en-US" w:eastAsia="zh-CN" w:bidi="ar-SA"/>
        </w:rPr>
      </w:pPr>
      <w:r>
        <w:rPr>
          <w:rFonts w:hint="eastAsia" w:ascii="仿宋_GB2312" w:eastAsia="仿宋_GB2312" w:cs="仿宋_GB2312"/>
          <w:sz w:val="32"/>
          <w:szCs w:val="32"/>
          <w:highlight w:val="none"/>
          <w:lang w:val="en-US" w:eastAsia="zh-CN" w:bidi="ar-SA"/>
        </w:rPr>
        <w:t>广西壮族自治区　　　　　　　　　广西壮族自治区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highlight w:val="none"/>
          <w:lang w:val="en-US" w:eastAsia="zh-CN" w:bidi="ar-SA"/>
        </w:rPr>
      </w:pPr>
      <w:r>
        <w:rPr>
          <w:rFonts w:hint="eastAsia" w:ascii="仿宋_GB2312" w:eastAsia="仿宋_GB2312" w:cs="仿宋_GB2312"/>
          <w:sz w:val="32"/>
          <w:szCs w:val="32"/>
          <w:highlight w:val="none"/>
          <w:lang w:val="en-US" w:eastAsia="zh-CN" w:bidi="ar-SA"/>
        </w:rPr>
        <w:t>　　卫生健康委员会　　</w:t>
      </w:r>
      <w:r>
        <w:rPr>
          <w:rFonts w:hint="eastAsia" w:ascii="仿宋_GB2312" w:eastAsia="仿宋_GB2312" w:cs="仿宋_GB2312"/>
          <w:spacing w:val="-10"/>
          <w:sz w:val="32"/>
          <w:szCs w:val="32"/>
          <w:highlight w:val="none"/>
          <w:lang w:val="en-US" w:eastAsia="zh-CN" w:bidi="ar-SA"/>
        </w:rPr>
        <w:t>　　　　　　　　</w:t>
      </w:r>
      <w:r>
        <w:rPr>
          <w:rFonts w:hint="eastAsia" w:ascii="仿宋_GB2312" w:eastAsia="仿宋_GB2312" w:cs="仿宋_GB2312"/>
          <w:sz w:val="32"/>
          <w:szCs w:val="32"/>
          <w:highlight w:val="none"/>
          <w:lang w:val="en-US" w:eastAsia="zh-CN" w:bidi="ar-SA"/>
        </w:rPr>
        <w:t>中医药管理局</w:t>
      </w:r>
    </w:p>
    <w:p>
      <w:pPr>
        <w:keepNext w:val="0"/>
        <w:keepLines w:val="0"/>
        <w:pageBreakBefore w:val="0"/>
        <w:widowControl w:val="0"/>
        <w:kinsoku/>
        <w:wordWrap/>
        <w:overflowPunct/>
        <w:topLinePunct w:val="0"/>
        <w:autoSpaceDE/>
        <w:autoSpaceDN/>
        <w:bidi w:val="0"/>
        <w:adjustRightInd/>
        <w:snapToGrid/>
        <w:spacing w:line="560" w:lineRule="exact"/>
        <w:ind w:firstLine="5446" w:firstLineChars="1702"/>
        <w:textAlignment w:val="auto"/>
        <w:rPr>
          <w:rFonts w:hint="eastAsia" w:ascii="仿宋_GB2312" w:eastAsia="仿宋_GB2312" w:cs="仿宋_GB2312"/>
          <w:sz w:val="32"/>
          <w:szCs w:val="32"/>
          <w:highlight w:val="none"/>
          <w:lang w:val="en-US" w:eastAsia="zh-CN" w:bidi="ar-SA"/>
        </w:rPr>
      </w:pPr>
      <w:r>
        <w:rPr>
          <w:rFonts w:hint="eastAsia" w:ascii="仿宋_GB2312" w:eastAsia="仿宋_GB2312" w:cs="仿宋_GB2312"/>
          <w:sz w:val="32"/>
          <w:szCs w:val="32"/>
          <w:highlight w:val="none"/>
          <w:lang w:val="en-US" w:eastAsia="zh-CN" w:bidi="ar-SA"/>
        </w:rPr>
        <w:t xml:space="preserve">  2023年7月10日</w:t>
      </w:r>
    </w:p>
    <w:p>
      <w:pPr>
        <w:spacing w:line="560" w:lineRule="exact"/>
        <w:rPr>
          <w:rFonts w:hint="eastAsia" w:ascii="黑体" w:eastAsia="黑体" w:cs="仿宋_GB2312"/>
          <w:color w:val="0C0C0C"/>
          <w:sz w:val="32"/>
          <w:szCs w:val="32"/>
          <w:highlight w:val="none"/>
        </w:rPr>
      </w:pPr>
    </w:p>
    <w:p>
      <w:pPr>
        <w:spacing w:line="560" w:lineRule="exact"/>
        <w:rPr>
          <w:rFonts w:hint="eastAsia" w:ascii="黑体" w:eastAsia="黑体" w:cs="仿宋_GB2312"/>
          <w:color w:val="0C0C0C"/>
          <w:sz w:val="32"/>
          <w:szCs w:val="32"/>
          <w:highlight w:val="none"/>
        </w:rPr>
      </w:pPr>
    </w:p>
    <w:p>
      <w:pPr>
        <w:spacing w:line="560" w:lineRule="exact"/>
        <w:rPr>
          <w:rFonts w:hint="eastAsia" w:ascii="黑体" w:eastAsia="黑体" w:cs="仿宋_GB2312"/>
          <w:color w:val="0C0C0C"/>
          <w:sz w:val="32"/>
          <w:szCs w:val="32"/>
          <w:highlight w:val="none"/>
        </w:rPr>
      </w:pPr>
    </w:p>
    <w:p>
      <w:pPr>
        <w:spacing w:line="560" w:lineRule="exact"/>
        <w:rPr>
          <w:rFonts w:hint="eastAsia" w:ascii="黑体" w:eastAsia="黑体" w:cs="仿宋_GB2312"/>
          <w:color w:val="0C0C0C"/>
          <w:sz w:val="32"/>
          <w:szCs w:val="32"/>
          <w:highlight w:val="none"/>
        </w:rPr>
      </w:pPr>
    </w:p>
    <w:p>
      <w:pPr>
        <w:spacing w:line="560" w:lineRule="exact"/>
        <w:rPr>
          <w:rFonts w:hint="eastAsia" w:ascii="黑体" w:eastAsia="黑体" w:cs="仿宋_GB2312"/>
          <w:color w:val="0C0C0C"/>
          <w:sz w:val="32"/>
          <w:szCs w:val="32"/>
          <w:highlight w:val="none"/>
        </w:rPr>
      </w:pPr>
    </w:p>
    <w:p>
      <w:pPr>
        <w:spacing w:line="560" w:lineRule="exact"/>
        <w:rPr>
          <w:rFonts w:hint="eastAsia" w:ascii="黑体" w:eastAsia="黑体" w:cs="仿宋_GB2312"/>
          <w:color w:val="0C0C0C"/>
          <w:sz w:val="32"/>
          <w:szCs w:val="32"/>
          <w:highlight w:val="none"/>
        </w:rPr>
      </w:pPr>
      <w:r>
        <w:rPr>
          <w:rFonts w:hint="eastAsia" w:ascii="黑体" w:eastAsia="黑体" w:cs="仿宋_GB2312"/>
          <w:color w:val="0C0C0C"/>
          <w:sz w:val="32"/>
          <w:szCs w:val="32"/>
          <w:highlight w:val="none"/>
        </w:rPr>
        <w:br w:type="page"/>
      </w:r>
      <w:r>
        <w:rPr>
          <w:rFonts w:hint="eastAsia" w:ascii="黑体" w:eastAsia="黑体" w:cs="仿宋_GB2312"/>
          <w:color w:val="0C0C0C"/>
          <w:sz w:val="32"/>
          <w:szCs w:val="32"/>
          <w:highlight w:val="none"/>
        </w:rPr>
        <w:t>附件</w:t>
      </w:r>
    </w:p>
    <w:p>
      <w:pPr>
        <w:spacing w:line="560" w:lineRule="exact"/>
        <w:rPr>
          <w:rFonts w:hint="eastAsia" w:ascii="黑体" w:eastAsia="黑体" w:cs="仿宋_GB2312"/>
          <w:color w:val="0C0C0C"/>
          <w:sz w:val="32"/>
          <w:szCs w:val="32"/>
          <w:highlight w:val="none"/>
        </w:rPr>
      </w:pPr>
    </w:p>
    <w:p>
      <w:pPr>
        <w:widowControl/>
        <w:spacing w:line="600" w:lineRule="exact"/>
        <w:jc w:val="center"/>
        <w:textAlignment w:val="center"/>
        <w:rPr>
          <w:rStyle w:val="13"/>
          <w:rFonts w:hint="eastAsia" w:ascii="方正小标宋简体" w:eastAsia="方正小标宋简体"/>
          <w:b w:val="0"/>
          <w:sz w:val="44"/>
          <w:szCs w:val="44"/>
          <w:highlight w:val="none"/>
        </w:rPr>
      </w:pPr>
      <w:r>
        <w:rPr>
          <w:rFonts w:hint="eastAsia" w:ascii="方正小标宋简体" w:eastAsia="方正小标宋简体" w:cs="方正小标宋简体"/>
          <w:b w:val="0"/>
          <w:bCs w:val="0"/>
          <w:i w:val="0"/>
          <w:color w:val="000000"/>
          <w:kern w:val="0"/>
          <w:sz w:val="44"/>
          <w:szCs w:val="44"/>
          <w:highlight w:val="none"/>
          <w:u w:val="none"/>
          <w:lang w:val="en-US" w:eastAsia="zh-CN"/>
        </w:rPr>
        <w:t>全区2019-2022年</w:t>
      </w:r>
      <w:r>
        <w:rPr>
          <w:rStyle w:val="13"/>
          <w:rFonts w:hint="eastAsia" w:ascii="方正小标宋简体" w:eastAsia="方正小标宋简体"/>
          <w:b w:val="0"/>
          <w:sz w:val="44"/>
          <w:szCs w:val="44"/>
          <w:highlight w:val="none"/>
        </w:rPr>
        <w:t>通过社区医院建设</w:t>
      </w:r>
    </w:p>
    <w:p>
      <w:pPr>
        <w:widowControl/>
        <w:spacing w:line="600" w:lineRule="exact"/>
        <w:jc w:val="center"/>
        <w:textAlignment w:val="center"/>
        <w:rPr>
          <w:rStyle w:val="13"/>
          <w:rFonts w:hint="eastAsia" w:ascii="方正小标宋简体" w:eastAsia="方正小标宋简体"/>
          <w:b w:val="0"/>
          <w:sz w:val="44"/>
          <w:szCs w:val="44"/>
          <w:highlight w:val="none"/>
        </w:rPr>
      </w:pPr>
      <w:r>
        <w:rPr>
          <w:rStyle w:val="13"/>
          <w:rFonts w:hint="eastAsia" w:ascii="方正小标宋简体" w:eastAsia="方正小标宋简体"/>
          <w:b w:val="0"/>
          <w:sz w:val="44"/>
          <w:szCs w:val="44"/>
          <w:highlight w:val="none"/>
        </w:rPr>
        <w:t>评估的</w:t>
      </w:r>
      <w:r>
        <w:rPr>
          <w:rStyle w:val="13"/>
          <w:rFonts w:hint="eastAsia" w:ascii="方正小标宋简体" w:eastAsia="方正小标宋简体"/>
          <w:b w:val="0"/>
          <w:sz w:val="44"/>
          <w:szCs w:val="44"/>
          <w:highlight w:val="none"/>
          <w:lang w:eastAsia="zh-CN"/>
        </w:rPr>
        <w:t>基层</w:t>
      </w:r>
      <w:r>
        <w:rPr>
          <w:rStyle w:val="13"/>
          <w:rFonts w:hint="eastAsia" w:ascii="方正小标宋简体" w:eastAsia="方正小标宋简体"/>
          <w:b w:val="0"/>
          <w:sz w:val="44"/>
          <w:szCs w:val="44"/>
          <w:highlight w:val="none"/>
        </w:rPr>
        <w:t>医疗</w:t>
      </w:r>
      <w:r>
        <w:rPr>
          <w:rStyle w:val="13"/>
          <w:rFonts w:hint="eastAsia" w:ascii="方正小标宋简体" w:eastAsia="方正小标宋简体"/>
          <w:b w:val="0"/>
          <w:sz w:val="44"/>
          <w:szCs w:val="44"/>
          <w:highlight w:val="none"/>
          <w:lang w:eastAsia="zh-CN"/>
        </w:rPr>
        <w:t>卫生</w:t>
      </w:r>
      <w:r>
        <w:rPr>
          <w:rStyle w:val="13"/>
          <w:rFonts w:hint="eastAsia" w:ascii="方正小标宋简体" w:eastAsia="方正小标宋简体"/>
          <w:b w:val="0"/>
          <w:sz w:val="44"/>
          <w:szCs w:val="44"/>
          <w:highlight w:val="none"/>
        </w:rPr>
        <w:t>机构名单</w:t>
      </w:r>
    </w:p>
    <w:tbl>
      <w:tblPr>
        <w:tblStyle w:val="10"/>
        <w:tblW w:w="913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270"/>
        <w:gridCol w:w="5580"/>
        <w:gridCol w:w="150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tblHeader/>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0C0C0C"/>
                <w:kern w:val="0"/>
                <w:sz w:val="26"/>
                <w:szCs w:val="26"/>
                <w:highlight w:val="none"/>
                <w:lang w:val="en-US" w:eastAsia="zh-CN"/>
              </w:rPr>
            </w:pPr>
            <w:r>
              <w:rPr>
                <w:rFonts w:hint="eastAsia" w:ascii="黑体" w:hAnsi="黑体" w:eastAsia="黑体" w:cs="黑体"/>
                <w:b w:val="0"/>
                <w:bCs/>
                <w:color w:val="0C0C0C"/>
                <w:kern w:val="0"/>
                <w:sz w:val="26"/>
                <w:szCs w:val="26"/>
                <w:highlight w:val="none"/>
                <w:lang w:val="en-US" w:eastAsia="zh-CN"/>
              </w:rPr>
              <w:t>序号</w:t>
            </w:r>
          </w:p>
        </w:tc>
        <w:tc>
          <w:tcPr>
            <w:tcW w:w="12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0C0C0C"/>
                <w:kern w:val="0"/>
                <w:sz w:val="26"/>
                <w:szCs w:val="26"/>
                <w:highlight w:val="none"/>
                <w:lang w:val="en-US" w:eastAsia="zh-CN"/>
              </w:rPr>
            </w:pPr>
            <w:r>
              <w:rPr>
                <w:rFonts w:hint="eastAsia" w:ascii="黑体" w:hAnsi="黑体" w:eastAsia="黑体" w:cs="黑体"/>
                <w:b w:val="0"/>
                <w:bCs/>
                <w:color w:val="0C0C0C"/>
                <w:kern w:val="0"/>
                <w:sz w:val="26"/>
                <w:szCs w:val="26"/>
                <w:highlight w:val="none"/>
                <w:lang w:val="en-US" w:eastAsia="zh-CN"/>
              </w:rPr>
              <w:t>地市</w:t>
            </w:r>
          </w:p>
        </w:tc>
        <w:tc>
          <w:tcPr>
            <w:tcW w:w="55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0C0C0C"/>
                <w:kern w:val="0"/>
                <w:sz w:val="26"/>
                <w:szCs w:val="26"/>
                <w:highlight w:val="none"/>
                <w:lang w:val="en-US" w:eastAsia="zh-CN"/>
              </w:rPr>
            </w:pPr>
            <w:r>
              <w:rPr>
                <w:rFonts w:hint="eastAsia" w:ascii="黑体" w:hAnsi="黑体" w:eastAsia="黑体" w:cs="黑体"/>
                <w:b w:val="0"/>
                <w:bCs/>
                <w:color w:val="0C0C0C"/>
                <w:kern w:val="0"/>
                <w:sz w:val="26"/>
                <w:szCs w:val="26"/>
                <w:highlight w:val="none"/>
                <w:lang w:val="en-US" w:eastAsia="zh-CN"/>
              </w:rPr>
              <w:t>基层医疗卫生机构名称</w:t>
            </w: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0C0C0C"/>
                <w:kern w:val="0"/>
                <w:sz w:val="26"/>
                <w:szCs w:val="26"/>
                <w:highlight w:val="none"/>
                <w:lang w:val="en-US" w:eastAsia="zh-CN"/>
              </w:rPr>
            </w:pPr>
            <w:r>
              <w:rPr>
                <w:rFonts w:hint="eastAsia" w:ascii="黑体" w:hAnsi="黑体" w:eastAsia="黑体" w:cs="黑体"/>
                <w:b w:val="0"/>
                <w:bCs/>
                <w:color w:val="0C0C0C"/>
                <w:kern w:val="0"/>
                <w:sz w:val="26"/>
                <w:szCs w:val="26"/>
                <w:highlight w:val="none"/>
                <w:lang w:val="en-US" w:eastAsia="zh-CN"/>
              </w:rPr>
              <w:t>建成年度</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南宁市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兴宁区三塘镇卫生院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2019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2</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兴宁区五塘镇中心卫生院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3</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江南区吴圩镇中心卫生院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4</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西乡塘区北湖南棉社区卫生服务中心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5</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邕宁区蒲庙镇卫生院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6</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上林县白圩镇中心卫生院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7</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宾阳县黎塘中心卫生院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8</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横州市百合镇中心卫生院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9</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青秀区东葛社区卫生服务中心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10</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青秀区竹溪社区卫生服务中心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11</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西乡塘区上尧社区卫生服务中心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12</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邕宁区那楼中心卫生院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13</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武鸣区双桥中心卫生院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14</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武鸣区陆斡中心卫生院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15</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上林县乔贤镇中心卫生院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b w:val="0"/>
                <w:bCs/>
                <w:color w:val="0C0C0C"/>
                <w:kern w:val="0"/>
                <w:sz w:val="26"/>
                <w:szCs w:val="26"/>
                <w:highlight w:val="none"/>
                <w:lang w:val="en-US" w:eastAsia="zh-CN"/>
              </w:rPr>
              <w:t>16</w:t>
            </w:r>
          </w:p>
        </w:tc>
        <w:tc>
          <w:tcPr>
            <w:tcW w:w="1270" w:type="dxa"/>
            <w:vMerge w:val="continue"/>
            <w:vAlign w:val="center"/>
          </w:tcPr>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横州市峦城镇中心卫生院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iCs w:val="0"/>
                <w:color w:val="0C0C0C"/>
                <w:kern w:val="0"/>
                <w:sz w:val="26"/>
                <w:szCs w:val="26"/>
                <w:highlight w:val="none"/>
                <w:u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17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兴宁区嘉和城社区卫生服务中心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18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青秀区刘圩镇中心卫生院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19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西乡塘区北湖安居社区卫生服务中心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南宁市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武鸣区府城中心卫生院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横州市陶圩镇中心卫生院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宾阳县甘棠中心卫生院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上林县三里镇中心卫生院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上林县大丰镇卫生院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25</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鱼峰区阳和街道社区卫生服务中心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w:t>
            </w:r>
            <w:r>
              <w:rPr>
                <w:rStyle w:val="14"/>
                <w:rFonts w:hint="eastAsia" w:ascii="仿宋_GB2312" w:hAnsi="仿宋_GB2312" w:eastAsia="仿宋_GB2312" w:cs="仿宋_GB2312"/>
                <w:sz w:val="26"/>
                <w:szCs w:val="26"/>
                <w:highlight w:val="none"/>
                <w:lang w:val="en-US" w:eastAsia="zh-CN" w:bidi="ar"/>
              </w:rPr>
              <w:t>北区雅儒社区卫生服务中心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鱼峰区雒容镇中心卫生院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柳南区柳南街道社区卫生服务中心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柳北区沙塘镇中心卫生院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柳江区进德镇卫生院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鱼峰区五里亭街道社区卫生服务中心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柳江区百朋中心卫生院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柳江区穿山中心卫生院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鹿寨县鹿寨镇中心卫生院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35</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桂林市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七星区东江社区卫生服务中心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秀峰区秀峰街道办事处秀峰社区卫生服务中心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叠彩区叠彩街道办事处社区卫生服务中心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象山区南门街道办事处南门社区卫生服务中心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39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灵川县大圩镇中心卫生院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灵川县定江镇中心卫生院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41</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梧州市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苍梧县石桥中心卫生院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岑溪市归义镇卫生院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43</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梧州市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藤县太平镇中心卫生院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万秀区东兴社区卫生服务中心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万秀区夏郢镇卫生院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藤县</w:t>
            </w:r>
            <w:r>
              <w:rPr>
                <w:rFonts w:hint="eastAsia" w:ascii="仿宋" w:hAnsi="仿宋" w:eastAsia="仿宋" w:cs="仿宋"/>
                <w:i w:val="0"/>
                <w:color w:val="000000"/>
                <w:kern w:val="0"/>
                <w:sz w:val="26"/>
                <w:szCs w:val="26"/>
                <w:highlight w:val="none"/>
                <w:u w:val="none"/>
                <w:lang w:val="en-US" w:eastAsia="zh-CN" w:bidi="ar"/>
              </w:rPr>
              <w:t>濛</w:t>
            </w:r>
            <w:r>
              <w:rPr>
                <w:rStyle w:val="15"/>
                <w:rFonts w:hint="eastAsia" w:ascii="仿宋_GB2312" w:hAnsi="仿宋_GB2312" w:eastAsia="仿宋_GB2312" w:cs="仿宋_GB2312"/>
                <w:sz w:val="26"/>
                <w:szCs w:val="26"/>
                <w:highlight w:val="none"/>
                <w:lang w:val="en-US" w:eastAsia="zh-CN" w:bidi="ar"/>
              </w:rPr>
              <w:t>江镇中心卫生院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岑溪市糯垌中心卫生院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岑溪市南渡中心卫生院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49</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color w:val="0C0C0C"/>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北海市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合浦县山口镇中心卫生院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合浦县常乐镇中心卫生院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51</w:t>
            </w:r>
          </w:p>
        </w:tc>
        <w:tc>
          <w:tcPr>
            <w:tcW w:w="127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防城港市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东兴市东兴镇卫生院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52</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r>
              <w:rPr>
                <w:rFonts w:hint="eastAsia" w:ascii="仿宋_GB2312" w:hAnsi="仿宋_GB2312" w:eastAsia="仿宋_GB2312" w:cs="仿宋_GB2312"/>
                <w:i w:val="0"/>
                <w:color w:val="000000"/>
                <w:kern w:val="0"/>
                <w:sz w:val="26"/>
                <w:szCs w:val="26"/>
                <w:highlight w:val="none"/>
                <w:u w:val="none"/>
                <w:lang w:val="en-US" w:eastAsia="zh-CN" w:bidi="ar"/>
              </w:rPr>
              <w:t>钦州市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灵山县陆屋镇中心卫生院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钦北区小董镇中心卫生院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钦北区大寺镇中心卫生院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灵山县灵城镇卫生院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灵山县武利镇中心卫生院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color w:val="0C0C0C"/>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灵山县伯劳镇卫生院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浦北县北通中心卫生院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59</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玉林市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容县杨梅镇中心卫生院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容县县底镇中心卫生院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auto"/>
                <w:kern w:val="0"/>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容县石头镇中心卫生院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陆川县乌石镇中心卫生院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博白县东平中心卫生院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2"/>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玉州区茂林镇卫生院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北流市北流镇陵城卫生院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66</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玉林市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2"/>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北流市民乐镇中心卫生院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2"/>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北流市白马镇中心卫生院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2"/>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北流市六麻镇中心卫生院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69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2"/>
                <w:sz w:val="26"/>
                <w:szCs w:val="26"/>
                <w:highlight w:val="none"/>
                <w:u w:val="none"/>
                <w:lang w:val="en-US" w:eastAsia="zh-CN" w:bidi="ar-SA"/>
              </w:rPr>
            </w:pPr>
            <w:r>
              <w:rPr>
                <w:rFonts w:hint="eastAsia" w:ascii="仿宋_GB2312" w:hAnsi="仿宋_GB2312" w:eastAsia="仿宋_GB2312" w:cs="仿宋_GB2312"/>
                <w:i w:val="0"/>
                <w:color w:val="000000"/>
                <w:kern w:val="0"/>
                <w:sz w:val="26"/>
                <w:szCs w:val="26"/>
                <w:highlight w:val="none"/>
                <w:u w:val="none"/>
                <w:lang w:val="en-US" w:eastAsia="zh-CN" w:bidi="ar"/>
              </w:rPr>
              <w:t>北流市西</w:t>
            </w:r>
            <w:r>
              <w:rPr>
                <w:rFonts w:hint="eastAsia" w:ascii="仿宋" w:hAnsi="仿宋" w:eastAsia="仿宋" w:cs="仿宋"/>
                <w:i w:val="0"/>
                <w:color w:val="000000"/>
                <w:kern w:val="0"/>
                <w:sz w:val="26"/>
                <w:szCs w:val="26"/>
                <w:highlight w:val="none"/>
                <w:u w:val="none"/>
                <w:lang w:val="en-US" w:eastAsia="zh-CN" w:bidi="ar"/>
              </w:rPr>
              <w:t>埌</w:t>
            </w:r>
            <w:r>
              <w:rPr>
                <w:rFonts w:hint="eastAsia" w:ascii="仿宋_GB2312" w:hAnsi="仿宋_GB2312" w:eastAsia="仿宋_GB2312" w:cs="仿宋_GB2312"/>
                <w:i w:val="0"/>
                <w:color w:val="000000"/>
                <w:kern w:val="0"/>
                <w:sz w:val="26"/>
                <w:szCs w:val="26"/>
                <w:highlight w:val="none"/>
                <w:u w:val="none"/>
                <w:lang w:val="en-US" w:eastAsia="zh-CN" w:bidi="ar"/>
              </w:rPr>
              <w:t>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容县罗江镇中心卫生院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容县自良镇中心卫生院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sz w:val="26"/>
                <w:szCs w:val="26"/>
                <w:highlight w:val="none"/>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容县杨村镇卫生院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容县六王镇中心卫生院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74</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陆川县米场镇卫生院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陆川县清湖镇中心卫生院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陆川县马坡镇中心卫生院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陆川县平乐镇中心卫生院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博白县三滩镇中心卫生院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79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北流市石窝镇卫生院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陆川县良田镇中心卫生院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陆川县大桥镇卫生院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博白县龙潭中心卫生院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博白县文地中心卫生院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84</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贺州市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八步区信都中心卫生</w:t>
            </w:r>
            <w:r>
              <w:rPr>
                <w:rStyle w:val="16"/>
                <w:rFonts w:hint="eastAsia" w:ascii="仿宋_GB2312" w:hAnsi="仿宋_GB2312" w:eastAsia="仿宋_GB2312" w:cs="仿宋_GB2312"/>
                <w:sz w:val="26"/>
                <w:szCs w:val="26"/>
                <w:highlight w:val="none"/>
                <w:lang w:val="en-US" w:eastAsia="zh-CN" w:bidi="ar"/>
              </w:rPr>
              <w:t>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八步区桂岭中心卫生</w:t>
            </w:r>
            <w:r>
              <w:rPr>
                <w:rStyle w:val="16"/>
                <w:rFonts w:hint="eastAsia" w:ascii="仿宋_GB2312" w:hAnsi="仿宋_GB2312" w:eastAsia="仿宋_GB2312" w:cs="仿宋_GB2312"/>
                <w:sz w:val="26"/>
                <w:szCs w:val="26"/>
                <w:highlight w:val="none"/>
                <w:lang w:val="en-US" w:eastAsia="zh-CN" w:bidi="ar"/>
              </w:rPr>
              <w:t>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平桂区西湾社区卫生服务中心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八步区铺门镇中心卫生院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钟山县清塘中心卫生院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89</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贺州市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钟山县公安中心卫生院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90</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钟山县钟山镇卫生院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91</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富川瑶族自治县富阳镇卫生院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92</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昭平县黄姚中心卫生院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93</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八步区建中社区卫生服务中心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94</w:t>
            </w:r>
          </w:p>
        </w:tc>
        <w:tc>
          <w:tcPr>
            <w:tcW w:w="1270" w:type="dxa"/>
            <w:vMerge w:val="restart"/>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来宾市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兴宾区河西街道办事处社区卫生服务中心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95</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武宣县武宣镇卫生院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96</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武宣县桐岭中心卫生院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97</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兴宾区城东街道办事处城南社区卫生服务中心</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98</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兴宾区迁江镇中心卫生院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99</w:t>
            </w:r>
          </w:p>
        </w:tc>
        <w:tc>
          <w:tcPr>
            <w:tcW w:w="1270" w:type="dxa"/>
            <w:vMerge w:val="continue"/>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武宣县禄新镇中心卫生院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b w:val="0"/>
                <w:bCs/>
                <w:color w:val="0C0C0C"/>
                <w:kern w:val="0"/>
                <w:sz w:val="26"/>
                <w:szCs w:val="26"/>
                <w:highlight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100</w:t>
            </w:r>
          </w:p>
        </w:tc>
        <w:tc>
          <w:tcPr>
            <w:tcW w:w="127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崇左市</w:t>
            </w:r>
          </w:p>
        </w:tc>
        <w:tc>
          <w:tcPr>
            <w:tcW w:w="5580"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大新县雷平中心卫生院</w:t>
            </w:r>
          </w:p>
        </w:tc>
        <w:tc>
          <w:tcPr>
            <w:tcW w:w="1508" w:type="dxa"/>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iCs w:val="0"/>
                <w:color w:val="0C0C0C"/>
                <w:kern w:val="0"/>
                <w:sz w:val="26"/>
                <w:szCs w:val="26"/>
                <w:highlight w:val="none"/>
                <w:u w:val="none"/>
                <w:lang w:val="en-US" w:eastAsia="zh-CN"/>
              </w:rPr>
            </w:pPr>
            <w:r>
              <w:rPr>
                <w:rFonts w:hint="eastAsia" w:ascii="仿宋_GB2312" w:hAnsi="仿宋_GB2312" w:eastAsia="仿宋_GB2312" w:cs="仿宋_GB2312"/>
                <w:i w:val="0"/>
                <w:color w:val="000000"/>
                <w:kern w:val="0"/>
                <w:sz w:val="26"/>
                <w:szCs w:val="26"/>
                <w:highlight w:val="none"/>
                <w:u w:val="none"/>
                <w:lang w:val="en-US" w:eastAsia="zh-CN" w:bidi="ar"/>
              </w:rPr>
              <w:t>2021</w:t>
            </w:r>
          </w:p>
        </w:tc>
      </w:tr>
    </w:tbl>
    <w:p>
      <w:pPr>
        <w:widowControl/>
        <w:adjustRightInd w:val="0"/>
        <w:snapToGrid w:val="0"/>
        <w:spacing w:line="560" w:lineRule="exact"/>
        <w:ind w:firstLine="0"/>
        <w:rPr>
          <w:rFonts w:hint="eastAsia" w:ascii="仿宋_GB2312" w:eastAsia="仿宋_GB2312" w:cs="仿宋_GB2312"/>
          <w:sz w:val="28"/>
          <w:szCs w:val="28"/>
          <w:highlight w:val="none"/>
        </w:rPr>
        <w:sectPr>
          <w:pgSz w:w="11907" w:h="16840"/>
          <w:pgMar w:top="1701" w:right="1418" w:bottom="1417" w:left="1701" w:header="851" w:footer="992" w:gutter="0"/>
          <w:pgNumType w:fmt="decimal"/>
          <w:cols w:space="0" w:num="1"/>
          <w:rtlGutter w:val="0"/>
          <w:docGrid w:type="lines" w:linePitch="335" w:charSpace="0"/>
        </w:sect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r>
        <w:rPr>
          <w:rFonts w:hint="eastAsia" w:ascii="黑体" w:hAnsi="黑体" w:eastAsia="黑体" w:cs="黑体"/>
          <w:lang w:eastAsia="zh-CN"/>
        </w:rPr>
        <w:t>信息公开形式：主动公开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320" w:firstLineChars="100"/>
        <w:textAlignment w:val="auto"/>
        <w:outlineLvl w:val="9"/>
        <w:rPr>
          <w:rFonts w:hint="eastAsia" w:ascii="仿宋_GB2312" w:hAnsi="仿宋_GB2312" w:eastAsia="仿宋_GB2312" w:cs="仿宋_GB2312"/>
          <w:sz w:val="28"/>
          <w:szCs w:val="2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34290</wp:posOffset>
                </wp:positionV>
                <wp:extent cx="5524500" cy="635"/>
                <wp:effectExtent l="0" t="0" r="0" b="0"/>
                <wp:wrapNone/>
                <wp:docPr id="3" name="直接连接符 3"/>
                <wp:cNvGraphicFramePr/>
                <a:graphic xmlns:a="http://schemas.openxmlformats.org/drawingml/2006/main">
                  <a:graphicData uri="http://schemas.microsoft.com/office/word/2010/wordprocessingShape">
                    <wps:wsp>
                      <wps:cNvCnPr/>
                      <wps:spPr>
                        <a:xfrm flipV="1">
                          <a:off x="1059815" y="9196705"/>
                          <a:ext cx="55245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pt;margin-top:2.7pt;height:0.05pt;width:435pt;z-index:251659264;mso-width-relative:page;mso-height-relative:page;" filled="f" stroked="t" coordsize="21600,21600" o:gfxdata="UEsDBAoAAAAAAIdO4kAAAAAAAAAAAAAAAAAEAAAAZHJzL1BLAwQUAAAACACHTuJA/bwvY9QAAAAG&#10;AQAADwAAAGRycy9kb3ducmV2LnhtbE2PwU7DMBBE70j8g7VI3Fq7KY1KiFMhBFyQkCiBsxMvSYS9&#10;jmI3LX/PcqLH0Yxm3pS7k3dixikOgTSslgoEUhvsQJ2G+v1psQURkyFrXCDU8IMRdtXlRWkKG470&#10;hvM+dYJLKBZGQ5/SWEgZ2x69icswIrH3FSZvEsupk3YyRy73TmZK5dKbgXihNyM+9Nh+7w9ew/3n&#10;y+P6dW58cPa2qz+sr9VzpvX11UrdgUh4Sv9h+MNndKiYqQkHslE4DYt1xkkNmxsQbG/znJ80rDcg&#10;q1Ke41e/UEsDBBQAAAAIAIdO4kBTjNrgCAIAAOsDAAAOAAAAZHJzL2Uyb0RvYy54bWytUzuO2zAQ&#10;7QPkDgT7WLIdOWvB8hZrbJp8FsinpylSIsAfOFzLvkQuECBdUqXcPrfJ5hgZUsom2TRbxAXNGQ7f&#10;zHt82pwfjSYHEUA529D5rKREWO5aZbuGvnt7+eSMEojMtkw7Kxp6EkDPt48fbQZfi4XrnW5FIAhi&#10;oR58Q/sYfV0UwHthGMycFxYPpQuGRQxDV7SBDYhudLEoy1UxuND64LgAwOxuPKQTYngIoJNScbFz&#10;/NoIG0fUIDSLSAl65YFu87RSCh5fSwkiEt1QZBrzik1wv09rsd2wugvM94pPI7CHjHCPk2HKYtM7&#10;qB2LjFwH9Q+UUTw4cDLOuDPFSCQrgizm5T1t3vTMi8wFpQZ/Jzr8P1j+6nAViGobuqTEMoMPfvvx&#10;5vuHzz++fcL19usXskwiDR5qrL2wV2GKwF+FxPgogyFSK/8e3ZQ1QFbkiEFZrc/mFSWnhq7n69Wz&#10;shrlFsdIOBZU1eJpVeJLcKxYLfNpMQImYB8gPhfOkLRpqFY2acFqdngBEYfA0l8lKW3dpdI6v6e2&#10;ZMCe1QKbc4YelegN3BqPPMF2lDDdofl5DBkRnFZtup1wIHT7Cx3IgSXL5N9Y1LNWjNk1Tj1ZB1h8&#10;6doxjYSnPI42weQx/8JPM+8Y9OOdfJRkwSva4l8SepQ27fauPWXFcx49kAsnvyaT/Rnn27+/0e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wvY9QAAAAGAQAADwAAAAAAAAABACAAAAAiAAAAZHJz&#10;L2Rvd25yZXYueG1sUEsBAhQAFAAAAAgAh07iQFOM2uAIAgAA6wMAAA4AAAAAAAAAAQAgAAAAIwEA&#10;AGRycy9lMm9Eb2MueG1sUEsFBgAAAAAGAAYAWQEAAJ0FAAAAAA==&#10;">
                <v:fill on="f" focussize="0,0"/>
                <v:stroke color="#000000 [32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402590</wp:posOffset>
                </wp:positionV>
                <wp:extent cx="5524500" cy="6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5245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31.7pt;height:0.05pt;width:435pt;z-index:251661312;mso-width-relative:page;mso-height-relative:page;" filled="f" stroked="t" coordsize="21600,21600" o:gfxdata="UEsDBAoAAAAAAIdO4kAAAAAAAAAAAAAAAAAEAAAAZHJzL1BLAwQUAAAACACHTuJA5MNmO9MAAAAG&#10;AQAADwAAAGRycy9kb3ducmV2LnhtbE2OzU7DMBCE70h9B2uRuFG7LZQS4lQIAZdKlSiBsxMvSVR7&#10;HcVuWt6+2xMc50czX74+eSdGHGIXSMNsqkAg1cF21GgoP99uVyBiMmSNC4QafjHCuphc5Saz4Ugf&#10;OO5SI3iEYmY0tCn1mZSxbtGbOA09Emc/YfAmsRwaaQdz5HHv5FyppfSmI35oTY8vLdb73cFreP7e&#10;vC62Y+WDs49N+WV9qd7nWt9cz9QTiISn9FeGCz6jQ8FMVTiQjcJpYO6kYbm4A8Hp6kGxUV2Me5BF&#10;Lv/jF2dQSwMEFAAAAAgAh07iQAo26eL4AQAA3wMAAA4AAABkcnMvZTJvRG9jLnhtbK1Ty47TMBTd&#10;I/EPlvc0aWlGTNR0FlMNGx4j8djfOk5jyS/5epr2J/gBJHawYsmev2H4DK6dTIFhMwuysOz7OL7n&#10;+GR1cTCa7WVA5WzD57OSM2mFa5XdNfzd26snzzjDCLYF7axs+FEiv1g/frQafC0Xrne6lYERiMV6&#10;8A3vY/R1UaDopQGcOS8tJTsXDEQ6hl3RBhgI3ehiUZZnxeBC64MTEpGimzHJJ8TwEEDXdUrIjRM3&#10;Rto4ogapIRIl7JVHvs7Tdp0U8XXXoYxMN5yYxrzSJbTfprVYr6DeBfC9EtMI8JAR7nEyoCxdeoLa&#10;QAR2E9Q/UEaJ4NB1cSacKUYiWRFiMS/vafOmBy8zF5Ia/Ul0/H+w4tX+OjDVNnzJmQVDD3778duP&#10;D59/fv9E6+3XL2yZRBo81lR7aa/DdEJ/HRLjQxcM67Ty78lNWQNixQ5Z4uNJYnmITFCwqhbLqiT1&#10;BeXOnlYJuxhBEpgPGJ9LZ1jaNFwrm/hDDfsXGMfSu5IUtu5KaU1xqLVlQ8PPq0VF2EC+7MgPtDWe&#10;uKHdcQZ6R4YXMWREdFq1qTs1Y9htL3Vge0g2yd9Y1EMrx+g5TT3ZBSG+dO0Ynpd3cWIxwWRGf+Gn&#10;mTeA/diTUxNxbak6iTvKmXZb1x6zyjlO757xJo8mY/15zt2//8v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TDZjvTAAAABgEAAA8AAAAAAAAAAQAgAAAAIgAAAGRycy9kb3ducmV2LnhtbFBLAQIU&#10;ABQAAAAIAIdO4kAKNuni+AEAAN8DAAAOAAAAAAAAAAEAIAAAACIBAABkcnMvZTJvRG9jLnhtbFBL&#10;BQYAAAAABgAGAFkBAACMBQAAAAA=&#10;">
                <v:fill on="f" focussize="0,0"/>
                <v:stroke color="#000000 [3200]" joinstyle="round"/>
                <v:imagedata o:title=""/>
                <o:lock v:ext="edit" aspectratio="f"/>
              </v:line>
            </w:pict>
          </mc:Fallback>
        </mc:AlternateContent>
      </w:r>
      <w:r>
        <w:rPr>
          <w:rFonts w:hint="eastAsia" w:ascii="仿宋_GB2312" w:hAnsi="仿宋_GB2312" w:eastAsia="仿宋_GB2312" w:cs="仿宋_GB2312"/>
          <w:sz w:val="28"/>
          <w:szCs w:val="28"/>
          <w:lang w:eastAsia="zh-CN"/>
        </w:rPr>
        <w:t>广西壮族自治区卫生健康委办公室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2023年7月11日印发</w:t>
      </w:r>
    </w:p>
    <w:sectPr>
      <w:footerReference r:id="rId4" w:type="default"/>
      <w:pgSz w:w="11907" w:h="16840"/>
      <w:pgMar w:top="1701" w:right="1418" w:bottom="1417" w:left="1701" w:header="851" w:footer="992" w:gutter="0"/>
      <w:pgNumType w:fmt="decimal"/>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39700"/>
              <wp:effectExtent l="0" t="0" r="0" b="0"/>
              <wp:wrapNone/>
              <wp:docPr id="18" name="文本框"/>
              <wp:cNvGraphicFramePr/>
              <a:graphic xmlns:a="http://schemas.openxmlformats.org/drawingml/2006/main">
                <a:graphicData uri="http://schemas.microsoft.com/office/word/2010/wordprocessingShape">
                  <wps:wsp>
                    <wps:cNvSpPr/>
                    <wps:spPr>
                      <a:xfrm>
                        <a:off x="0" y="0"/>
                        <a:ext cx="9524" cy="139674"/>
                      </a:xfrm>
                      <a:prstGeom prst="rect">
                        <a:avLst/>
                      </a:prstGeom>
                      <a:noFill/>
                      <a:ln w="9525" cap="flat" cmpd="sng">
                        <a:noFill/>
                        <a:prstDash val="solid"/>
                        <a:miter/>
                      </a:ln>
                    </wps:spPr>
                    <wps:txbx>
                      <w:txbxContent>
                        <w:p>
                          <w:pPr>
                            <w:pStyle w:val="8"/>
                          </w:pP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1pt;width:0.75pt;mso-position-horizontal:center;mso-position-horizontal-relative:margin;mso-wrap-style:none;z-index:251659264;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NKVCU7/AQAA8QMAAA4AAABkcnMvZTJvRG9jLnhtbK1TzW4TMRC+I/EO&#10;lu9kk9AWusqmQkRFSAgqFR5g4vVmLflPHie74QHgDThx4d7nynMw9m6Sqlx64GJ/tsef5/tmvLjp&#10;jWY7GVA5W/HZZMqZtMLVym4q/u3r7au3nGEEW4N2VlZ8L5HfLF++WHS+lHPXOl3LwIjEYtn5ircx&#10;+rIoULTSAE6cl5YOGxcMRFqGTVEH6Ijd6GI+nV4VnQu1D05IRNpdDYd8ZAzPIXRNo4RcObE10saB&#10;NUgNkSRhqzzyZc62aaSIX5oGZWS64qQ05pEeIbxOY7FcQLkJ4FslxhTgOSk80WRAWXr0RLWCCGwb&#10;1D9URong0DVxIpwpBiHZEVIxmz7x5r4FL7MWshr9yXT8f7Ti8+4uMFVTJ1DdLRiq+OHXz8Pvh8Of&#10;H8mdzmNJQff+LowrJJik9k0waSYRrM+O7k+Oyj4yQZvXl/MLzgQdzF5fX725SIzF+aoPGD9IZ1gC&#10;FQ9Uruwi7D5hHEKPIekl626V1rQPpbasy/SXRA/Uhg2Vn6DxJAXtJtM8ik80K8CW7YA6AZ1W9VB7&#10;o6JMyigrbWlKegeFCcV+3dNhgmtX78kq+jmUaevCd8466puKW/omnOmPlsqSWuwIwhGsjwCsoIsV&#10;p0QH+D4Orbj1QW1a4p3lvNG/20bSmi04vz1mR52Q0x27NrXa43WOOv/U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CG60AAAAAIBAAAPAAAAAAAAAAEAIAAAACIAAABkcnMvZG93bnJldi54bWxQ&#10;SwECFAAUAAAACACHTuJA0pUJTv8BAADxAwAADgAAAAAAAAABACAAAAAfAQAAZHJzL2Uyb0RvYy54&#10;bWxQSwUGAAAAAAYABgBZAQAAkAUAAAAA&#10;">
              <v:fill on="f" focussize="0,0"/>
              <v:stroke on="f" joinstyle="miter"/>
              <v:imagedata o:title=""/>
              <o:lock v:ext="edit" aspectratio="f"/>
              <v:textbox inset="0mm,0mm,0mm,0mm" style="mso-fit-shape-to-text:t;">
                <w:txbxContent>
                  <w:p>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ascii="宋体"/>
        <w:sz w:val="28"/>
        <w:szCs w:val="28"/>
      </w:rPr>
    </w:pPr>
    <w:r>
      <w:rPr>
        <w:sz w:val="28"/>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9525" cy="139700"/>
              <wp:effectExtent l="0" t="0" r="0" b="0"/>
              <wp:wrapNone/>
              <wp:docPr id="6" name="文本框"/>
              <wp:cNvGraphicFramePr/>
              <a:graphic xmlns:a="http://schemas.openxmlformats.org/drawingml/2006/main">
                <a:graphicData uri="http://schemas.microsoft.com/office/word/2010/wordprocessingShape">
                  <wps:wsp>
                    <wps:cNvSpPr/>
                    <wps:spPr>
                      <a:xfrm>
                        <a:off x="0" y="0"/>
                        <a:ext cx="9524" cy="139674"/>
                      </a:xfrm>
                      <a:prstGeom prst="rect">
                        <a:avLst/>
                      </a:prstGeom>
                      <a:noFill/>
                      <a:ln w="9525" cap="flat" cmpd="sng">
                        <a:noFill/>
                        <a:prstDash val="solid"/>
                        <a:miter/>
                      </a:ln>
                    </wps:spPr>
                    <wps:txbx>
                      <w:txbxContent>
                        <w:p>
                          <w:pPr>
                            <w:pStyle w:val="8"/>
                          </w:pP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1pt;width:0.75pt;mso-position-horizontal:center;mso-position-horizontal-relative:margin;mso-wrap-style:none;z-index:251662336;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MtfR6P/AQAA8AMAAA4AAABkcnMvZTJvRG9jLnhtbK1TTW4TMRTeI3EH&#10;y3sySWgDHWVSIaIiJASVCgdwPPaMJf/Jz8lMOADcgBUb9j1XzsGzZ5JU7aaLbuzP9vPn933veXnd&#10;G012IoBytqKzyZQSYbmrlW0q+uP7zZv3lEBktmbaWVHRvQB6vXr9atn5Usxd63QtAkESC2XnK9rG&#10;6MuiAN4Kw2DivLB4KF0wLOIyNEUdWIfsRhfz6XRRdC7UPjguAHB3PRzSkTE8h9BJqbhYO741wsaB&#10;NQjNIkqCVnmgq5ytlILHb1KCiERXFJXGPOIjiDdpLFZLVjaB+VbxMQX2nBQeaTJMWXz0RLVmkZFt&#10;UE+ojOLBgZNxwp0pBiHZEVQxmz7y5q5lXmQtaDX4k+nwcrT86+42EFVXdEGJZQYLfvjz+/D3/vDv&#10;VzKn81BizJ2/DeMKECalvQwmzaiB9NnQ/clQ0UfCcfPqcn5BCceD2durxbuLxFicr/oA8ZNwhiRQ&#10;0YDVyiay3ReIQ+gxJL1k3Y3SGvdZqS3pMv0l0jPsQonVR2g8KgHbZJoH8YlmzaAlO4aNAE6reii9&#10;UVEkZZiVtjglvYPChGK/6fEwwY2r9+gUfhzMtHXhJyUdtk1FLf4SSvRni1VJHXYE4Qg2R8Asx4sV&#10;xUQH+DEOnbj1QTUt8s5y3uA/bCNqzRac3x6zw0bI6Y5Nmzrt4TpHnT/q6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CG60AAAAAIBAAAPAAAAAAAAAAEAIAAAACIAAABkcnMvZG93bnJldi54bWxQ&#10;SwECFAAUAAAACACHTuJAy19Ho/8BAADwAwAADgAAAAAAAAABACAAAAAfAQAAZHJzL2Uyb0RvYy54&#10;bWxQSwUGAAAAAAYABgBZAQAAkAUAAAAA&#10;">
              <v:fill on="f" focussize="0,0"/>
              <v:stroke on="f" joinstyle="miter"/>
              <v:imagedata o:title=""/>
              <o:lock v:ext="edit" aspectratio="f"/>
              <v:textbox inset="0mm,0mm,0mm,0mm" style="mso-fit-shape-to-text:t;">
                <w:txbxContent>
                  <w:p>
                    <w:pPr>
                      <w:pStyle w:val="8"/>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7"/>
  <w:displayHorizontalDrawingGridEvery w:val="1"/>
  <w:displayVerticalDrawingGridEvery w:val="2"/>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jI0NjQ4ZjMxMmVlZWQ0NDJmZDFhOTdmMzE0NDdjMWQifQ=="/>
  </w:docVars>
  <w:rsids>
    <w:rsidRoot w:val="00000000"/>
    <w:rsid w:val="001044E7"/>
    <w:rsid w:val="01C90A5F"/>
    <w:rsid w:val="08C439FE"/>
    <w:rsid w:val="0C4B3097"/>
    <w:rsid w:val="1139206D"/>
    <w:rsid w:val="1B601E98"/>
    <w:rsid w:val="1C7056A9"/>
    <w:rsid w:val="216B497A"/>
    <w:rsid w:val="233A0AD1"/>
    <w:rsid w:val="325DAC88"/>
    <w:rsid w:val="373F54A3"/>
    <w:rsid w:val="38AD1EF4"/>
    <w:rsid w:val="432E3C17"/>
    <w:rsid w:val="46A5039B"/>
    <w:rsid w:val="49583FA3"/>
    <w:rsid w:val="4FD96283"/>
    <w:rsid w:val="50C110BA"/>
    <w:rsid w:val="5A6A51EF"/>
    <w:rsid w:val="62D07C29"/>
    <w:rsid w:val="697B57AE"/>
    <w:rsid w:val="6E7194E2"/>
    <w:rsid w:val="6FC7C29D"/>
    <w:rsid w:val="721E60DF"/>
    <w:rsid w:val="73BFCC2F"/>
    <w:rsid w:val="74DE2CBB"/>
    <w:rsid w:val="76261D92"/>
    <w:rsid w:val="767FE812"/>
    <w:rsid w:val="779F0857"/>
    <w:rsid w:val="7C387748"/>
    <w:rsid w:val="7DF633F0"/>
    <w:rsid w:val="7F7E1805"/>
    <w:rsid w:val="7FFD4D9A"/>
    <w:rsid w:val="7FFEDC43"/>
    <w:rsid w:val="DFD6D037"/>
    <w:rsid w:val="E9A741FD"/>
    <w:rsid w:val="EFD54F50"/>
    <w:rsid w:val="FBEFD6E4"/>
    <w:rsid w:val="FDF60115"/>
    <w:rsid w:val="FDFBE125"/>
    <w:rsid w:val="FE7FB660"/>
    <w:rsid w:val="FFDACF7A"/>
    <w:rsid w:val="FFEF4CF0"/>
    <w:rsid w:val="FFFEE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仿宋_GB2312"/>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widowControl/>
      <w:spacing w:before="240" w:after="60"/>
      <w:jc w:val="center"/>
      <w:outlineLvl w:val="0"/>
    </w:pPr>
    <w:rPr>
      <w:rFonts w:ascii="Cambria" w:hAnsi="Cambria" w:cs="Arial"/>
      <w:b/>
      <w:bCs/>
      <w:sz w:val="32"/>
      <w:szCs w:val="32"/>
      <w:lang w:bidi="ar-SA"/>
    </w:rPr>
  </w:style>
  <w:style w:type="paragraph" w:styleId="5">
    <w:name w:val="index 5"/>
    <w:basedOn w:val="1"/>
    <w:next w:val="1"/>
    <w:qFormat/>
    <w:uiPriority w:val="0"/>
    <w:pPr>
      <w:ind w:left="1680"/>
    </w:pPr>
  </w:style>
  <w:style w:type="paragraph" w:styleId="6">
    <w:name w:val="Body Text Indent"/>
    <w:basedOn w:val="1"/>
    <w:next w:val="1"/>
    <w:qFormat/>
    <w:uiPriority w:val="0"/>
    <w:pPr>
      <w:spacing w:after="120"/>
      <w:ind w:left="20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character" w:styleId="12">
    <w:name w:val="page number"/>
    <w:basedOn w:val="11"/>
    <w:qFormat/>
    <w:uiPriority w:val="0"/>
  </w:style>
  <w:style w:type="character" w:customStyle="1" w:styleId="13">
    <w:name w:val="font31"/>
    <w:qFormat/>
    <w:uiPriority w:val="0"/>
    <w:rPr>
      <w:rFonts w:ascii="宋体" w:eastAsia="宋体" w:cs="宋体"/>
      <w:b/>
      <w:color w:val="000000"/>
      <w:sz w:val="28"/>
      <w:szCs w:val="28"/>
      <w:u w:val="none"/>
      <w:lang w:bidi="ar-SA"/>
    </w:rPr>
  </w:style>
  <w:style w:type="character" w:customStyle="1" w:styleId="14">
    <w:name w:val="font41"/>
    <w:basedOn w:val="11"/>
    <w:qFormat/>
    <w:uiPriority w:val="0"/>
    <w:rPr>
      <w:rFonts w:hint="eastAsia" w:ascii="仿宋_GB2312" w:eastAsia="仿宋_GB2312" w:cs="仿宋_GB2312"/>
      <w:color w:val="000000"/>
      <w:sz w:val="28"/>
      <w:szCs w:val="28"/>
      <w:u w:val="none"/>
    </w:rPr>
  </w:style>
  <w:style w:type="character" w:customStyle="1" w:styleId="15">
    <w:name w:val="font11"/>
    <w:basedOn w:val="11"/>
    <w:qFormat/>
    <w:uiPriority w:val="0"/>
    <w:rPr>
      <w:rFonts w:hint="eastAsia" w:ascii="仿宋_GB2312" w:eastAsia="仿宋_GB2312" w:cs="仿宋_GB2312"/>
      <w:color w:val="000000"/>
      <w:sz w:val="28"/>
      <w:szCs w:val="28"/>
      <w:u w:val="none"/>
    </w:rPr>
  </w:style>
  <w:style w:type="character" w:customStyle="1" w:styleId="16">
    <w:name w:val="font2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6</Pages>
  <Words>1646</Words>
  <Characters>1978</Characters>
  <Lines>298</Lines>
  <Paragraphs>258</Paragraphs>
  <TotalTime>3</TotalTime>
  <ScaleCrop>false</ScaleCrop>
  <LinksUpToDate>false</LinksUpToDate>
  <CharactersWithSpaces>2028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2017-11-23T02:14:00Z</dcterms:created>
  <dc:creator>Cynthia</dc:creator>
  <cp:lastModifiedBy>张凯莹</cp:lastModifiedBy>
  <cp:lastPrinted>2023-07-11T02:28:00Z</cp:lastPrinted>
  <dcterms:modified xsi:type="dcterms:W3CDTF">2023-07-11T05:37:07Z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7F6E6869A96F4ACF83D6A05FB3EB8175</vt:lpwstr>
  </property>
</Properties>
</file>