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pacing w:line="560" w:lineRule="exact"/>
        <w:ind w:left="0" w:firstLine="0"/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身份识别核验设备和应用功能需求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color w:val="auto"/>
          <w:sz w:val="44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识别核验设备与应用应至少具备居民身份证识读、活体人脸比对与核验、结果数据上传、查询、统计和实时反馈等基础功能，如在基础功能上具备指纹识别功能的，相应指纹采集与识别功能模块应通过公安部门的检验认证。</w:t>
      </w:r>
      <w:r>
        <w:rPr>
          <w:rFonts w:ascii="仿宋_GB2312" w:hAnsi="仿宋_GB2312" w:eastAsia="仿宋_GB2312" w:cs="仿宋_GB2312"/>
          <w:color w:val="auto"/>
          <w:sz w:val="32"/>
        </w:rPr>
        <w:t>应用可以选择以下两种部署方式之一，一是直接内置在专用的核验设备中，二是安装在与核验设备相连接的电脑终端设备上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一、应用功能要求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基本信息配置：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应用提供操作界面，支持配置机构代码、机构名称、科室名称、接口秘钥配置。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接口地址配置：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应用提供操作界面配置、调整数据上传接口地址及验证通联状态功能。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设备注册登记：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通过注册登记接口上传设备序列号、设备型号、设备厂家等信息。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核验记录管理：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提供按照时间索引，列表、查看、导出核验数据。核验数据须展示上传状态，上传失败的数据可自动重传或手动点击重传。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（五）核验记录单打印: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提供核验记录单打印功能。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设备登记注销：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通过注销登记接口上传设备序列号等信息，进行设备下线注销操作。</w:t>
      </w:r>
    </w:p>
    <w:p>
      <w:pPr>
        <w:spacing w:line="560" w:lineRule="exact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二、建议性能指标要求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支持证件类型：二代身份证、港澳台居住证、外国人永久居留身份证等。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分辨率：不低于1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768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接口支持：COM，USB等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网卡：内置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身份证识别模块：内置公安部门认证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的读卡器。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阅读器：内置公安部门认证的阅读器。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有线网口：内置。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屏幕：单屏或双屏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活体认证功能：内置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摄像头：内置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人脸角度：左右30度；上下30度。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识别速度：0.1-1秒/人。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存储：本地存储结果万条以上，数据最少存储60天。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指纹模块：内置或支持扩展。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识别距离：0.5-1.5米。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工作温度：-10℃至+50℃。</w:t>
      </w:r>
    </w:p>
    <w:p/>
    <w:sectPr>
      <w:footerReference r:id="rId3" w:type="default"/>
      <w:pgSz w:w="11906" w:h="16838"/>
      <w:pgMar w:top="1440" w:right="1576" w:bottom="1440" w:left="1576" w:header="851" w:footer="992" w:gutter="0"/>
      <w:pgNumType w:fmt="decimal" w:start="3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Y2VhNTQ3MDZkYTIyYmUwOGUwMDdhOTYzMTJmZGEifQ=="/>
  </w:docVars>
  <w:rsids>
    <w:rsidRoot w:val="563A0C3D"/>
    <w:rsid w:val="05305791"/>
    <w:rsid w:val="4B9A3991"/>
    <w:rsid w:val="563A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2024-07-01T01:37:00Z</dcterms:created>
  <dc:creator>唐诗琳</dc:creator>
  <cp:lastModifiedBy>唐诗琳</cp:lastModifiedBy>
  <dcterms:modified xsi:type="dcterms:W3CDTF">2024-07-01T01:37:27Z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1CA8FF032FA74B439912E53DFBFF768E_11</vt:lpwstr>
  </property>
</Properties>
</file>