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rPr>
        <w:t>附件</w:t>
      </w: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自治区第</w:t>
      </w:r>
      <w:r>
        <w:rPr>
          <w:rFonts w:hint="default" w:ascii="Times New Roman" w:hAnsi="Times New Roman" w:eastAsia="方正小标宋简体" w:cs="Times New Roman"/>
          <w:sz w:val="44"/>
          <w:szCs w:val="44"/>
          <w:lang w:val="en-US" w:eastAsia="zh-CN"/>
        </w:rPr>
        <w:t>二</w:t>
      </w:r>
      <w:r>
        <w:rPr>
          <w:rFonts w:hint="default" w:ascii="Times New Roman" w:hAnsi="Times New Roman" w:eastAsia="方正小标宋简体" w:cs="Times New Roman"/>
          <w:sz w:val="44"/>
          <w:szCs w:val="44"/>
        </w:rPr>
        <w:t>批药品临床综合</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评价主题和评价基地</w:t>
      </w:r>
      <w:r>
        <w:rPr>
          <w:rFonts w:hint="eastAsia" w:ascii="Times New Roman" w:hAnsi="Times New Roman" w:eastAsia="方正小标宋简体" w:cs="Times New Roman"/>
          <w:sz w:val="44"/>
          <w:szCs w:val="44"/>
          <w:lang w:eastAsia="zh-CN"/>
        </w:rPr>
        <w:t>拟确定</w:t>
      </w:r>
      <w:r>
        <w:rPr>
          <w:rFonts w:hint="default" w:ascii="Times New Roman" w:hAnsi="Times New Roman" w:eastAsia="方正小标宋简体" w:cs="Times New Roman"/>
          <w:sz w:val="44"/>
          <w:szCs w:val="44"/>
        </w:rPr>
        <w:t>名单</w:t>
      </w:r>
    </w:p>
    <w:p>
      <w:pPr>
        <w:spacing w:line="560" w:lineRule="exact"/>
        <w:jc w:val="center"/>
        <w:rPr>
          <w:rFonts w:hint="default" w:ascii="Times New Roman" w:hAnsi="Times New Roman" w:eastAsia="仿宋_GB2312" w:cs="Times New Roman"/>
          <w:sz w:val="32"/>
          <w:szCs w:val="32"/>
        </w:rPr>
      </w:pPr>
    </w:p>
    <w:tbl>
      <w:tblPr>
        <w:tblStyle w:val="4"/>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5600"/>
        <w:gridCol w:w="3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pPr>
              <w:spacing w:line="560" w:lineRule="exact"/>
              <w:jc w:val="center"/>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序号</w:t>
            </w:r>
          </w:p>
        </w:tc>
        <w:tc>
          <w:tcPr>
            <w:tcW w:w="5600" w:type="dxa"/>
            <w:noWrap w:val="0"/>
            <w:vAlign w:val="center"/>
          </w:tcPr>
          <w:p>
            <w:pPr>
              <w:spacing w:line="560" w:lineRule="exact"/>
              <w:jc w:val="center"/>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评价主题</w:t>
            </w:r>
          </w:p>
        </w:tc>
        <w:tc>
          <w:tcPr>
            <w:tcW w:w="3310" w:type="dxa"/>
            <w:noWrap w:val="0"/>
            <w:vAlign w:val="center"/>
          </w:tcPr>
          <w:p>
            <w:pPr>
              <w:spacing w:line="560" w:lineRule="exact"/>
              <w:jc w:val="center"/>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rPr>
              <w:t>评价基地</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lang w:val="en-US" w:eastAsia="zh-CN"/>
              </w:rPr>
              <w:t>牵头单位</w:t>
            </w:r>
            <w:r>
              <w:rPr>
                <w:rFonts w:hint="default" w:ascii="Times New Roman" w:hAnsi="Times New Roman" w:eastAsia="黑体" w:cs="Times New Roman"/>
                <w:b w:val="0"/>
                <w:bCs w:val="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5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布洛芬等非甾体类抗炎药治疗早产儿动脉导管未闭的药品临床综合评价</w:t>
            </w:r>
          </w:p>
        </w:tc>
        <w:tc>
          <w:tcPr>
            <w:tcW w:w="33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广西壮族自治区妇幼保健院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5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罗特西普治疗β地中海贫血的临床综合评价</w:t>
            </w:r>
          </w:p>
        </w:tc>
        <w:tc>
          <w:tcPr>
            <w:tcW w:w="33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广西医科大学第一附属医院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5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利伐沙班防治癌症相关静脉血栓栓塞症的临床综合评价</w:t>
            </w:r>
          </w:p>
        </w:tc>
        <w:tc>
          <w:tcPr>
            <w:tcW w:w="33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广西壮族自治区人民医院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5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PD-L1抑制剂治疗广泛期小细胞肺癌的临床综合评价</w:t>
            </w:r>
          </w:p>
        </w:tc>
        <w:tc>
          <w:tcPr>
            <w:tcW w:w="33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广西壮族自治区南溪山医院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p>
        </w:tc>
        <w:tc>
          <w:tcPr>
            <w:tcW w:w="5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PCSK9抑制剂治疗高胆固醇血症的临床综合评价</w:t>
            </w:r>
          </w:p>
        </w:tc>
        <w:tc>
          <w:tcPr>
            <w:tcW w:w="33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桂林市人民医院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p>
        </w:tc>
        <w:tc>
          <w:tcPr>
            <w:tcW w:w="5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奥美拉唑口服剂型治疗儿童幽门螺杆菌感染的临床综合评价</w:t>
            </w:r>
          </w:p>
        </w:tc>
        <w:tc>
          <w:tcPr>
            <w:tcW w:w="33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南宁市妇幼保健院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p>
        </w:tc>
        <w:tc>
          <w:tcPr>
            <w:tcW w:w="5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两种闭合三联吸入制剂用于慢性阻塞性肺疾病的临床综合评价</w:t>
            </w:r>
          </w:p>
        </w:tc>
        <w:tc>
          <w:tcPr>
            <w:tcW w:w="33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桂林医学院第二附属医院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p>
        </w:tc>
        <w:tc>
          <w:tcPr>
            <w:tcW w:w="5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替雷利珠单抗治疗非小细胞肺癌临床应用综合评价</w:t>
            </w:r>
          </w:p>
        </w:tc>
        <w:tc>
          <w:tcPr>
            <w:tcW w:w="33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柳州市工人医院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p>
        </w:tc>
        <w:tc>
          <w:tcPr>
            <w:tcW w:w="5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HIV职业暴露后预防用抗反转录病毒药物的临床综合评价</w:t>
            </w:r>
          </w:p>
        </w:tc>
        <w:tc>
          <w:tcPr>
            <w:tcW w:w="33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贺州市人民医院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p>
        </w:tc>
        <w:tc>
          <w:tcPr>
            <w:tcW w:w="5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利福平耐药结核病A、B组药品综合评价与遴选</w:t>
            </w:r>
          </w:p>
        </w:tc>
        <w:tc>
          <w:tcPr>
            <w:tcW w:w="33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广西壮族自治区胸科医院</w:t>
            </w:r>
          </w:p>
        </w:tc>
      </w:tr>
    </w:tbl>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注：排序不分先后。</w:t>
      </w:r>
    </w:p>
    <w:p>
      <w:pPr>
        <w:tabs>
          <w:tab w:val="left" w:pos="866"/>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1A41003D"/>
    <w:rsid w:val="1A410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2023-10-30T02:34:00Z</dcterms:created>
  <dc:creator>粗尾鸭</dc:creator>
  <cp:lastModifiedBy>粗尾鸭</cp:lastModifiedBy>
  <dcterms:modified xsi:type="dcterms:W3CDTF">2023-10-30T02:35:14Z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4D3045A01AF84651B7D7F8DBA5C025A4_11</vt:lpwstr>
  </property>
</Properties>
</file>