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小标宋_GBK"/>
          <w:sz w:val="28"/>
          <w:szCs w:val="28"/>
          <w:lang w:val="en-US" w:eastAsia="zh-CN"/>
        </w:rPr>
      </w:pPr>
      <w:r>
        <w:rPr>
          <w:rFonts w:hint="eastAsia" w:ascii="Times New Roman" w:hAnsi="Times New Roman" w:eastAsia="方正小标宋_GBK"/>
          <w:sz w:val="28"/>
          <w:szCs w:val="28"/>
          <w:lang w:eastAsia="zh-CN"/>
        </w:rPr>
        <w:t>附件</w:t>
      </w:r>
      <w:r>
        <w:rPr>
          <w:rFonts w:hint="eastAsia" w:ascii="Times New Roman" w:hAnsi="Times New Roman" w:eastAsia="方正小标宋_GBK"/>
          <w:sz w:val="28"/>
          <w:szCs w:val="28"/>
          <w:lang w:val="en-US" w:eastAsia="zh-CN"/>
        </w:rPr>
        <w:t>3</w:t>
      </w:r>
    </w:p>
    <w:p>
      <w:pPr>
        <w:jc w:val="center"/>
        <w:rPr>
          <w:rFonts w:hint="eastAsia" w:ascii="Times New Roman" w:hAnsi="Times New Roman" w:eastAsia="方正小标宋_GBK"/>
          <w:sz w:val="28"/>
          <w:szCs w:val="28"/>
        </w:rPr>
      </w:pPr>
    </w:p>
    <w:p>
      <w:pPr>
        <w:spacing w:line="1520" w:lineRule="exact"/>
        <w:rPr>
          <w:rFonts w:hint="eastAsia" w:ascii="华文中宋" w:hAnsi="华文中宋" w:eastAsia="华文中宋"/>
          <w:spacing w:val="20"/>
          <w:sz w:val="52"/>
          <w:szCs w:val="52"/>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试点领域基层政务公开标准目录汇编</w:t>
      </w:r>
    </w:p>
    <w:p>
      <w:pPr>
        <w:spacing w:line="1520" w:lineRule="exact"/>
        <w:rPr>
          <w:rFonts w:hint="eastAsia" w:ascii="华文中宋" w:hAnsi="华文中宋" w:eastAsia="华文中宋"/>
          <w:spacing w:val="20"/>
          <w:sz w:val="52"/>
          <w:szCs w:val="52"/>
        </w:rPr>
      </w:pPr>
    </w:p>
    <w:p>
      <w:pPr>
        <w:jc w:val="center"/>
        <w:rPr>
          <w:rFonts w:hint="eastAsia" w:ascii="Times New Roman" w:hAnsi="Times New Roman" w:eastAsia="方正小标宋_GBK"/>
          <w:sz w:val="28"/>
          <w:szCs w:val="28"/>
        </w:rPr>
      </w:pPr>
    </w:p>
    <w:p>
      <w:pPr>
        <w:jc w:val="center"/>
        <w:rPr>
          <w:rFonts w:hint="eastAsia" w:ascii="Times New Roman" w:hAnsi="Times New Roman" w:eastAsia="方正小标宋_GBK"/>
          <w:sz w:val="28"/>
          <w:szCs w:val="28"/>
        </w:rPr>
      </w:pPr>
    </w:p>
    <w:p>
      <w:pPr>
        <w:rPr>
          <w:rFonts w:hint="eastAsia" w:ascii="Times New Roman" w:hAnsi="Times New Roman" w:eastAsia="方正小标宋_GBK"/>
          <w:sz w:val="48"/>
          <w:szCs w:val="48"/>
        </w:rPr>
      </w:pPr>
    </w:p>
    <w:p>
      <w:pPr>
        <w:jc w:val="center"/>
        <w:rPr>
          <w:rStyle w:val="13"/>
          <w:rFonts w:hint="default" w:ascii="黑体" w:eastAsia="华文中宋"/>
          <w:kern w:val="2"/>
          <w:szCs w:val="30"/>
          <w:lang w:val="en-US" w:eastAsia="zh-CN"/>
        </w:rPr>
        <w:sectPr>
          <w:headerReference r:id="rId4" w:type="first"/>
          <w:footerReference r:id="rId6" w:type="first"/>
          <w:headerReference r:id="rId3" w:type="default"/>
          <w:footerReference r:id="rId5" w:type="default"/>
          <w:pgSz w:w="16838" w:h="11906" w:orient="landscape"/>
          <w:pgMar w:top="737" w:right="873" w:bottom="851" w:left="873" w:header="851" w:footer="992" w:gutter="0"/>
          <w:cols w:space="720" w:num="1"/>
          <w:titlePg/>
          <w:docGrid w:type="lines" w:linePitch="312" w:charSpace="0"/>
        </w:sectPr>
      </w:pPr>
      <w:r>
        <w:rPr>
          <w:rFonts w:ascii="Times New Roman" w:hAnsi="Times New Roman" w:eastAsia="华文中宋"/>
          <w:sz w:val="48"/>
          <w:szCs w:val="48"/>
        </w:rPr>
        <w:t>2</w:t>
      </w:r>
      <w:r>
        <w:rPr>
          <w:rFonts w:hint="eastAsia" w:ascii="Times New Roman" w:hAnsi="Times New Roman" w:eastAsia="华文中宋"/>
          <w:sz w:val="48"/>
          <w:szCs w:val="48"/>
          <w:lang w:val="en-US" w:eastAsia="zh-CN"/>
        </w:rPr>
        <w:t>020</w:t>
      </w:r>
    </w:p>
    <w:p>
      <w:pPr>
        <w:pStyle w:val="2"/>
        <w:jc w:val="center"/>
        <w:rPr>
          <w:rFonts w:ascii="方正小标宋_GBK" w:hAnsi="方正小标宋_GBK" w:eastAsia="方正小标宋_GBK"/>
          <w:b w:val="0"/>
          <w:bCs w:val="0"/>
          <w:color w:val="000000" w:themeColor="text1"/>
          <w:sz w:val="30"/>
          <w14:textFill>
            <w14:solidFill>
              <w14:schemeClr w14:val="tx1"/>
            </w14:solidFill>
          </w14:textFill>
        </w:rPr>
      </w:pPr>
      <w:bookmarkStart w:id="0" w:name="_Toc24724724"/>
      <w:r>
        <w:rPr>
          <w:rFonts w:hint="eastAsia" w:ascii="方正小标宋_GBK" w:hAnsi="方正小标宋_GBK" w:eastAsia="方正小标宋_GBK"/>
          <w:b w:val="0"/>
          <w:bCs w:val="0"/>
          <w:color w:val="000000" w:themeColor="text1"/>
          <w:sz w:val="30"/>
          <w14:textFill>
            <w14:solidFill>
              <w14:schemeClr w14:val="tx1"/>
            </w14:solidFill>
          </w14:textFill>
        </w:rPr>
        <w:t>（二十一）卫生健康领域基层政务公开标准目录</w:t>
      </w:r>
      <w:bookmarkEnd w:id="0"/>
    </w:p>
    <w:tbl>
      <w:tblPr>
        <w:tblStyle w:val="9"/>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shd w:val="clear" w:color="auto" w:fill="auto"/>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720" w:type="dxa"/>
            <w:vMerge w:val="continue"/>
            <w:shd w:val="clear" w:color="auto" w:fill="auto"/>
            <w:vAlign w:val="center"/>
          </w:tcPr>
          <w:p>
            <w:pPr>
              <w:rPr>
                <w:rFonts w:hint="eastAsia" w:ascii="仿宋_GB2312" w:hAnsi="宋体" w:eastAsia="仿宋_GB2312" w:cs="宋体"/>
                <w:bCs/>
                <w:color w:val="000000"/>
                <w:sz w:val="18"/>
                <w:szCs w:val="18"/>
              </w:rPr>
            </w:pPr>
          </w:p>
        </w:tc>
        <w:tc>
          <w:tcPr>
            <w:tcW w:w="1188" w:type="dxa"/>
            <w:vMerge w:val="continue"/>
            <w:shd w:val="clear" w:color="auto" w:fill="auto"/>
            <w:vAlign w:val="center"/>
          </w:tcPr>
          <w:p>
            <w:pPr>
              <w:rPr>
                <w:rFonts w:hint="eastAsia" w:ascii="仿宋_GB2312" w:hAnsi="宋体" w:eastAsia="仿宋_GB2312" w:cs="宋体"/>
                <w:color w:val="000000"/>
                <w:sz w:val="18"/>
                <w:szCs w:val="18"/>
              </w:rPr>
            </w:pPr>
          </w:p>
        </w:tc>
        <w:tc>
          <w:tcPr>
            <w:tcW w:w="41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vAlign w:val="center"/>
          </w:tcPr>
          <w:p>
            <w:pPr>
              <w:rPr>
                <w:rFonts w:hint="eastAsia" w:ascii="仿宋_GB2312" w:hAnsi="宋体" w:eastAsia="仿宋_GB2312" w:cs="宋体"/>
                <w:color w:val="000000"/>
                <w:sz w:val="18"/>
                <w:szCs w:val="18"/>
              </w:rPr>
            </w:pPr>
          </w:p>
        </w:tc>
        <w:tc>
          <w:tcPr>
            <w:tcW w:w="144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4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ascii="仿宋_GB2312" w:hAnsi="宋体" w:eastAsia="仿宋_GB2312"/>
                <w:color w:val="000000"/>
                <w:sz w:val="18"/>
                <w:szCs w:val="18"/>
              </w:rPr>
            </w:pP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1188" w:type="dxa"/>
            <w:vMerge w:val="continue"/>
            <w:shd w:val="clear" w:color="auto" w:fill="auto"/>
            <w:vAlign w:val="center"/>
          </w:tcPr>
          <w:p>
            <w:pPr>
              <w:rPr>
                <w:rFonts w:ascii="仿宋_GB2312" w:hAnsi="宋体" w:eastAsia="仿宋_GB2312"/>
                <w:color w:val="000000"/>
                <w:sz w:val="18"/>
                <w:szCs w:val="18"/>
              </w:rPr>
            </w:pPr>
          </w:p>
        </w:tc>
        <w:tc>
          <w:tcPr>
            <w:tcW w:w="41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1188" w:type="dxa"/>
            <w:vMerge w:val="continue"/>
            <w:shd w:val="clear" w:color="auto" w:fill="auto"/>
            <w:vAlign w:val="center"/>
          </w:tcPr>
          <w:p>
            <w:pPr>
              <w:rPr>
                <w:rFonts w:ascii="仿宋_GB2312" w:hAnsi="宋体" w:eastAsia="仿宋_GB2312"/>
                <w:color w:val="000000"/>
                <w:sz w:val="18"/>
                <w:szCs w:val="18"/>
              </w:rPr>
            </w:pP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80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1188" w:type="dxa"/>
            <w:vMerge w:val="continue"/>
            <w:shd w:val="clear" w:color="auto" w:fill="auto"/>
            <w:vAlign w:val="center"/>
          </w:tcPr>
          <w:p>
            <w:pPr>
              <w:rPr>
                <w:rFonts w:ascii="仿宋_GB2312" w:hAnsi="宋体" w:eastAsia="仿宋_GB2312"/>
                <w:color w:val="000000"/>
                <w:sz w:val="18"/>
                <w:szCs w:val="18"/>
              </w:rPr>
            </w:pP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1188" w:type="dxa"/>
            <w:vMerge w:val="continue"/>
            <w:shd w:val="clear" w:color="auto" w:fill="auto"/>
            <w:vAlign w:val="center"/>
          </w:tcPr>
          <w:p>
            <w:pPr>
              <w:rPr>
                <w:rFonts w:ascii="仿宋_GB2312" w:hAnsi="宋体" w:eastAsia="仿宋_GB2312"/>
                <w:color w:val="000000"/>
                <w:sz w:val="18"/>
                <w:szCs w:val="18"/>
              </w:rPr>
            </w:pPr>
          </w:p>
        </w:tc>
        <w:tc>
          <w:tcPr>
            <w:tcW w:w="41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jc w:val="cente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宋体" w:hAnsi="宋体" w:cs="宋体"/>
                <w:color w:val="000000"/>
                <w:kern w:val="0"/>
                <w:sz w:val="18"/>
                <w:szCs w:val="18"/>
              </w:rPr>
            </w:pPr>
          </w:p>
        </w:tc>
        <w:tc>
          <w:tcPr>
            <w:tcW w:w="720" w:type="dxa"/>
            <w:vMerge w:val="continue"/>
            <w:shd w:val="clear" w:color="auto" w:fill="auto"/>
            <w:vAlign w:val="center"/>
          </w:tcPr>
          <w:p>
            <w:pPr>
              <w:widowControl/>
              <w:jc w:val="left"/>
              <w:rPr>
                <w:rFonts w:ascii="宋体" w:hAnsi="宋体" w:cs="宋体"/>
                <w:bCs/>
                <w:color w:val="000000"/>
                <w:kern w:val="0"/>
                <w:sz w:val="15"/>
                <w:szCs w:val="15"/>
              </w:rPr>
            </w:pPr>
          </w:p>
        </w:tc>
        <w:tc>
          <w:tcPr>
            <w:tcW w:w="1188" w:type="dxa"/>
            <w:vMerge w:val="continue"/>
            <w:shd w:val="clear" w:color="auto" w:fill="auto"/>
            <w:vAlign w:val="center"/>
          </w:tcPr>
          <w:p>
            <w:pPr>
              <w:widowControl/>
              <w:jc w:val="left"/>
              <w:rPr>
                <w:rFonts w:ascii="宋体" w:hAnsi="宋体" w:cs="宋体"/>
                <w:color w:val="000000"/>
                <w:kern w:val="0"/>
                <w:sz w:val="15"/>
                <w:szCs w:val="15"/>
              </w:rPr>
            </w:pPr>
          </w:p>
        </w:tc>
        <w:tc>
          <w:tcPr>
            <w:tcW w:w="414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widowControl/>
              <w:jc w:val="left"/>
              <w:rPr>
                <w:rFonts w:ascii="仿宋_GB2312" w:hAnsi="宋体" w:eastAsia="仿宋_GB2312"/>
                <w:color w:val="000000"/>
                <w:sz w:val="18"/>
                <w:szCs w:val="18"/>
              </w:rPr>
            </w:pPr>
          </w:p>
        </w:tc>
        <w:tc>
          <w:tcPr>
            <w:tcW w:w="144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144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宋体" w:eastAsia="仿宋_GB2312"/>
                <w:color w:val="000000"/>
                <w:sz w:val="18"/>
                <w:szCs w:val="18"/>
              </w:rPr>
            </w:pPr>
          </w:p>
        </w:tc>
        <w:tc>
          <w:tcPr>
            <w:tcW w:w="720" w:type="dxa"/>
            <w:vMerge w:val="continue"/>
            <w:shd w:val="clear" w:color="auto" w:fill="auto"/>
            <w:vAlign w:val="center"/>
          </w:tcPr>
          <w:p>
            <w:pPr>
              <w:widowControl/>
              <w:jc w:val="left"/>
              <w:rPr>
                <w:rFonts w:ascii="仿宋_GB2312" w:hAnsi="宋体" w:eastAsia="仿宋_GB2312"/>
                <w:color w:val="000000"/>
                <w:sz w:val="18"/>
                <w:szCs w:val="18"/>
              </w:rPr>
            </w:pPr>
          </w:p>
        </w:tc>
        <w:tc>
          <w:tcPr>
            <w:tcW w:w="1188" w:type="dxa"/>
            <w:vMerge w:val="continue"/>
            <w:shd w:val="clear" w:color="auto" w:fill="auto"/>
            <w:vAlign w:val="center"/>
          </w:tcPr>
          <w:p>
            <w:pPr>
              <w:widowControl/>
              <w:jc w:val="left"/>
              <w:rPr>
                <w:rFonts w:ascii="仿宋_GB2312" w:hAnsi="宋体" w:eastAsia="仿宋_GB2312"/>
                <w:color w:val="000000"/>
                <w:sz w:val="18"/>
                <w:szCs w:val="18"/>
              </w:rPr>
            </w:pPr>
          </w:p>
        </w:tc>
        <w:tc>
          <w:tcPr>
            <w:tcW w:w="414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jc w:val="left"/>
              <w:rPr>
                <w:rFonts w:ascii="仿宋_GB2312" w:hAnsi="宋体" w:eastAsia="仿宋_GB2312"/>
                <w:color w:val="000000"/>
                <w:sz w:val="18"/>
                <w:szCs w:val="18"/>
              </w:rPr>
            </w:pPr>
          </w:p>
        </w:tc>
        <w:tc>
          <w:tcPr>
            <w:tcW w:w="144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三江县卫生健康局</w:t>
            </w:r>
          </w:p>
          <w:p>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rPr>
                <w:rFonts w:hint="eastAsia" w:ascii="仿宋_GB2312" w:hAnsi="宋体" w:eastAsia="仿宋_GB2312"/>
                <w:color w:val="000000"/>
                <w:sz w:val="18"/>
                <w:szCs w:val="18"/>
              </w:rPr>
            </w:pPr>
          </w:p>
        </w:tc>
        <w:tc>
          <w:tcPr>
            <w:tcW w:w="596" w:type="dxa"/>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rPr>
                <w:rFonts w:hint="eastAsia" w:ascii="仿宋_GB2312" w:hAnsi="宋体" w:eastAsia="仿宋_GB2312"/>
                <w:color w:val="000000"/>
                <w:sz w:val="18"/>
                <w:szCs w:val="18"/>
              </w:rPr>
            </w:pPr>
          </w:p>
        </w:tc>
        <w:tc>
          <w:tcPr>
            <w:tcW w:w="540" w:type="dxa"/>
            <w:shd w:val="clear" w:color="auto" w:fill="auto"/>
            <w:vAlign w:val="center"/>
          </w:tcPr>
          <w:p>
            <w:pPr>
              <w:widowControl/>
              <w:rPr>
                <w:rFonts w:hint="eastAsia" w:ascii="仿宋_GB2312" w:hAnsi="宋体" w:eastAsia="仿宋_GB2312"/>
                <w:color w:val="000000"/>
                <w:sz w:val="18"/>
                <w:szCs w:val="18"/>
              </w:rPr>
            </w:pPr>
          </w:p>
        </w:tc>
        <w:tc>
          <w:tcPr>
            <w:tcW w:w="664" w:type="dxa"/>
            <w:shd w:val="clear" w:color="auto" w:fill="auto"/>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放射源诊疗技术和医用辐射机构许可</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《放射诊疗管理规定》、《放射性同位素与射线装置安全和防护条例》、《行政许可法》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医疗机构放射性职业病危害建设项目预评价报告审核</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《放射诊疗管理规定》、《放射性同位素与射线装置安全和防护条例》、《行政许可法》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11</w:t>
            </w: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乡村医生执业注册</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《乡村医生从业管理条例》、《行政许可法》</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12</w:t>
            </w: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医疗机构放射性职业病危害建设项目竣工验收</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《放射诊疗管理规定》、《放射性同位素与射线装置安全和防护条例》、《行政许可法》</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13</w:t>
            </w: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美容主诊医师备案</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《中华人民共和国执业医师法》、《行政许可法》、《医师执业注册管理办法》</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14</w:t>
            </w: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不按规定落实有效节育措施、补救措施或者不参加避孕节育情况检查的处罚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ascii="宋体" w:hAnsi="宋体" w:eastAsia="宋体" w:cs="宋体"/>
                <w:sz w:val="24"/>
                <w:szCs w:val="24"/>
              </w:rPr>
              <w:t>《</w:t>
            </w:r>
            <w:r>
              <w:rPr>
                <w:rFonts w:hint="eastAsia" w:ascii="仿宋_GB2312" w:hAnsi="宋体" w:eastAsia="仿宋_GB2312"/>
                <w:color w:val="000000"/>
                <w:sz w:val="18"/>
                <w:szCs w:val="18"/>
              </w:rPr>
              <w:t>中华人民共和国人口与计划生育 法》（中华人民共 和国主席令第 41 号 2015 年 12 月 27 日修正）</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《禁止非医学需 要的胎儿性别鉴定 和选择性别人工终止妊娠 的规定》（2016 年 3 月 28 日中华 人民共和国国家卫生和计划生育委员会令第 9 号）</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15</w:t>
            </w:r>
          </w:p>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单位或个人违法开展计划生育技术服务的处罚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《行政处罚法》、《广西壮族自治区人口和计划生育管理办法》、《卫生行政处罚程序》</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16</w:t>
            </w:r>
          </w:p>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对单采血浆站已知其采集的血浆检测结果呈阳性，仍向血液制品生产单位供应的处罚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《行政处罚法》、《血液制品管理条例》、《卫生行政处罚程序》</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17</w:t>
            </w:r>
          </w:p>
          <w:p>
            <w:pPr>
              <w:widowControl/>
              <w:jc w:val="center"/>
              <w:rPr>
                <w:rFonts w:hint="default" w:ascii="仿宋_GB2312" w:hAnsi="宋体" w:eastAsia="仿宋_GB2312"/>
                <w:color w:val="000000"/>
                <w:sz w:val="18"/>
                <w:szCs w:val="18"/>
                <w:lang w:val="en-US" w:eastAsia="zh-CN"/>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对不按规定进行临床用血的包装、储存、运输的处罚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《血站管理办法》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《中华人民共和国献血法》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18</w:t>
            </w:r>
          </w:p>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对单采血浆站不按规定进行血浆采集、管理、供应的处罚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《血站管理办法》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《中华人民共和国献血法》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《血液制品管理条例》</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9</w:t>
            </w:r>
          </w:p>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对单采血浆站未取得许可非法采集、供应、倒卖血浆等行为的处罚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《中华人民共和国献血法》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《血液制品管理条例》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《血站管理办法》（中华人民共和国卫生部令第44号发布 2017 年12月26日修订</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20</w:t>
            </w:r>
          </w:p>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血站、医疗机构或个人非法采集、出售血液等行为的处罚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《血站管理办法》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《中华人民共和国献血法》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《血液制品管理条例》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《中华人民共和国传染病防治法》（2013 年6月29日修正）</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《血站管理办法》（中华人民共和国卫生部令第44号发布 2017 年12月26日修订）</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21</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单位或个人违规从事婚前医学检查、遗传病诊断、产前诊断、终止妊娠手术和医学技术鉴定或者出具有关医学证明等行为的处罚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宋体"/>
                <w:color w:val="000000"/>
                <w:sz w:val="18"/>
                <w:szCs w:val="18"/>
                <w:lang w:eastAsia="zh-CN"/>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《广西壮族自治区母婴保健管理办法》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《中华人民共和国母婴保健法》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《中华人民共和国母婴保健法实施办法》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《产前诊断技术 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《国家卫生计生 委办公厅关于开展 孕妇外周血胎儿游离 DNA 产前筛查与诊断工作的通知》（国办 卫妇幼 发﹝2016﹞45 号）</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22</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对提供、使用未经出入境检验检疫机构检疫的进口人体血液、血浆、组织、器官、细胞、骨髓等的处罚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《艾滋病防治条例》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23</w:t>
            </w:r>
          </w:p>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对台湾地区医师未经注册行医的处罚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《台湾地区医师在大陆短期行医管理规定》</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24</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对香港、澳门特别行政区医师未经注册行医的处罚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《香港、澳门特别行政区医师在内地短期行医管理规定》</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25</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对向农村实行计划生育的育龄夫妻提供避孕、节育技术服务，收取费用的处罚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《计划生育技术服务管理条例》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26</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符合再生育条件未领取再生育证生育子女的处罚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《计划生育技术服务管理条例》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27</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经考核取得医师资格的中医医师超出注册的执业范围从事医疗活动的处罚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《中华人民共和国中医药法》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28</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举办中医诊所、炮制中药饮片、委托配制中药制剂应当备案而未备案，或者备案时提供虚假材料的处罚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《中华人民共和国中医药法》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29</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医疗机构或医疗废物集中处置单位在医疗废物的收集、运送、贮存、处置以及监督管理活动违反规定的处罚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《中华人民共和国中医药法》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30</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医疗机构或医疗机构执业的医师、护士违反医疗质量管理办法相关规定的处罚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《医疗质量管理办法》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31</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与计划生育证明有关的其他弄假作假的行为</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《卫生行政处罚 程序》（1997 年 6 月 19 日中华人民共和国卫生部令第 53 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《广西壮族自治区人口和计划生育管理办法》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32</w:t>
            </w:r>
          </w:p>
          <w:p>
            <w:pPr>
              <w:widowControl/>
              <w:jc w:val="center"/>
              <w:rPr>
                <w:rFonts w:hint="default" w:ascii="仿宋_GB2312" w:hAnsi="宋体" w:eastAsia="仿宋_GB2312"/>
                <w:color w:val="000000"/>
                <w:sz w:val="18"/>
                <w:szCs w:val="18"/>
                <w:lang w:val="en-US" w:eastAsia="zh-CN"/>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中医诊所超出备案范围开展医疗活动的处罚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2.监督和投诉渠道、办公地址和时间、公开查询方式等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《行政处罚法》、《卫生行政处罚程序》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《医疗质量管理办法》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《中华人民共和国中医药法》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w:t>
            </w:r>
            <w:r>
              <w:rPr>
                <w:rFonts w:hint="eastAsia" w:ascii="仿宋_GB2312" w:hAnsi="宋体" w:eastAsia="仿宋_GB2312"/>
                <w:color w:val="000000"/>
                <w:sz w:val="18"/>
                <w:szCs w:val="18"/>
                <w:lang w:val="en-US" w:eastAsia="zh-CN"/>
              </w:rPr>
              <w:t>20</w:t>
            </w:r>
            <w:r>
              <w:rPr>
                <w:rFonts w:hint="eastAsia" w:ascii="仿宋_GB2312" w:hAnsi="宋体" w:eastAsia="仿宋_GB2312"/>
                <w:color w:val="000000"/>
                <w:sz w:val="18"/>
                <w:szCs w:val="18"/>
              </w:rPr>
              <w:t>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33</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强制</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封存有证据证明可能被艾滋病病毒污染的物品，卫生处理或者销毁经检验属于被艾滋病病毒污染的物品</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default" w:ascii="仿宋_GB2312" w:hAnsi="宋体" w:eastAsia="仿宋_GB2312"/>
                <w:color w:val="000000"/>
                <w:sz w:val="18"/>
                <w:szCs w:val="18"/>
                <w:lang w:val="en-US" w:eastAsia="zh-CN"/>
              </w:rPr>
            </w:pPr>
          </w:p>
        </w:tc>
        <w:tc>
          <w:tcPr>
            <w:tcW w:w="1800" w:type="dxa"/>
            <w:vMerge w:val="restart"/>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《医疗质量管理办法》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《中华人民共和国行政强制法》（中华人民共和国主席令第四十九号）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《医疗废物管理条例》（中华人民共和国国务院令第380 号）</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结果信息，包括催告书、强制执行决定书。</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34</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征收</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社会抚养费征收</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p>
        </w:tc>
        <w:tc>
          <w:tcPr>
            <w:tcW w:w="1800" w:type="dxa"/>
            <w:vMerge w:val="restart"/>
            <w:vAlign w:val="center"/>
          </w:tcPr>
          <w:p>
            <w:pPr>
              <w:widowControl/>
              <w:rPr>
                <w:rFonts w:hint="eastAsia" w:ascii="仿宋_GB2312" w:hAnsi="宋体" w:eastAsia="宋体"/>
                <w:color w:val="000000"/>
                <w:sz w:val="18"/>
                <w:szCs w:val="18"/>
                <w:lang w:eastAsia="zh-CN"/>
              </w:rPr>
            </w:pPr>
            <w:r>
              <w:rPr>
                <w:rFonts w:hint="eastAsia" w:ascii="仿宋_GB2312" w:hAnsi="宋体" w:eastAsia="仿宋_GB2312"/>
                <w:color w:val="000000"/>
                <w:sz w:val="18"/>
                <w:szCs w:val="18"/>
              </w:rPr>
              <w:t>《中华人民共和国人口与计划生育法》（中华人民共和 国主席令第41号 2015年12月27日修正</w:t>
            </w:r>
            <w:r>
              <w:rPr>
                <w:rFonts w:ascii="宋体" w:hAnsi="宋体" w:eastAsia="宋体" w:cs="宋体"/>
                <w:sz w:val="24"/>
                <w:szCs w:val="24"/>
              </w:rPr>
              <w:t>）</w:t>
            </w:r>
            <w:r>
              <w:rPr>
                <w:rFonts w:hint="eastAsia" w:ascii="宋体" w:hAnsi="宋体" w:cs="宋体"/>
                <w:sz w:val="24"/>
                <w:szCs w:val="24"/>
                <w:lang w:eastAsia="zh-CN"/>
              </w:rPr>
              <w:t>、</w:t>
            </w:r>
            <w:r>
              <w:rPr>
                <w:rFonts w:hint="eastAsia" w:ascii="仿宋_GB2312" w:hAnsi="宋体" w:eastAsia="仿宋_GB2312"/>
                <w:color w:val="000000"/>
                <w:sz w:val="18"/>
                <w:szCs w:val="18"/>
              </w:rPr>
              <w:t>《社会抚养费征收管理办法》（中华人民共和国国务院令第357号）</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办理机构</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35</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给付</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血吸虫病筛查治疗和晚血病人救助治疗给付</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《血吸虫病防治条例》、《工伤保险条例》</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办事指南，包括：</w:t>
            </w:r>
            <w:r>
              <w:rPr>
                <w:rFonts w:hint="eastAsia" w:ascii="仿宋_GB2312" w:hAnsi="宋体" w:eastAsia="仿宋_GB2312"/>
                <w:color w:val="000000"/>
                <w:sz w:val="18"/>
                <w:szCs w:val="18"/>
                <w:lang w:val="en-US" w:eastAsia="zh-CN"/>
              </w:rPr>
              <w:t>受理范围及条件、申请材料、办理流程、咨询投诉渠道</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s="Times New Roman"/>
                <w:color w:val="000000"/>
                <w:kern w:val="2"/>
                <w:sz w:val="18"/>
                <w:szCs w:val="18"/>
                <w:lang w:val="en-US" w:eastAsia="zh-CN" w:bidi="ar-SA"/>
              </w:rPr>
              <w:t>3736</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给付</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因突发事件征用单位和个人财产的补偿</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《突发公共卫生事件应急条例》（2003年5月9日中华人民共和国国务院令第376号公布，自2003年5月9日起施行）</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《中华人民共和国突发事件应对法》</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办事指南，包括：</w:t>
            </w:r>
            <w:r>
              <w:rPr>
                <w:rFonts w:hint="eastAsia" w:ascii="仿宋_GB2312" w:hAnsi="宋体" w:eastAsia="仿宋_GB2312"/>
                <w:color w:val="000000"/>
                <w:sz w:val="18"/>
                <w:szCs w:val="18"/>
                <w:lang w:val="en-US" w:eastAsia="zh-CN"/>
              </w:rPr>
              <w:t>受理范围及条件、申请材料、办理流程、咨询投诉渠道</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s="Times New Roman"/>
                <w:color w:val="000000"/>
                <w:kern w:val="2"/>
                <w:sz w:val="18"/>
                <w:szCs w:val="18"/>
                <w:lang w:val="en-US" w:eastAsia="zh-CN" w:bidi="ar-SA"/>
              </w:rPr>
              <w:t>3837</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给付</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因参与突发公共卫生事件应急处置工作致病、致残、死亡人员补助和抚恤</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《突发公共卫生事件应急条例》（2003年5月9日中华人民共和国国务院令第376号公布，自2003年5月9日起施行）</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《中华人民共和国突发事件应对法》</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40" w:type="dxa"/>
            <w:vMerge w:val="continue"/>
            <w:vAlign w:val="center"/>
          </w:tcPr>
          <w:p>
            <w:pPr>
              <w:widowControl/>
              <w:jc w:val="center"/>
              <w:rPr>
                <w:rFonts w:hint="default"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办事指南，包括：</w:t>
            </w:r>
            <w:r>
              <w:rPr>
                <w:rFonts w:hint="eastAsia" w:ascii="仿宋_GB2312" w:hAnsi="宋体" w:eastAsia="仿宋_GB2312"/>
                <w:color w:val="000000"/>
                <w:sz w:val="18"/>
                <w:szCs w:val="18"/>
                <w:lang w:val="en-US" w:eastAsia="zh-CN"/>
              </w:rPr>
              <w:t>受理范围及条件、申请材料、办理流程、咨询投诉渠道</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39</w:t>
            </w:r>
            <w:r>
              <w:rPr>
                <w:rFonts w:hint="eastAsia" w:ascii="仿宋_GB2312" w:hAnsi="宋体" w:eastAsia="仿宋_GB2312" w:cs="Times New Roman"/>
                <w:color w:val="000000"/>
                <w:kern w:val="2"/>
                <w:sz w:val="18"/>
                <w:szCs w:val="18"/>
                <w:lang w:val="en-US" w:eastAsia="zh-CN" w:bidi="ar-SA"/>
              </w:rPr>
              <w:t>38</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检查</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对突发公共卫生事件与传染病疫情监测信息报告的监督管理</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《突发公共卫生事件与传染病疫情监测信息报告管理办法》</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检查结果及处理信息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39</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检查</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对乡村医生从业管理的监督</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《乡村医生从业管理条例》</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检查结果及处理信息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40</w:t>
            </w:r>
          </w:p>
          <w:p>
            <w:pPr>
              <w:widowControl/>
              <w:jc w:val="center"/>
              <w:rPr>
                <w:rFonts w:hint="default" w:ascii="仿宋_GB2312" w:hAnsi="宋体" w:eastAsia="仿宋_GB2312"/>
                <w:color w:val="000000"/>
                <w:sz w:val="18"/>
                <w:szCs w:val="18"/>
                <w:lang w:val="en-US" w:eastAsia="zh-CN"/>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检查</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对医疗机构医疗质量管理情况的检查</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hint="eastAsia" w:ascii="仿宋_GB2312" w:hAnsi="宋体" w:eastAsia="宋体"/>
                <w:color w:val="000000"/>
                <w:sz w:val="18"/>
                <w:szCs w:val="18"/>
                <w:lang w:eastAsia="zh-CN"/>
              </w:rPr>
            </w:pPr>
            <w:r>
              <w:rPr>
                <w:rFonts w:hint="eastAsia" w:ascii="仿宋_GB2312" w:hAnsi="宋体" w:eastAsia="仿宋_GB2312"/>
                <w:color w:val="000000"/>
                <w:sz w:val="18"/>
                <w:szCs w:val="18"/>
                <w:lang w:val="en-US" w:eastAsia="zh-CN"/>
              </w:rPr>
              <w:t>《医疗质量管理办法》、《医疗机构管理条例实施细则》（中华人民共和国卫生部令第35号）</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检查结果及处理信息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41</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检查</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负责医疗卫生机构，以及国家机关、社会团体及其他社会组织工作场所控制吸烟工作的监督检查</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《医疗质量管理办法》、《医疗机构管理条例实施细则》（中华人民共和国卫生部令第35号）</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检查结果及处理信息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42</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确认</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再生育涉及病残儿医学鉴定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《计划生育技术服务管理条例》</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办理材料、办理时限、办理流程</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43</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确认</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计划生育手术并发症鉴定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《计划生育手术并发症鉴定管理办法（试行）》（国家人口计生委人口科技〔2011〕67号，2011年12月22日下发）</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办理材料、办理时限、办理流程</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44</w:t>
            </w:r>
          </w:p>
          <w:p>
            <w:pPr>
              <w:widowControl/>
              <w:jc w:val="center"/>
              <w:rPr>
                <w:rFonts w:hint="default" w:ascii="仿宋_GB2312" w:hAnsi="宋体" w:eastAsia="仿宋_GB2312"/>
                <w:color w:val="000000"/>
                <w:sz w:val="18"/>
                <w:szCs w:val="18"/>
                <w:lang w:val="en-US" w:eastAsia="zh-CN"/>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确认</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签发检疫合格证明</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lang w:val="en-US" w:eastAsia="zh-CN"/>
              </w:rPr>
              <w:t>《国内交通卫生检疫条例》</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办理材料、办理时限、办理流程</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45</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确认</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预防接种异常反应调查诊断和鉴定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《预防接种异常反应鉴定办法》（中华人民共和国卫生部令2008年第60号）</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rPr>
                <w:rFonts w:hint="eastAsia"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rPr>
                <w:rFonts w:hint="eastAsia"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办理材料、办理时限、办理流程</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46</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确认</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医疗事故技术鉴定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4B64"/>
                <w:spacing w:val="0"/>
                <w:sz w:val="19"/>
                <w:szCs w:val="19"/>
              </w:rPr>
            </w:pPr>
          </w:p>
          <w:p>
            <w:pPr>
              <w:rPr>
                <w:rFonts w:hint="eastAsia"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《医疗事故处理条例》（2002年4月4日国务院令第351号公布，2002年9月1日起施行）</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办理材料、办理时限、办理流程</w:t>
            </w:r>
          </w:p>
        </w:tc>
        <w:tc>
          <w:tcPr>
            <w:tcW w:w="1800" w:type="dxa"/>
            <w:vMerge w:val="continue"/>
            <w:vAlign w:val="center"/>
          </w:tcPr>
          <w:p>
            <w:pPr>
              <w:widowControl/>
              <w:rPr>
                <w:rFonts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47</w:t>
            </w:r>
          </w:p>
          <w:p>
            <w:pPr>
              <w:widowControl/>
              <w:jc w:val="center"/>
              <w:rPr>
                <w:rFonts w:hint="default" w:ascii="仿宋_GB2312" w:hAnsi="宋体" w:eastAsia="仿宋_GB2312"/>
                <w:color w:val="000000"/>
                <w:sz w:val="18"/>
                <w:szCs w:val="18"/>
                <w:lang w:val="en-US" w:eastAsia="zh-CN"/>
              </w:rPr>
            </w:pP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奖励</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对在传染病防治工作中做出显著成绩和贡献的单位和个人给予表彰和奖励</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w:t>
            </w:r>
            <w:bookmarkStart w:id="1" w:name="_GoBack"/>
            <w:bookmarkEnd w:id="1"/>
            <w:r>
              <w:rPr>
                <w:rFonts w:hint="eastAsia" w:ascii="仿宋_GB2312" w:hAnsi="宋体" w:eastAsia="仿宋_GB2312"/>
                <w:color w:val="000000"/>
                <w:sz w:val="18"/>
                <w:szCs w:val="18"/>
              </w:rPr>
              <w:t>中华人民共和国传染病防治法》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ascii="仿宋_GB2312" w:hAnsi="宋体" w:eastAsia="仿宋_GB2312"/>
                <w:color w:val="000000"/>
                <w:sz w:val="18"/>
                <w:szCs w:val="18"/>
              </w:rPr>
            </w:pPr>
          </w:p>
        </w:tc>
        <w:tc>
          <w:tcPr>
            <w:tcW w:w="720" w:type="dxa"/>
            <w:vMerge w:val="continue"/>
            <w:shd w:val="clear" w:color="auto" w:fill="auto"/>
            <w:vAlign w:val="center"/>
          </w:tcPr>
          <w:p>
            <w:pPr>
              <w:widowControl/>
              <w:rPr>
                <w:rFonts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4948</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奖励</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举报非医学需要鉴定胎儿性别和选择性别人工终止妊娠奖励</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《广西壮族自治区禁止非医学需要鉴定胎儿性别和选择性别人工终止妊娠的规定》</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5049</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奖励</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对经济社会发展有贡献的信访奖励</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s="Times New Roman"/>
                <w:color w:val="000000"/>
                <w:kern w:val="2"/>
                <w:sz w:val="18"/>
                <w:szCs w:val="18"/>
                <w:lang w:val="en-US" w:eastAsia="zh-CN" w:bidi="ar-SA"/>
              </w:rPr>
            </w:pPr>
            <w:r>
              <w:rPr>
                <w:rFonts w:hint="eastAsia" w:ascii="仿宋_GB2312" w:hAnsi="宋体" w:eastAsia="仿宋_GB2312"/>
                <w:color w:val="000000"/>
                <w:sz w:val="18"/>
                <w:szCs w:val="18"/>
              </w:rPr>
              <w:t>《广西壮族自治区信访条例》</w:t>
            </w: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5150</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w:t>
            </w:r>
            <w:r>
              <w:rPr>
                <w:rFonts w:hint="eastAsia" w:ascii="仿宋_GB2312" w:hAnsi="宋体" w:eastAsia="仿宋_GB2312"/>
                <w:color w:val="000000"/>
                <w:sz w:val="18"/>
                <w:szCs w:val="18"/>
                <w:lang w:val="en-US" w:eastAsia="zh-CN"/>
              </w:rPr>
              <w:t>裁决</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医疗机构名称裁定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《医疗机构管理条例实施细则》</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5251</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w:t>
            </w:r>
            <w:r>
              <w:rPr>
                <w:rFonts w:hint="eastAsia" w:ascii="仿宋_GB2312" w:hAnsi="宋体" w:eastAsia="仿宋_GB2312"/>
                <w:color w:val="000000"/>
                <w:sz w:val="18"/>
                <w:szCs w:val="18"/>
              </w:rPr>
              <w:t>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计划生育家庭特别扶助</w:t>
            </w:r>
          </w:p>
          <w:p>
            <w:pPr>
              <w:rPr>
                <w:rFonts w:hint="eastAsia" w:ascii="仿宋_GB2312" w:hAnsi="宋体" w:eastAsia="仿宋_GB2312"/>
                <w:color w:val="000000"/>
                <w:sz w:val="18"/>
                <w:szCs w:val="18"/>
              </w:rPr>
            </w:pP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《人口计生委办公厅关于印发&lt;全国计划生育家庭特别扶助制度信息管理规范（试行）&gt;的通知》</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宋体"/>
                <w:color w:val="000000"/>
                <w:sz w:val="18"/>
                <w:szCs w:val="18"/>
                <w:lang w:eastAsia="zh-CN"/>
              </w:rPr>
            </w:pPr>
            <w:r>
              <w:rPr>
                <w:rFonts w:hint="eastAsia" w:ascii="仿宋_GB2312" w:hAnsi="宋体" w:eastAsia="仿宋_GB2312"/>
                <w:color w:val="000000"/>
                <w:sz w:val="18"/>
                <w:szCs w:val="18"/>
              </w:rPr>
              <w:t>服务对象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服务机构信息，包括名称、地点、服务时间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服务项目和内容</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服务要求</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52</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w:t>
            </w:r>
            <w:r>
              <w:rPr>
                <w:rFonts w:hint="eastAsia" w:ascii="仿宋_GB2312" w:hAnsi="宋体" w:eastAsia="仿宋_GB2312"/>
                <w:color w:val="000000"/>
                <w:sz w:val="18"/>
                <w:szCs w:val="18"/>
              </w:rPr>
              <w:t>事项</w:t>
            </w:r>
          </w:p>
        </w:tc>
        <w:tc>
          <w:tcPr>
            <w:tcW w:w="1188" w:type="dxa"/>
            <w:vMerge w:val="restart"/>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特殊家庭辅助技术生育</w:t>
            </w:r>
          </w:p>
          <w:p>
            <w:pPr>
              <w:widowControl/>
              <w:rPr>
                <w:rFonts w:hint="eastAsia" w:ascii="仿宋_GB2312" w:hAnsi="宋体" w:eastAsia="仿宋_GB2312"/>
                <w:color w:val="000000"/>
                <w:sz w:val="18"/>
                <w:szCs w:val="18"/>
                <w:lang w:val="en-US" w:eastAsia="zh-CN"/>
              </w:rPr>
            </w:pP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法律法规和政策文件</w:t>
            </w:r>
          </w:p>
          <w:p>
            <w:pPr>
              <w:widowControl/>
              <w:rPr>
                <w:rFonts w:hint="eastAsia" w:ascii="仿宋_GB2312" w:hAnsi="宋体" w:eastAsia="仿宋_GB2312"/>
                <w:color w:val="000000"/>
                <w:sz w:val="18"/>
                <w:szCs w:val="18"/>
                <w:lang w:val="en-US" w:eastAsia="zh-CN"/>
              </w:rPr>
            </w:pPr>
          </w:p>
        </w:tc>
        <w:tc>
          <w:tcPr>
            <w:tcW w:w="1800" w:type="dxa"/>
            <w:vMerge w:val="restart"/>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《自治区卫生计生委关于印发广西壮族自治区计划生育特殊家庭辅助生育服务实施方案的通知》</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服务对象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服务机构信息，包括名称、地点、服务时间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服务项目和内容</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服务要求</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53</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w:t>
            </w:r>
            <w:r>
              <w:rPr>
                <w:rFonts w:hint="eastAsia" w:ascii="仿宋_GB2312" w:hAnsi="宋体" w:eastAsia="仿宋_GB2312"/>
                <w:color w:val="000000"/>
                <w:sz w:val="18"/>
                <w:szCs w:val="18"/>
              </w:rPr>
              <w:t>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限制临床应用医疗技术备案</w:t>
            </w:r>
          </w:p>
        </w:tc>
        <w:tc>
          <w:tcPr>
            <w:tcW w:w="4140" w:type="dxa"/>
            <w:shd w:val="clear" w:color="auto" w:fill="auto"/>
            <w:vAlign w:val="center"/>
          </w:tcPr>
          <w:p>
            <w:pPr>
              <w:widowControl/>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法律法规和政策文件</w:t>
            </w:r>
          </w:p>
          <w:p>
            <w:pPr>
              <w:widowControl/>
              <w:rPr>
                <w:rFonts w:hint="eastAsia" w:ascii="仿宋_GB2312" w:hAnsi="宋体" w:eastAsia="仿宋_GB2312"/>
                <w:color w:val="000000"/>
                <w:sz w:val="18"/>
                <w:szCs w:val="18"/>
              </w:rPr>
            </w:pP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lang w:val="en-US" w:eastAsia="zh-CN"/>
              </w:rPr>
              <w:t>《医疗技术临床应用管理办法》</w:t>
            </w:r>
          </w:p>
        </w:tc>
        <w:tc>
          <w:tcPr>
            <w:tcW w:w="144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投诉举报电话以及窗口信息</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服务对象</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服务机构信息，包括名称、地点、服务时间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服务项目和内容</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服务流程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服务要求</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54</w:t>
            </w:r>
          </w:p>
          <w:p>
            <w:pPr>
              <w:widowControl/>
              <w:jc w:val="center"/>
              <w:rPr>
                <w:rFonts w:hint="default" w:ascii="仿宋_GB2312" w:hAnsi="宋体" w:eastAsia="仿宋_GB2312"/>
                <w:color w:val="000000"/>
                <w:sz w:val="18"/>
                <w:szCs w:val="18"/>
                <w:lang w:val="en-US"/>
              </w:rPr>
            </w:pP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托幼机构卫生保健评价</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《托儿所幼儿园卫生保健管理办法》（卫生部令第76号）</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55</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医疗事故赔偿调解</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《医疗事故处理条例》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56</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药用植物资源迁地保护基地备案</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《广西壮族自治区药用野生植物资源保护办法》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57</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出具非医学需要鉴定胎儿性别和选择性终止妊娠的证明</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《广西壮族自治区禁止非医学需要鉴定胎儿性别和选择性别人工终止妊娠的规定》</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《关于进一步加强南宁市中期终止妊娠手术 审核管理的通知》</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58</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传统医学师承和确有专长人员考核县级推荐</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《传统医学师承和确有专长人员医师资格考核考试办法》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《关于组织开展传统医学师承人员资格认定和确有专长人员医师资格考核考试工作的通知》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《关于做好2018年传统医学师承和确有专长人员考核工作的通知》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《中华人民共和国执业医师法》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59</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疑似输液、输血、注射、药物等引起不良后果若需检验的而医患双方无法共同指定检验机构时的指定</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《医疗事故处理条例》</w:t>
            </w:r>
            <w:r>
              <w:rPr>
                <w:rFonts w:hint="eastAsia" w:ascii="仿宋_GB2312" w:hAnsi="宋体" w:eastAsia="仿宋_GB2312"/>
                <w:color w:val="000000"/>
                <w:sz w:val="18"/>
                <w:szCs w:val="18"/>
                <w:lang w:eastAsia="zh-CN"/>
              </w:rPr>
              <w:t>、</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60</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中医诊所备案</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《中华人民共和国中医药法》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《中医诊所备案管理暂行办法》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61</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绝育复通手术批准</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微软雅黑"/>
                <w:color w:val="000000"/>
                <w:sz w:val="18"/>
                <w:szCs w:val="18"/>
                <w:lang w:eastAsia="zh-CN"/>
              </w:rPr>
            </w:pPr>
            <w:r>
              <w:rPr>
                <w:rFonts w:hint="eastAsia" w:ascii="仿宋_GB2312" w:hAnsi="宋体" w:eastAsia="仿宋_GB2312"/>
                <w:color w:val="000000"/>
                <w:sz w:val="18"/>
                <w:szCs w:val="18"/>
              </w:rPr>
              <w:t>《广西壮族自治区人口和计划生育条例》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62</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用于入职入编</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《广西壮族自治区人口和计划生育条例》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63</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提拔任用干部，推荐各级中国共产党代表大会代表、人民代表大会代表、政协委员、青联委员候选人、工商联执委，评选各类劳动模范和先进个人</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《广西壮族自治区人口和计划生育条例》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64</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公民收养子女实行计划生育情况审核</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《广西壮族自治区人口和计划生育管理办法》</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65</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用于农村计划生育家庭子女中考、高考加分实行计划生育情况审核</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《广西壮族自治区人口和计划生育条例》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restart"/>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66</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其他行政权力</w:t>
            </w:r>
            <w:r>
              <w:rPr>
                <w:rFonts w:hint="eastAsia" w:ascii="仿宋_GB2312" w:hAnsi="宋体" w:eastAsia="仿宋_GB2312"/>
                <w:color w:val="000000"/>
                <w:sz w:val="18"/>
                <w:szCs w:val="18"/>
              </w:rPr>
              <w:t>类事项</w:t>
            </w:r>
          </w:p>
        </w:tc>
        <w:tc>
          <w:tcPr>
            <w:tcW w:w="1188"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实行计划生育的职工退休后依法增加待遇的审核</w:t>
            </w:r>
          </w:p>
        </w:tc>
        <w:tc>
          <w:tcPr>
            <w:tcW w:w="41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《广西壮族自治区人口和计划生育条例》</w:t>
            </w: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三江县卫生健康局</w:t>
            </w:r>
          </w:p>
        </w:tc>
        <w:tc>
          <w:tcPr>
            <w:tcW w:w="1080" w:type="dxa"/>
            <w:vMerge w:val="restart"/>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0" w:type="dxa"/>
            <w:vMerge w:val="continue"/>
            <w:vAlign w:val="center"/>
          </w:tcPr>
          <w:p>
            <w:pPr>
              <w:widowControl/>
              <w:jc w:val="center"/>
              <w:rPr>
                <w:rFonts w:hint="eastAsia" w:ascii="仿宋_GB2312" w:hAnsi="宋体" w:eastAsia="仿宋_GB2312" w:cs="Times New Roman"/>
                <w:color w:val="000000"/>
                <w:kern w:val="2"/>
                <w:sz w:val="18"/>
                <w:szCs w:val="18"/>
                <w:lang w:val="en-US" w:eastAsia="zh-CN" w:bidi="ar-SA"/>
              </w:rPr>
            </w:pP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188" w:type="dxa"/>
            <w:vMerge w:val="continue"/>
            <w:shd w:val="clear" w:color="auto" w:fill="auto"/>
            <w:vAlign w:val="center"/>
          </w:tcPr>
          <w:p>
            <w:pPr>
              <w:widowControl/>
              <w:rPr>
                <w:rFonts w:hint="eastAsia" w:ascii="仿宋_GB2312" w:hAnsi="宋体" w:eastAsia="仿宋_GB2312"/>
                <w:color w:val="000000"/>
                <w:sz w:val="18"/>
                <w:szCs w:val="18"/>
              </w:rPr>
            </w:pPr>
          </w:p>
        </w:tc>
        <w:tc>
          <w:tcPr>
            <w:tcW w:w="41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申办流水号、办件名称、申请人、联系电话、事项名称、审批单位、受理人</w:t>
            </w:r>
          </w:p>
        </w:tc>
        <w:tc>
          <w:tcPr>
            <w:tcW w:w="1800" w:type="dxa"/>
            <w:vMerge w:val="continue"/>
            <w:vAlign w:val="center"/>
          </w:tcPr>
          <w:p>
            <w:pPr>
              <w:widowControl/>
              <w:rPr>
                <w:rFonts w:hint="eastAsia" w:ascii="仿宋_GB2312" w:hAnsi="宋体" w:eastAsia="仿宋_GB2312"/>
                <w:color w:val="000000"/>
                <w:sz w:val="18"/>
                <w:szCs w:val="18"/>
              </w:rPr>
            </w:pPr>
          </w:p>
        </w:tc>
        <w:tc>
          <w:tcPr>
            <w:tcW w:w="144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pPr>
              <w:widowControl/>
              <w:rPr>
                <w:rFonts w:hint="eastAsia" w:ascii="仿宋_GB2312" w:hAnsi="宋体" w:eastAsia="仿宋_GB2312"/>
                <w:color w:val="000000"/>
                <w:sz w:val="18"/>
                <w:szCs w:val="18"/>
              </w:rPr>
            </w:pPr>
          </w:p>
        </w:tc>
        <w:tc>
          <w:tcPr>
            <w:tcW w:w="1080" w:type="dxa"/>
            <w:vMerge w:val="continue"/>
            <w:shd w:val="clear" w:color="auto" w:fill="auto"/>
            <w:vAlign w:val="center"/>
          </w:tcPr>
          <w:p>
            <w:pPr>
              <w:widowControl/>
              <w:rPr>
                <w:rFonts w:hint="eastAsia" w:ascii="仿宋_GB2312" w:hAnsi="宋体" w:eastAsia="仿宋_GB2312"/>
                <w:color w:val="000000"/>
                <w:sz w:val="18"/>
                <w:szCs w:val="18"/>
              </w:rPr>
            </w:pP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pPr>
        <w:jc w:val="center"/>
        <w:rPr>
          <w:rFonts w:ascii="Times New Roman" w:hAnsi="Times New Roman" w:eastAsia="方正小标宋_GBK"/>
          <w:sz w:val="28"/>
          <w:szCs w:val="28"/>
        </w:rPr>
      </w:pPr>
    </w:p>
    <w:p>
      <w:pPr>
        <w:jc w:val="left"/>
        <w:rPr>
          <w:rFonts w:hint="eastAsia" w:ascii="Times New Roman" w:hAnsi="Times New Roman" w:eastAsia="方正小标宋_GBK"/>
          <w:sz w:val="28"/>
          <w:szCs w:val="28"/>
        </w:rPr>
      </w:pPr>
    </w:p>
    <w:sectPr>
      <w:footerReference r:id="rId8" w:type="first"/>
      <w:footerReference r:id="rId7"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p>
  <w:p>
    <w:pPr>
      <w:pStyle w:val="5"/>
      <w:jc w:val="center"/>
      <w:rPr>
        <w:rFonts w:hint="eastAsia"/>
      </w:rPr>
    </w:pPr>
    <w:r>
      <w:rPr>
        <w:rStyle w:val="12"/>
      </w:rPr>
      <w:fldChar w:fldCharType="begin"/>
    </w:r>
    <w:r>
      <w:rPr>
        <w:rStyle w:val="12"/>
      </w:rPr>
      <w:instrText xml:space="preserve"> PAGE </w:instrText>
    </w:r>
    <w:r>
      <w:rPr>
        <w:rStyle w:val="12"/>
      </w:rPr>
      <w:fldChar w:fldCharType="separate"/>
    </w:r>
    <w:r>
      <w:rPr>
        <w:rStyle w:val="12"/>
      </w:rPr>
      <w:t>158</w:t>
    </w:r>
    <w:r>
      <w:rPr>
        <w:rStyle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ODFhMjA1M2UyOTM0NTM0NjE5ZGIzMWY2OGVlMzYifQ=="/>
  </w:docVars>
  <w:rsids>
    <w:rsidRoot w:val="005D1EA5"/>
    <w:rsid w:val="00005FB9"/>
    <w:rsid w:val="00006ADC"/>
    <w:rsid w:val="0001250B"/>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A2C"/>
    <w:rsid w:val="000964CC"/>
    <w:rsid w:val="00097674"/>
    <w:rsid w:val="000A2775"/>
    <w:rsid w:val="000A5C97"/>
    <w:rsid w:val="000A7F01"/>
    <w:rsid w:val="000C6BF3"/>
    <w:rsid w:val="000D0945"/>
    <w:rsid w:val="000D1F17"/>
    <w:rsid w:val="000E3D7D"/>
    <w:rsid w:val="000E5A3C"/>
    <w:rsid w:val="000E6E67"/>
    <w:rsid w:val="000E7C68"/>
    <w:rsid w:val="000F751F"/>
    <w:rsid w:val="00100C59"/>
    <w:rsid w:val="001024D7"/>
    <w:rsid w:val="001078E3"/>
    <w:rsid w:val="0011273B"/>
    <w:rsid w:val="00116932"/>
    <w:rsid w:val="00117834"/>
    <w:rsid w:val="001273B6"/>
    <w:rsid w:val="00131909"/>
    <w:rsid w:val="00140ABD"/>
    <w:rsid w:val="0014190C"/>
    <w:rsid w:val="00142E1C"/>
    <w:rsid w:val="0014417E"/>
    <w:rsid w:val="00150886"/>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A0EE1"/>
    <w:rsid w:val="001A3FFF"/>
    <w:rsid w:val="001A7CDB"/>
    <w:rsid w:val="001B4494"/>
    <w:rsid w:val="001B4DA1"/>
    <w:rsid w:val="001C09D3"/>
    <w:rsid w:val="001D7831"/>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D218F"/>
    <w:rsid w:val="002E1CF7"/>
    <w:rsid w:val="002E23D2"/>
    <w:rsid w:val="002E33B1"/>
    <w:rsid w:val="002E5486"/>
    <w:rsid w:val="002F13AE"/>
    <w:rsid w:val="002F1EAD"/>
    <w:rsid w:val="002F3EAA"/>
    <w:rsid w:val="002F547E"/>
    <w:rsid w:val="00316253"/>
    <w:rsid w:val="00320AFE"/>
    <w:rsid w:val="00321BC5"/>
    <w:rsid w:val="003228E5"/>
    <w:rsid w:val="0032427E"/>
    <w:rsid w:val="003374D8"/>
    <w:rsid w:val="00337F02"/>
    <w:rsid w:val="003436E8"/>
    <w:rsid w:val="00346A3E"/>
    <w:rsid w:val="003506F5"/>
    <w:rsid w:val="00350D04"/>
    <w:rsid w:val="00356811"/>
    <w:rsid w:val="00357025"/>
    <w:rsid w:val="003579E1"/>
    <w:rsid w:val="00360682"/>
    <w:rsid w:val="003707AD"/>
    <w:rsid w:val="00371535"/>
    <w:rsid w:val="00391DA6"/>
    <w:rsid w:val="00395C82"/>
    <w:rsid w:val="00396BFA"/>
    <w:rsid w:val="003A055F"/>
    <w:rsid w:val="003A4319"/>
    <w:rsid w:val="003A5130"/>
    <w:rsid w:val="003C13DB"/>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4C58"/>
    <w:rsid w:val="00443643"/>
    <w:rsid w:val="00447D1E"/>
    <w:rsid w:val="00454B66"/>
    <w:rsid w:val="0046131F"/>
    <w:rsid w:val="00470A45"/>
    <w:rsid w:val="004735CC"/>
    <w:rsid w:val="00473616"/>
    <w:rsid w:val="004741F3"/>
    <w:rsid w:val="004748F3"/>
    <w:rsid w:val="004800CF"/>
    <w:rsid w:val="00480F60"/>
    <w:rsid w:val="00481A24"/>
    <w:rsid w:val="004934D6"/>
    <w:rsid w:val="00495D55"/>
    <w:rsid w:val="004A6AED"/>
    <w:rsid w:val="004B70E4"/>
    <w:rsid w:val="004B7B49"/>
    <w:rsid w:val="004C2064"/>
    <w:rsid w:val="004C520F"/>
    <w:rsid w:val="004D0346"/>
    <w:rsid w:val="004E0CF9"/>
    <w:rsid w:val="004E3C7D"/>
    <w:rsid w:val="004F0F2A"/>
    <w:rsid w:val="004F1782"/>
    <w:rsid w:val="004F2C26"/>
    <w:rsid w:val="004F31FF"/>
    <w:rsid w:val="004F4BBC"/>
    <w:rsid w:val="0050438F"/>
    <w:rsid w:val="00504CD4"/>
    <w:rsid w:val="00510D24"/>
    <w:rsid w:val="005128E6"/>
    <w:rsid w:val="005134ED"/>
    <w:rsid w:val="00520F11"/>
    <w:rsid w:val="005222BB"/>
    <w:rsid w:val="0052697A"/>
    <w:rsid w:val="005309CA"/>
    <w:rsid w:val="00535DBF"/>
    <w:rsid w:val="00537936"/>
    <w:rsid w:val="005601E2"/>
    <w:rsid w:val="00566960"/>
    <w:rsid w:val="00567A97"/>
    <w:rsid w:val="00570AD8"/>
    <w:rsid w:val="0057243A"/>
    <w:rsid w:val="00573AF7"/>
    <w:rsid w:val="00574873"/>
    <w:rsid w:val="00577B8D"/>
    <w:rsid w:val="005873B9"/>
    <w:rsid w:val="00587789"/>
    <w:rsid w:val="00590D0E"/>
    <w:rsid w:val="00595E5C"/>
    <w:rsid w:val="005A0ADC"/>
    <w:rsid w:val="005A3D28"/>
    <w:rsid w:val="005A5DD7"/>
    <w:rsid w:val="005B117C"/>
    <w:rsid w:val="005C1EA4"/>
    <w:rsid w:val="005D1EA5"/>
    <w:rsid w:val="005E1276"/>
    <w:rsid w:val="005F38B9"/>
    <w:rsid w:val="00610FD3"/>
    <w:rsid w:val="0061198E"/>
    <w:rsid w:val="00615839"/>
    <w:rsid w:val="00622A42"/>
    <w:rsid w:val="006359C4"/>
    <w:rsid w:val="0063753D"/>
    <w:rsid w:val="0064282F"/>
    <w:rsid w:val="006447DD"/>
    <w:rsid w:val="0064510A"/>
    <w:rsid w:val="00646A00"/>
    <w:rsid w:val="00655727"/>
    <w:rsid w:val="0066461C"/>
    <w:rsid w:val="0067009C"/>
    <w:rsid w:val="00673CAF"/>
    <w:rsid w:val="00680467"/>
    <w:rsid w:val="00682E1D"/>
    <w:rsid w:val="00693B6C"/>
    <w:rsid w:val="006953F4"/>
    <w:rsid w:val="006A05F7"/>
    <w:rsid w:val="006A0C1A"/>
    <w:rsid w:val="006B1596"/>
    <w:rsid w:val="006B5D0D"/>
    <w:rsid w:val="006C3373"/>
    <w:rsid w:val="006C37CE"/>
    <w:rsid w:val="006C72FC"/>
    <w:rsid w:val="006D28DC"/>
    <w:rsid w:val="006E49C7"/>
    <w:rsid w:val="006E504B"/>
    <w:rsid w:val="006E5B70"/>
    <w:rsid w:val="007000D3"/>
    <w:rsid w:val="0070268C"/>
    <w:rsid w:val="00704079"/>
    <w:rsid w:val="0070432E"/>
    <w:rsid w:val="007066B2"/>
    <w:rsid w:val="00717AE7"/>
    <w:rsid w:val="00720C59"/>
    <w:rsid w:val="00722DF5"/>
    <w:rsid w:val="00726208"/>
    <w:rsid w:val="00727666"/>
    <w:rsid w:val="00731A17"/>
    <w:rsid w:val="00737236"/>
    <w:rsid w:val="007526E0"/>
    <w:rsid w:val="00754433"/>
    <w:rsid w:val="00764DBF"/>
    <w:rsid w:val="007662F5"/>
    <w:rsid w:val="007769B7"/>
    <w:rsid w:val="007803B1"/>
    <w:rsid w:val="00781C45"/>
    <w:rsid w:val="00782CAF"/>
    <w:rsid w:val="0078392A"/>
    <w:rsid w:val="00791687"/>
    <w:rsid w:val="00793C8A"/>
    <w:rsid w:val="007A13EA"/>
    <w:rsid w:val="007A5CF5"/>
    <w:rsid w:val="007B00FD"/>
    <w:rsid w:val="007B032A"/>
    <w:rsid w:val="007B6D40"/>
    <w:rsid w:val="007C2942"/>
    <w:rsid w:val="007C43ED"/>
    <w:rsid w:val="007D1ABA"/>
    <w:rsid w:val="007D4D96"/>
    <w:rsid w:val="007E5652"/>
    <w:rsid w:val="007E6AEC"/>
    <w:rsid w:val="007F1730"/>
    <w:rsid w:val="007F2517"/>
    <w:rsid w:val="007F2593"/>
    <w:rsid w:val="007F7E67"/>
    <w:rsid w:val="00800726"/>
    <w:rsid w:val="008070F0"/>
    <w:rsid w:val="00812A82"/>
    <w:rsid w:val="00814F97"/>
    <w:rsid w:val="00815596"/>
    <w:rsid w:val="0082234A"/>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EA4"/>
    <w:rsid w:val="008832FF"/>
    <w:rsid w:val="00883971"/>
    <w:rsid w:val="00885490"/>
    <w:rsid w:val="008878BF"/>
    <w:rsid w:val="00887948"/>
    <w:rsid w:val="008915F9"/>
    <w:rsid w:val="00897C4F"/>
    <w:rsid w:val="008B7A10"/>
    <w:rsid w:val="008C4153"/>
    <w:rsid w:val="008D4338"/>
    <w:rsid w:val="008D74D9"/>
    <w:rsid w:val="008E5DCD"/>
    <w:rsid w:val="008F4728"/>
    <w:rsid w:val="00902803"/>
    <w:rsid w:val="00911314"/>
    <w:rsid w:val="00924599"/>
    <w:rsid w:val="009267D9"/>
    <w:rsid w:val="00927160"/>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686B"/>
    <w:rsid w:val="00976D9A"/>
    <w:rsid w:val="00983C2C"/>
    <w:rsid w:val="00992CAC"/>
    <w:rsid w:val="00995A3C"/>
    <w:rsid w:val="0099602F"/>
    <w:rsid w:val="009A2712"/>
    <w:rsid w:val="009A5FC0"/>
    <w:rsid w:val="009C62C7"/>
    <w:rsid w:val="009D57CF"/>
    <w:rsid w:val="009D6496"/>
    <w:rsid w:val="009E6EC1"/>
    <w:rsid w:val="009F0D49"/>
    <w:rsid w:val="009F5946"/>
    <w:rsid w:val="00A00B7A"/>
    <w:rsid w:val="00A0700D"/>
    <w:rsid w:val="00A071A4"/>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83F13"/>
    <w:rsid w:val="00A8554D"/>
    <w:rsid w:val="00A94D8C"/>
    <w:rsid w:val="00A95B71"/>
    <w:rsid w:val="00AA05A1"/>
    <w:rsid w:val="00AA25DD"/>
    <w:rsid w:val="00AB006A"/>
    <w:rsid w:val="00AB13B4"/>
    <w:rsid w:val="00AB437A"/>
    <w:rsid w:val="00AB6B82"/>
    <w:rsid w:val="00AC0F61"/>
    <w:rsid w:val="00AC4189"/>
    <w:rsid w:val="00AD087C"/>
    <w:rsid w:val="00AD7A41"/>
    <w:rsid w:val="00AE0076"/>
    <w:rsid w:val="00AF544A"/>
    <w:rsid w:val="00AF7A06"/>
    <w:rsid w:val="00B11854"/>
    <w:rsid w:val="00B15870"/>
    <w:rsid w:val="00B17885"/>
    <w:rsid w:val="00B379A5"/>
    <w:rsid w:val="00B43A1D"/>
    <w:rsid w:val="00B4622E"/>
    <w:rsid w:val="00B629DE"/>
    <w:rsid w:val="00B62CD5"/>
    <w:rsid w:val="00B63C96"/>
    <w:rsid w:val="00B7223F"/>
    <w:rsid w:val="00B738F2"/>
    <w:rsid w:val="00B77453"/>
    <w:rsid w:val="00B82002"/>
    <w:rsid w:val="00B91926"/>
    <w:rsid w:val="00B956DC"/>
    <w:rsid w:val="00B95E92"/>
    <w:rsid w:val="00B96432"/>
    <w:rsid w:val="00BA004D"/>
    <w:rsid w:val="00BA6205"/>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511D6"/>
    <w:rsid w:val="00C606E9"/>
    <w:rsid w:val="00C6384F"/>
    <w:rsid w:val="00C64ED8"/>
    <w:rsid w:val="00C66344"/>
    <w:rsid w:val="00C764A6"/>
    <w:rsid w:val="00C7671A"/>
    <w:rsid w:val="00C76B83"/>
    <w:rsid w:val="00C80F7E"/>
    <w:rsid w:val="00C82291"/>
    <w:rsid w:val="00C8354F"/>
    <w:rsid w:val="00C91BD4"/>
    <w:rsid w:val="00CA595A"/>
    <w:rsid w:val="00CA7724"/>
    <w:rsid w:val="00CB64E4"/>
    <w:rsid w:val="00CB6505"/>
    <w:rsid w:val="00CC30CA"/>
    <w:rsid w:val="00CC7D09"/>
    <w:rsid w:val="00CD3DB4"/>
    <w:rsid w:val="00CD74B5"/>
    <w:rsid w:val="00CE3CD7"/>
    <w:rsid w:val="00CE584C"/>
    <w:rsid w:val="00CE58FA"/>
    <w:rsid w:val="00CE6AF2"/>
    <w:rsid w:val="00CF0F9F"/>
    <w:rsid w:val="00CF3ADD"/>
    <w:rsid w:val="00D225C8"/>
    <w:rsid w:val="00D2351D"/>
    <w:rsid w:val="00D25C0B"/>
    <w:rsid w:val="00D30D1A"/>
    <w:rsid w:val="00D33F6D"/>
    <w:rsid w:val="00D409C1"/>
    <w:rsid w:val="00D63AD3"/>
    <w:rsid w:val="00D70227"/>
    <w:rsid w:val="00D70F1D"/>
    <w:rsid w:val="00D72800"/>
    <w:rsid w:val="00D84489"/>
    <w:rsid w:val="00D877E7"/>
    <w:rsid w:val="00D90BA2"/>
    <w:rsid w:val="00DA1CB8"/>
    <w:rsid w:val="00DA64AA"/>
    <w:rsid w:val="00DA7434"/>
    <w:rsid w:val="00DB7680"/>
    <w:rsid w:val="00DC487C"/>
    <w:rsid w:val="00DD19D2"/>
    <w:rsid w:val="00DD4E2A"/>
    <w:rsid w:val="00DD6E11"/>
    <w:rsid w:val="00DE6B9E"/>
    <w:rsid w:val="00DF3708"/>
    <w:rsid w:val="00DF4661"/>
    <w:rsid w:val="00E12F8A"/>
    <w:rsid w:val="00E17025"/>
    <w:rsid w:val="00E17F1F"/>
    <w:rsid w:val="00E30681"/>
    <w:rsid w:val="00E31715"/>
    <w:rsid w:val="00E31CF6"/>
    <w:rsid w:val="00E3230D"/>
    <w:rsid w:val="00E37CF0"/>
    <w:rsid w:val="00E43A72"/>
    <w:rsid w:val="00E46E53"/>
    <w:rsid w:val="00E51123"/>
    <w:rsid w:val="00E540BA"/>
    <w:rsid w:val="00E56D4A"/>
    <w:rsid w:val="00E76487"/>
    <w:rsid w:val="00E83276"/>
    <w:rsid w:val="00E84DF1"/>
    <w:rsid w:val="00E85AD2"/>
    <w:rsid w:val="00E86CD0"/>
    <w:rsid w:val="00E9149A"/>
    <w:rsid w:val="00E91746"/>
    <w:rsid w:val="00E91EB1"/>
    <w:rsid w:val="00EA078A"/>
    <w:rsid w:val="00EA179F"/>
    <w:rsid w:val="00EA3D01"/>
    <w:rsid w:val="00EA7E98"/>
    <w:rsid w:val="00EB123E"/>
    <w:rsid w:val="00EB3A62"/>
    <w:rsid w:val="00EB7039"/>
    <w:rsid w:val="00EC42DF"/>
    <w:rsid w:val="00ED20BE"/>
    <w:rsid w:val="00EE5EE8"/>
    <w:rsid w:val="00EE6966"/>
    <w:rsid w:val="00EF14C6"/>
    <w:rsid w:val="00EF20F1"/>
    <w:rsid w:val="00F10AA0"/>
    <w:rsid w:val="00F22328"/>
    <w:rsid w:val="00F3769F"/>
    <w:rsid w:val="00F419F8"/>
    <w:rsid w:val="00F4550F"/>
    <w:rsid w:val="00F523DB"/>
    <w:rsid w:val="00F5499A"/>
    <w:rsid w:val="00F60BDC"/>
    <w:rsid w:val="00F7175D"/>
    <w:rsid w:val="00F819F8"/>
    <w:rsid w:val="00F9016D"/>
    <w:rsid w:val="00F97583"/>
    <w:rsid w:val="00F97C27"/>
    <w:rsid w:val="00FB38B5"/>
    <w:rsid w:val="00FB7FA5"/>
    <w:rsid w:val="00FC3342"/>
    <w:rsid w:val="00FC5D44"/>
    <w:rsid w:val="00FC6558"/>
    <w:rsid w:val="00FC7E69"/>
    <w:rsid w:val="00FD07F0"/>
    <w:rsid w:val="00FD10F1"/>
    <w:rsid w:val="00FD202C"/>
    <w:rsid w:val="00FD7321"/>
    <w:rsid w:val="00FE0FE4"/>
    <w:rsid w:val="00FE7FFE"/>
    <w:rsid w:val="00FF77BB"/>
    <w:rsid w:val="046A00F6"/>
    <w:rsid w:val="0D9A6F84"/>
    <w:rsid w:val="0FCC23DC"/>
    <w:rsid w:val="1806529B"/>
    <w:rsid w:val="23F02669"/>
    <w:rsid w:val="24C74C63"/>
    <w:rsid w:val="27EC36A8"/>
    <w:rsid w:val="2B9118D8"/>
    <w:rsid w:val="37BB3376"/>
    <w:rsid w:val="3F9E426B"/>
    <w:rsid w:val="4D210914"/>
    <w:rsid w:val="530310B4"/>
    <w:rsid w:val="611C589B"/>
    <w:rsid w:val="6E7A0614"/>
    <w:rsid w:val="76F5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semiHidden/>
    <w:qFormat/>
    <w:uiPriority w:val="0"/>
    <w:rPr>
      <w:b/>
      <w:bCs/>
    </w:rPr>
  </w:style>
  <w:style w:type="table" w:styleId="10">
    <w:name w:val="Table Grid"/>
    <w:basedOn w:val="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semiHidden/>
    <w:qFormat/>
    <w:uiPriority w:val="0"/>
    <w:rPr>
      <w:sz w:val="21"/>
      <w:szCs w:val="21"/>
    </w:rPr>
  </w:style>
  <w:style w:type="paragraph" w:styleId="15">
    <w:name w:val="List Paragraph"/>
    <w:basedOn w:val="1"/>
    <w:qFormat/>
    <w:uiPriority w:val="0"/>
    <w:pPr>
      <w:ind w:firstLine="420" w:firstLineChars="200"/>
    </w:pPr>
    <w:rPr>
      <w:rFonts w:ascii="等线" w:hAnsi="等线" w:eastAsia="等线"/>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34</Pages>
  <Words>18435</Words>
  <Characters>18795</Characters>
  <Lines>800</Lines>
  <Paragraphs>225</Paragraphs>
  <TotalTime>13</TotalTime>
  <ScaleCrop>false</ScaleCrop>
  <LinksUpToDate>false</LinksUpToDate>
  <CharactersWithSpaces>19868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2020-09-07T01:13:00Z</dcterms:created>
  <dc:creator>USER</dc:creator>
  <cp:lastModifiedBy>worker</cp:lastModifiedBy>
  <cp:lastPrinted>2019-12-13T01:49:00Z</cp:lastPrinted>
  <dcterms:modified xsi:type="dcterms:W3CDTF">2023-03-21T10:01:30Z</dcterms:modified>
  <dc:title>扶贫领域基层政务公开标准目录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579B93FC1FE3473CAFD55BA7FBC29236</vt:lpwstr>
  </property>
</Properties>
</file>