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lang w:val="en-US" w:eastAsia="zh-CN"/>
        </w:rPr>
      </w:pPr>
      <w:bookmarkStart w:id="0" w:name="_Toc24724724"/>
      <w:r>
        <w:rPr>
          <w:rFonts w:hint="eastAsia" w:ascii="方正小标宋_GBK" w:hAnsi="方正小标宋_GBK" w:eastAsia="方正小标宋_GBK"/>
          <w:b w:val="0"/>
          <w:bCs w:val="0"/>
          <w:sz w:val="30"/>
        </w:rPr>
        <w:t>卫生健康领域基层政务公开标准目录</w:t>
      </w:r>
      <w:bookmarkEnd w:id="0"/>
    </w:p>
    <w:tbl>
      <w:tblPr>
        <w:tblStyle w:val="5"/>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720"/>
        <w:gridCol w:w="1781"/>
        <w:gridCol w:w="3548"/>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539"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50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54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78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8"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7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1</w:t>
            </w:r>
          </w:p>
        </w:tc>
        <w:tc>
          <w:tcPr>
            <w:tcW w:w="720" w:type="dxa"/>
            <w:vMerge w:val="restart"/>
            <w:vAlign w:val="center"/>
          </w:tcPr>
          <w:p>
            <w:pPr>
              <w:jc w:val="center"/>
              <w:rPr>
                <w:rFonts w:ascii="仿宋" w:hAnsi="仿宋" w:eastAsia="仿宋" w:cs="宋体"/>
                <w:bCs/>
                <w:color w:val="000000"/>
                <w:sz w:val="18"/>
                <w:szCs w:val="18"/>
              </w:rPr>
            </w:pPr>
            <w:r>
              <w:rPr>
                <w:rFonts w:hint="eastAsia" w:ascii="仿宋" w:hAnsi="仿宋" w:eastAsia="仿宋"/>
                <w:bCs/>
                <w:color w:val="000000"/>
                <w:sz w:val="18"/>
                <w:szCs w:val="18"/>
              </w:rPr>
              <w:t>行政许可类事项</w:t>
            </w:r>
          </w:p>
        </w:tc>
        <w:tc>
          <w:tcPr>
            <w:tcW w:w="1781"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母婴保健技术服务机构执业许可（包括计划生育技术服务机构执业许可）（权限内）</w:t>
            </w:r>
          </w:p>
        </w:tc>
        <w:tc>
          <w:tcPr>
            <w:tcW w:w="3548"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1.法律法规和政策文件</w:t>
            </w:r>
            <w:r>
              <w:rPr>
                <w:rFonts w:hint="eastAsia" w:ascii="仿宋" w:hAnsi="仿宋" w:eastAsia="仿宋" w:cs="宋体"/>
                <w:color w:val="000000"/>
                <w:sz w:val="18"/>
                <w:szCs w:val="18"/>
              </w:rPr>
              <w:t>；</w:t>
            </w:r>
          </w:p>
          <w:p>
            <w:pPr>
              <w:rPr>
                <w:rFonts w:ascii="仿宋" w:hAnsi="仿宋" w:eastAsia="仿宋" w:cs="宋体"/>
                <w:color w:val="000000"/>
                <w:sz w:val="18"/>
                <w:szCs w:val="18"/>
              </w:rPr>
            </w:pPr>
            <w:r>
              <w:rPr>
                <w:rFonts w:hint="eastAsia" w:ascii="仿宋" w:hAnsi="仿宋" w:eastAsia="仿宋" w:cs="宋体"/>
                <w:color w:val="000000"/>
                <w:sz w:val="18"/>
                <w:szCs w:val="18"/>
              </w:rPr>
              <w:t>2.</w:t>
            </w:r>
            <w:r>
              <w:rPr>
                <w:rFonts w:hint="eastAsia" w:ascii="仿宋" w:hAnsi="仿宋" w:eastAsia="仿宋"/>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s="宋体"/>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r>
              <w:rPr>
                <w:rFonts w:hint="eastAsia" w:ascii="仿宋" w:hAnsi="仿宋" w:eastAsia="仿宋"/>
                <w:color w:val="000000"/>
                <w:sz w:val="18"/>
                <w:szCs w:val="18"/>
              </w:rPr>
              <w:t xml:space="preserve">    </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rPr>
                <w:rFonts w:ascii="仿宋" w:hAnsi="仿宋" w:eastAsia="仿宋" w:cs="宋体"/>
                <w:color w:val="000000"/>
                <w:sz w:val="18"/>
                <w:szCs w:val="18"/>
              </w:rPr>
            </w:pPr>
          </w:p>
        </w:tc>
        <w:tc>
          <w:tcPr>
            <w:tcW w:w="720" w:type="dxa"/>
            <w:vMerge w:val="continue"/>
            <w:vAlign w:val="center"/>
          </w:tcPr>
          <w:p>
            <w:pPr>
              <w:rPr>
                <w:rFonts w:ascii="仿宋" w:hAnsi="仿宋" w:eastAsia="仿宋" w:cs="宋体"/>
                <w:bCs/>
                <w:color w:val="000000"/>
                <w:sz w:val="18"/>
                <w:szCs w:val="18"/>
              </w:rPr>
            </w:pPr>
          </w:p>
        </w:tc>
        <w:tc>
          <w:tcPr>
            <w:tcW w:w="1781" w:type="dxa"/>
            <w:vMerge w:val="continue"/>
            <w:vAlign w:val="center"/>
          </w:tcPr>
          <w:p>
            <w:pPr>
              <w:rPr>
                <w:rFonts w:ascii="仿宋" w:hAnsi="仿宋" w:eastAsia="仿宋" w:cs="宋体"/>
                <w:color w:val="000000"/>
                <w:sz w:val="18"/>
                <w:szCs w:val="18"/>
              </w:rPr>
            </w:pPr>
          </w:p>
        </w:tc>
        <w:tc>
          <w:tcPr>
            <w:tcW w:w="3548"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结果信息——母婴保健技术服务执业许可证信息</w:t>
            </w:r>
          </w:p>
        </w:tc>
        <w:tc>
          <w:tcPr>
            <w:tcW w:w="1800" w:type="dxa"/>
            <w:vMerge w:val="continue"/>
            <w:vAlign w:val="center"/>
          </w:tcPr>
          <w:p>
            <w:pPr>
              <w:rPr>
                <w:rFonts w:ascii="仿宋" w:hAnsi="仿宋" w:eastAsia="仿宋" w:cs="宋体"/>
                <w:color w:val="000000"/>
                <w:sz w:val="18"/>
                <w:szCs w:val="18"/>
              </w:rPr>
            </w:pP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rPr>
                <w:rFonts w:ascii="仿宋" w:hAnsi="仿宋" w:eastAsia="仿宋"/>
                <w:color w:val="000000"/>
                <w:sz w:val="18"/>
                <w:szCs w:val="18"/>
              </w:rPr>
            </w:pP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39"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2</w:t>
            </w:r>
          </w:p>
        </w:tc>
        <w:tc>
          <w:tcPr>
            <w:tcW w:w="72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母婴保健服务人员资格认定（包括计划生育技术服务人员合格证）（权限内）</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p>
            <w:pPr>
              <w:rPr>
                <w:rFonts w:ascii="仿宋" w:hAnsi="仿宋" w:eastAsia="仿宋"/>
                <w:color w:val="000000"/>
                <w:sz w:val="18"/>
                <w:szCs w:val="18"/>
              </w:rPr>
            </w:pPr>
          </w:p>
        </w:tc>
        <w:tc>
          <w:tcPr>
            <w:tcW w:w="1800"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rPr>
                <w:rFonts w:ascii="仿宋" w:hAnsi="仿宋" w:eastAsia="仿宋"/>
                <w:color w:val="000000"/>
                <w:sz w:val="18"/>
                <w:szCs w:val="18"/>
              </w:rPr>
            </w:pPr>
          </w:p>
        </w:tc>
        <w:tc>
          <w:tcPr>
            <w:tcW w:w="720" w:type="dxa"/>
            <w:vMerge w:val="continue"/>
            <w:vAlign w:val="center"/>
          </w:tcPr>
          <w:p>
            <w:pPr>
              <w:rPr>
                <w:rFonts w:ascii="仿宋" w:hAnsi="仿宋" w:eastAsia="仿宋"/>
                <w:color w:val="000000"/>
                <w:sz w:val="18"/>
                <w:szCs w:val="18"/>
              </w:rPr>
            </w:pPr>
          </w:p>
        </w:tc>
        <w:tc>
          <w:tcPr>
            <w:tcW w:w="1781" w:type="dxa"/>
            <w:vMerge w:val="continue"/>
            <w:vAlign w:val="center"/>
          </w:tcPr>
          <w:p>
            <w:pPr>
              <w:rPr>
                <w:rFonts w:ascii="仿宋" w:hAnsi="仿宋" w:eastAsia="仿宋"/>
                <w:color w:val="000000"/>
                <w:sz w:val="18"/>
                <w:szCs w:val="18"/>
              </w:rPr>
            </w:pP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vAlign w:val="center"/>
          </w:tcPr>
          <w:p>
            <w:pPr>
              <w:rPr>
                <w:rFonts w:ascii="仿宋" w:hAnsi="仿宋" w:eastAsia="仿宋"/>
                <w:color w:val="000000"/>
                <w:sz w:val="18"/>
                <w:szCs w:val="18"/>
              </w:rPr>
            </w:pP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3</w:t>
            </w:r>
          </w:p>
        </w:tc>
        <w:tc>
          <w:tcPr>
            <w:tcW w:w="72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医疗机构设置审批（含港澳台，外商独资除外）（权限内）</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《行政许可法》、《中医药法》、《医疗机构管理条例》、《国务院关于取消和下放50项行政审批项目等事项的决定》、《医疗机构管理条例实施细则》、《医疗美容服务管理办法》</w:t>
            </w: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rPr>
                <w:rFonts w:ascii="仿宋" w:hAnsi="仿宋" w:eastAsia="仿宋"/>
                <w:color w:val="000000"/>
                <w:sz w:val="18"/>
                <w:szCs w:val="18"/>
              </w:rPr>
            </w:pPr>
          </w:p>
        </w:tc>
        <w:tc>
          <w:tcPr>
            <w:tcW w:w="720" w:type="dxa"/>
            <w:vMerge w:val="continue"/>
            <w:vAlign w:val="center"/>
          </w:tcPr>
          <w:p>
            <w:pPr>
              <w:rPr>
                <w:rFonts w:ascii="仿宋" w:hAnsi="仿宋" w:eastAsia="仿宋"/>
                <w:color w:val="000000"/>
                <w:sz w:val="18"/>
                <w:szCs w:val="18"/>
              </w:rPr>
            </w:pPr>
          </w:p>
        </w:tc>
        <w:tc>
          <w:tcPr>
            <w:tcW w:w="1781" w:type="dxa"/>
            <w:vMerge w:val="continue"/>
            <w:vAlign w:val="center"/>
          </w:tcPr>
          <w:p>
            <w:pPr>
              <w:rPr>
                <w:rFonts w:ascii="仿宋" w:hAnsi="仿宋" w:eastAsia="仿宋"/>
                <w:color w:val="000000"/>
                <w:sz w:val="18"/>
                <w:szCs w:val="18"/>
              </w:rPr>
            </w:pP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结果信息——设置审批结果信息</w:t>
            </w:r>
          </w:p>
        </w:tc>
        <w:tc>
          <w:tcPr>
            <w:tcW w:w="1800" w:type="dxa"/>
            <w:vMerge w:val="continue"/>
            <w:vAlign w:val="center"/>
          </w:tcPr>
          <w:p>
            <w:pPr>
              <w:rPr>
                <w:rFonts w:ascii="仿宋" w:hAnsi="仿宋" w:eastAsia="仿宋"/>
                <w:color w:val="000000"/>
                <w:sz w:val="18"/>
                <w:szCs w:val="18"/>
              </w:rPr>
            </w:pP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Align w:val="center"/>
          </w:tcPr>
          <w:p>
            <w:pPr>
              <w:jc w:val="center"/>
              <w:rPr>
                <w:rFonts w:ascii="仿宋" w:hAnsi="仿宋" w:eastAsia="仿宋"/>
                <w:color w:val="000000"/>
                <w:sz w:val="18"/>
                <w:szCs w:val="18"/>
              </w:rPr>
            </w:pP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4</w:t>
            </w:r>
          </w:p>
        </w:tc>
        <w:tc>
          <w:tcPr>
            <w:tcW w:w="72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医疗机构执业登记（人体器官移植除外）（权限内）</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《行政许可法》、《医疗机构管理条例》、《医疗机构管理条例实施细则》、《医疗美容服务管理办法》</w:t>
            </w: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rPr>
                <w:rFonts w:ascii="仿宋" w:hAnsi="仿宋" w:eastAsia="仿宋"/>
                <w:color w:val="000000"/>
                <w:sz w:val="18"/>
                <w:szCs w:val="18"/>
              </w:rPr>
            </w:pPr>
          </w:p>
        </w:tc>
        <w:tc>
          <w:tcPr>
            <w:tcW w:w="720" w:type="dxa"/>
            <w:vMerge w:val="continue"/>
            <w:vAlign w:val="center"/>
          </w:tcPr>
          <w:p>
            <w:pPr>
              <w:rPr>
                <w:rFonts w:ascii="仿宋" w:hAnsi="仿宋" w:eastAsia="仿宋"/>
                <w:color w:val="000000"/>
                <w:sz w:val="18"/>
                <w:szCs w:val="18"/>
              </w:rPr>
            </w:pPr>
          </w:p>
        </w:tc>
        <w:tc>
          <w:tcPr>
            <w:tcW w:w="1781" w:type="dxa"/>
            <w:vMerge w:val="continue"/>
            <w:vAlign w:val="center"/>
          </w:tcPr>
          <w:p>
            <w:pPr>
              <w:rPr>
                <w:rFonts w:ascii="仿宋" w:hAnsi="仿宋" w:eastAsia="仿宋"/>
                <w:color w:val="000000"/>
                <w:sz w:val="18"/>
                <w:szCs w:val="18"/>
              </w:rPr>
            </w:pP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结果信息——医疗机构名称、地址、诊疗科目、法定代表人、主要负责人、登记号、医疗机构执业许可证有效期限、审批机关</w:t>
            </w:r>
          </w:p>
        </w:tc>
        <w:tc>
          <w:tcPr>
            <w:tcW w:w="1800" w:type="dxa"/>
            <w:vMerge w:val="continue"/>
            <w:vAlign w:val="center"/>
          </w:tcPr>
          <w:p>
            <w:pPr>
              <w:rPr>
                <w:rFonts w:ascii="仿宋" w:hAnsi="仿宋" w:eastAsia="仿宋"/>
                <w:color w:val="000000"/>
                <w:sz w:val="18"/>
                <w:szCs w:val="18"/>
              </w:rPr>
            </w:pP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5</w:t>
            </w:r>
          </w:p>
        </w:tc>
        <w:tc>
          <w:tcPr>
            <w:tcW w:w="72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医师执业注册（权限内）</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《行政许可法》、《执业医师法》、《医师执业注册管理办法》</w:t>
            </w: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rPr>
                <w:rFonts w:ascii="仿宋" w:hAnsi="仿宋" w:eastAsia="仿宋"/>
                <w:color w:val="000000"/>
                <w:sz w:val="18"/>
                <w:szCs w:val="18"/>
              </w:rPr>
            </w:pPr>
          </w:p>
        </w:tc>
        <w:tc>
          <w:tcPr>
            <w:tcW w:w="720" w:type="dxa"/>
            <w:vMerge w:val="continue"/>
            <w:vAlign w:val="center"/>
          </w:tcPr>
          <w:p>
            <w:pPr>
              <w:rPr>
                <w:rFonts w:ascii="仿宋" w:hAnsi="仿宋" w:eastAsia="仿宋"/>
                <w:color w:val="000000"/>
                <w:sz w:val="18"/>
                <w:szCs w:val="18"/>
              </w:rPr>
            </w:pPr>
          </w:p>
        </w:tc>
        <w:tc>
          <w:tcPr>
            <w:tcW w:w="1781" w:type="dxa"/>
            <w:vMerge w:val="continue"/>
            <w:vAlign w:val="center"/>
          </w:tcPr>
          <w:p>
            <w:pPr>
              <w:rPr>
                <w:rFonts w:ascii="仿宋" w:hAnsi="仿宋" w:eastAsia="仿宋"/>
                <w:color w:val="000000"/>
                <w:sz w:val="18"/>
                <w:szCs w:val="18"/>
              </w:rPr>
            </w:pP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vAlign w:val="center"/>
          </w:tcPr>
          <w:p>
            <w:pPr>
              <w:jc w:val="center"/>
              <w:rPr>
                <w:rFonts w:ascii="仿宋" w:hAnsi="仿宋" w:eastAsia="仿宋"/>
                <w:color w:val="000000"/>
                <w:sz w:val="18"/>
                <w:szCs w:val="18"/>
              </w:rPr>
            </w:pPr>
          </w:p>
        </w:tc>
        <w:tc>
          <w:tcPr>
            <w:tcW w:w="1440" w:type="dxa"/>
            <w:vAlign w:val="center"/>
          </w:tcPr>
          <w:p>
            <w:pPr>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Align w:val="center"/>
          </w:tcPr>
          <w:p>
            <w:pPr>
              <w:jc w:val="center"/>
              <w:rPr>
                <w:rFonts w:ascii="仿宋" w:hAnsi="仿宋" w:eastAsia="仿宋"/>
                <w:color w:val="000000"/>
                <w:sz w:val="18"/>
                <w:szCs w:val="18"/>
              </w:rPr>
            </w:pPr>
          </w:p>
        </w:tc>
        <w:tc>
          <w:tcPr>
            <w:tcW w:w="1080" w:type="dxa"/>
            <w:vAlign w:val="center"/>
          </w:tcPr>
          <w:p>
            <w:pPr>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6</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护士执业注册（权限内）</w:t>
            </w:r>
          </w:p>
        </w:tc>
        <w:tc>
          <w:tcPr>
            <w:tcW w:w="3548"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1.法律法规和政策文件</w:t>
            </w:r>
          </w:p>
          <w:p>
            <w:pPr>
              <w:widowControl/>
              <w:jc w:val="left"/>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《行政许可法》、《护士条例》、《国务院关于取消和下放一批行政许可事项的决定》、《国家卫生健康委关于做好下放护士执业注册审批有关工作的通知》、《护士执业注册管理办法》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jc w:val="left"/>
              <w:rPr>
                <w:rFonts w:ascii="仿宋" w:hAnsi="仿宋" w:eastAsia="仿宋" w:cs="宋体"/>
                <w:color w:val="000000"/>
                <w:kern w:val="0"/>
                <w:sz w:val="18"/>
                <w:szCs w:val="18"/>
              </w:rPr>
            </w:pPr>
          </w:p>
        </w:tc>
        <w:tc>
          <w:tcPr>
            <w:tcW w:w="720" w:type="dxa"/>
            <w:vMerge w:val="continue"/>
            <w:vAlign w:val="center"/>
          </w:tcPr>
          <w:p>
            <w:pPr>
              <w:widowControl/>
              <w:jc w:val="left"/>
              <w:rPr>
                <w:rFonts w:ascii="仿宋" w:hAnsi="仿宋" w:eastAsia="仿宋" w:cs="宋体"/>
                <w:bCs/>
                <w:color w:val="000000"/>
                <w:kern w:val="0"/>
                <w:sz w:val="18"/>
                <w:szCs w:val="18"/>
              </w:rPr>
            </w:pPr>
          </w:p>
        </w:tc>
        <w:tc>
          <w:tcPr>
            <w:tcW w:w="1781" w:type="dxa"/>
            <w:vMerge w:val="continue"/>
            <w:vAlign w:val="center"/>
          </w:tcPr>
          <w:p>
            <w:pPr>
              <w:widowControl/>
              <w:jc w:val="left"/>
              <w:rPr>
                <w:rFonts w:ascii="仿宋" w:hAnsi="仿宋" w:eastAsia="仿宋" w:cs="宋体"/>
                <w:color w:val="000000"/>
                <w:kern w:val="0"/>
                <w:sz w:val="18"/>
                <w:szCs w:val="18"/>
              </w:rPr>
            </w:pPr>
          </w:p>
        </w:tc>
        <w:tc>
          <w:tcPr>
            <w:tcW w:w="3548"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vAlign w:val="center"/>
          </w:tcPr>
          <w:p>
            <w:pPr>
              <w:widowControl/>
              <w:jc w:val="left"/>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饮用水供水单位卫生许可（权限内）</w:t>
            </w:r>
          </w:p>
        </w:tc>
        <w:tc>
          <w:tcPr>
            <w:tcW w:w="3548"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1.法律法规和政策文件</w:t>
            </w:r>
          </w:p>
          <w:p>
            <w:pPr>
              <w:widowControl/>
              <w:jc w:val="left"/>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jc w:val="left"/>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《行政许可法》、《传染病防治法》、《传染病防治法实施办法》、《国务院对确需保留的行政审批项目设定行政许可的决定》、《生活饮用水卫生监督管理办法》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jc w:val="left"/>
              <w:rPr>
                <w:rFonts w:ascii="仿宋" w:hAnsi="仿宋" w:eastAsia="仿宋"/>
                <w:color w:val="000000"/>
                <w:sz w:val="18"/>
                <w:szCs w:val="18"/>
              </w:rPr>
            </w:pPr>
          </w:p>
        </w:tc>
        <w:tc>
          <w:tcPr>
            <w:tcW w:w="720" w:type="dxa"/>
            <w:vMerge w:val="continue"/>
            <w:vAlign w:val="center"/>
          </w:tcPr>
          <w:p>
            <w:pPr>
              <w:widowControl/>
              <w:jc w:val="left"/>
              <w:rPr>
                <w:rFonts w:ascii="仿宋" w:hAnsi="仿宋" w:eastAsia="仿宋"/>
                <w:color w:val="000000"/>
                <w:sz w:val="18"/>
                <w:szCs w:val="18"/>
              </w:rPr>
            </w:pPr>
          </w:p>
        </w:tc>
        <w:tc>
          <w:tcPr>
            <w:tcW w:w="1781" w:type="dxa"/>
            <w:vMerge w:val="continue"/>
            <w:vAlign w:val="center"/>
          </w:tcPr>
          <w:p>
            <w:pPr>
              <w:widowControl/>
              <w:jc w:val="left"/>
              <w:rPr>
                <w:rFonts w:ascii="仿宋" w:hAnsi="仿宋" w:eastAsia="仿宋"/>
                <w:color w:val="000000"/>
                <w:sz w:val="18"/>
                <w:szCs w:val="18"/>
              </w:rPr>
            </w:pPr>
          </w:p>
        </w:tc>
        <w:tc>
          <w:tcPr>
            <w:tcW w:w="3548"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结果信息——卫生许可证信息</w:t>
            </w:r>
          </w:p>
        </w:tc>
        <w:tc>
          <w:tcPr>
            <w:tcW w:w="1800" w:type="dxa"/>
            <w:vMerge w:val="continue"/>
            <w:vAlign w:val="center"/>
          </w:tcPr>
          <w:p>
            <w:pPr>
              <w:widowControl/>
              <w:jc w:val="left"/>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公共场所卫生许可</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结果信息——卫生许可证信息</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rPr>
                <w:rFonts w:ascii="仿宋" w:hAnsi="仿宋" w:eastAsia="仿宋"/>
                <w:color w:val="000000"/>
                <w:sz w:val="18"/>
                <w:szCs w:val="18"/>
              </w:rPr>
            </w:pPr>
          </w:p>
        </w:tc>
        <w:tc>
          <w:tcPr>
            <w:tcW w:w="720" w:type="dxa"/>
            <w:vAlign w:val="center"/>
          </w:tcPr>
          <w:p>
            <w:pPr>
              <w:widowControl/>
              <w:rPr>
                <w:rFonts w:ascii="仿宋" w:hAnsi="仿宋" w:eastAsia="仿宋"/>
                <w:color w:val="000000"/>
                <w:sz w:val="18"/>
                <w:szCs w:val="18"/>
              </w:rPr>
            </w:pPr>
          </w:p>
        </w:tc>
        <w:tc>
          <w:tcPr>
            <w:tcW w:w="596" w:type="dxa"/>
            <w:vAlign w:val="center"/>
          </w:tcPr>
          <w:p>
            <w:pPr>
              <w:widowControl/>
              <w:rPr>
                <w:rFonts w:ascii="仿宋" w:hAnsi="仿宋" w:eastAsia="仿宋"/>
                <w:color w:val="000000"/>
                <w:sz w:val="18"/>
                <w:szCs w:val="18"/>
              </w:rPr>
            </w:pPr>
          </w:p>
        </w:tc>
        <w:tc>
          <w:tcPr>
            <w:tcW w:w="720" w:type="dxa"/>
            <w:vAlign w:val="center"/>
          </w:tcPr>
          <w:p>
            <w:pPr>
              <w:widowControl/>
              <w:rPr>
                <w:rFonts w:ascii="仿宋" w:hAnsi="仿宋" w:eastAsia="仿宋"/>
                <w:color w:val="000000"/>
                <w:sz w:val="18"/>
                <w:szCs w:val="18"/>
              </w:rPr>
            </w:pPr>
          </w:p>
        </w:tc>
        <w:tc>
          <w:tcPr>
            <w:tcW w:w="540" w:type="dxa"/>
            <w:vAlign w:val="center"/>
          </w:tcPr>
          <w:p>
            <w:pPr>
              <w:widowControl/>
              <w:rPr>
                <w:rFonts w:ascii="仿宋" w:hAnsi="仿宋" w:eastAsia="仿宋"/>
                <w:color w:val="000000"/>
                <w:sz w:val="18"/>
                <w:szCs w:val="18"/>
              </w:rPr>
            </w:pPr>
          </w:p>
        </w:tc>
        <w:tc>
          <w:tcPr>
            <w:tcW w:w="664" w:type="dxa"/>
            <w:vAlign w:val="center"/>
          </w:tcPr>
          <w:p>
            <w:pPr>
              <w:widowControl/>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放射源诊疗技术和医用辐射机构许可</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《行政许可法》、《中华人民共和国职业病防治法》、《医疗机构管理条例、《放射性同位素与射线装置安全和防护条例》等4部法律法规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乡村医生执业注册（包括乡村医生执业再注册）</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《行政许可法》、《公共场所卫生管理条例》、《国务院关于整合调整餐饮服务场所的公共场所卫生许可证和食品经营许可的决定》、《公共场所卫生管理条例实施细则》</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结果信息，包括姓名、性别、类别、执业地点、证书编码、主要执业机构、发证（批准）机关等相关信息</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11</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行政许可类事项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医疗机构设置放射诊疗项目职业病危害预评价报告审核</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1.法律法规和政策文件</w:t>
            </w:r>
          </w:p>
          <w:p>
            <w:pPr>
              <w:rPr>
                <w:rFonts w:ascii="仿宋" w:hAnsi="仿宋" w:eastAsia="仿宋"/>
                <w:color w:val="000000"/>
                <w:sz w:val="18"/>
                <w:szCs w:val="18"/>
              </w:rPr>
            </w:pPr>
            <w:r>
              <w:rPr>
                <w:rFonts w:hint="eastAsia" w:ascii="仿宋" w:hAnsi="仿宋" w:eastAsia="仿宋"/>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ascii="仿宋" w:hAnsi="仿宋" w:eastAsia="仿宋"/>
                <w:color w:val="000000"/>
                <w:sz w:val="18"/>
                <w:szCs w:val="18"/>
              </w:rPr>
            </w:pPr>
            <w:r>
              <w:rPr>
                <w:rFonts w:hint="eastAsia" w:ascii="仿宋" w:hAnsi="仿宋" w:eastAsia="仿宋"/>
                <w:color w:val="000000"/>
                <w:sz w:val="18"/>
                <w:szCs w:val="18"/>
              </w:rPr>
              <w:t>3.过程信息，各地可根据实际情况适当公开受理、审核、审批、送达等相关信息</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《行政许可法》、《中华人民共和国职业病防治法》、《医疗机构管理条例、放射性同位素与射线装置安全和防护条例》等4部法律法规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结果信息——放射诊疗许可证信息</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对不符合规定条件的医疗机构擅自从事精神障碍诊断、治疗的处罚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《行政处罚法》、《精神卫生法》、《卫生行政处罚程序》</w:t>
            </w: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对医疗机构及其工作人员拒绝对送诊的疑似精神障碍患者作出诊断及对依照《精神卫生法》第三十条第二款规定实施住院治疗的患者未及时进行检查评估或者未根据评估结果作出处理的处罚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《行政处罚法》、《精神卫生法》、《卫生行政处罚程序》</w:t>
            </w: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14</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jc w:val="left"/>
              <w:textAlignment w:val="center"/>
              <w:rPr>
                <w:rFonts w:ascii="仿宋" w:hAnsi="仿宋" w:eastAsia="仿宋"/>
                <w:color w:val="000000"/>
                <w:sz w:val="18"/>
                <w:szCs w:val="18"/>
              </w:rPr>
            </w:pPr>
            <w:r>
              <w:rPr>
                <w:rFonts w:ascii="仿宋" w:hAnsi="仿宋" w:eastAsia="仿宋" w:cs="等线"/>
                <w:color w:val="000000"/>
                <w:kern w:val="0"/>
                <w:sz w:val="18"/>
                <w:szCs w:val="18"/>
              </w:rPr>
              <w:t xml:space="preserve">      对未经许可擅自开展人类辅助生殖技术服务或擅自设置人类精子或采集、提供精子的非医疗机构库的处罚                                                </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《行政处罚法》、《卫生行政处罚程序》、《人类辅助生殖技术管理办法》、《医疗机构管理条例》、《人类精子库管理办法》《医疗机构管理条例实施细则》等6部法律法规</w:t>
            </w:r>
          </w:p>
        </w:tc>
        <w:tc>
          <w:tcPr>
            <w:tcW w:w="144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jc w:val="left"/>
              <w:textAlignment w:val="center"/>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rPr>
                <w:rFonts w:ascii="仿宋" w:hAnsi="仿宋" w:eastAsia="仿宋"/>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jc w:val="center"/>
              <w:rPr>
                <w:rFonts w:ascii="仿宋" w:hAnsi="仿宋" w:eastAsia="仿宋"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15</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ascii="仿宋" w:hAnsi="仿宋" w:eastAsia="仿宋" w:cs="等线"/>
                <w:color w:val="000000"/>
                <w:kern w:val="0"/>
                <w:sz w:val="18"/>
                <w:szCs w:val="18"/>
              </w:rPr>
              <w:t>医疗机构违反执业行为的处罚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《行政处罚法》、《卫生行政处罚程序》、《医疗机构管理条例》、《医疗机构管理条例实施细则》、《广西壮族自治区医疗机构管理办法》等5部法律法规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tcBorders>
              <w:bottom w:val="nil"/>
            </w:tcBorders>
            <w:vAlign w:val="center"/>
          </w:tcPr>
          <w:p>
            <w:pPr>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16</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医务人员执业活动违反规定的处罚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《行政处罚法》、《卫生行政处罚程序》、《中华人民共和国执业医师法》、《护士条例》等4部法律法规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both"/>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17</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医务人员执业活动违反规定的处罚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《行政处罚法》、《卫生行政处罚程序》、《中华人民共和国执业医师法》、《护士条例》等4部法律法规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18</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对发生医疗事故的医疗机构或责任人员的处罚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《行政处罚法》、《卫生行政处罚程序》、《医疗事故处理条例》等3部法律法规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19</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对单位或个人违规从事母婴保健技术服务或出具医学证明等行为的处罚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母婴保健法》、《中华人民共和国母婴保健法实施办法》、《广西壮族自治区医疗机构管理办法》、《广西壮族自治区母婴保健管理办法》等6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tcBorders>
              <w:bottom w:val="nil"/>
            </w:tcBorders>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20</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对托幼机构聘用未取得健康证明的人员执业，录取未经健康检查或经健康检查不宜入园、入托的婴幼儿入托、入园的处罚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《行政处罚法》、《卫生行政处罚程序》、《广西壮族自治区母婴保健管理办法》等3部法律法规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21</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sz w:val="18"/>
                <w:szCs w:val="18"/>
              </w:rPr>
              <w:t>对托幼机构聘用未取得健康证明的人员执业，录取未经健康检查或经健康检查不宜入园、入托的婴幼儿入托、入园的处罚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《行政处罚法》、《卫生行政处罚程序》、《广西壮族自治区母婴保健管理办法》等3部法律法规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tcBorders>
              <w:bottom w:val="nil"/>
            </w:tcBorders>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96" w:type="dxa"/>
            <w:vMerge w:val="continue"/>
            <w:vAlign w:val="center"/>
          </w:tcPr>
          <w:p>
            <w:pPr>
              <w:jc w:val="center"/>
              <w:rPr>
                <w:rFonts w:ascii="仿宋" w:hAnsi="仿宋" w:eastAsia="仿宋" w:cs="宋体"/>
                <w:color w:val="000000"/>
                <w:sz w:val="18"/>
                <w:szCs w:val="18"/>
              </w:rPr>
            </w:pPr>
          </w:p>
        </w:tc>
        <w:tc>
          <w:tcPr>
            <w:tcW w:w="720" w:type="dxa"/>
            <w:vMerge w:val="continue"/>
            <w:vAlign w:val="center"/>
          </w:tcPr>
          <w:p>
            <w:pPr>
              <w:jc w:val="center"/>
              <w:rPr>
                <w:rFonts w:ascii="仿宋" w:hAnsi="仿宋" w:eastAsia="仿宋" w:cs="宋体"/>
                <w:color w:val="000000"/>
                <w:sz w:val="18"/>
                <w:szCs w:val="18"/>
              </w:rPr>
            </w:pPr>
          </w:p>
        </w:tc>
        <w:tc>
          <w:tcPr>
            <w:tcW w:w="540" w:type="dxa"/>
            <w:vMerge w:val="continue"/>
            <w:vAlign w:val="center"/>
          </w:tcPr>
          <w:p>
            <w:pPr>
              <w:jc w:val="center"/>
              <w:rPr>
                <w:rFonts w:ascii="仿宋" w:hAnsi="仿宋" w:eastAsia="仿宋" w:cs="宋体"/>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22</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sz w:val="18"/>
                <w:szCs w:val="18"/>
              </w:rPr>
              <w:t>单位或个人违法开展计划生育服务的处罚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《行政处罚法》、《卫生行政处罚程序》、《中华人民共和国人口与计划生育法》、《计划生育技术服务管理条例》、《计划生育技术服务管理条例实施细则》等5部法律法规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jc w:val="center"/>
              <w:rPr>
                <w:rFonts w:ascii="仿宋" w:hAnsi="仿宋" w:eastAsia="仿宋"/>
                <w:color w:val="000000"/>
                <w:sz w:val="18"/>
                <w:szCs w:val="18"/>
              </w:rPr>
            </w:pPr>
          </w:p>
        </w:tc>
        <w:tc>
          <w:tcPr>
            <w:tcW w:w="596"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jc w:val="center"/>
              <w:rPr>
                <w:rFonts w:ascii="仿宋" w:hAnsi="仿宋" w:eastAsia="仿宋"/>
                <w:color w:val="000000"/>
                <w:sz w:val="18"/>
                <w:szCs w:val="18"/>
              </w:rPr>
            </w:pPr>
          </w:p>
        </w:tc>
        <w:tc>
          <w:tcPr>
            <w:tcW w:w="540" w:type="dxa"/>
            <w:vMerge w:val="continue"/>
            <w:vAlign w:val="center"/>
          </w:tcPr>
          <w:p>
            <w:pPr>
              <w:widowControl/>
              <w:jc w:val="center"/>
              <w:rPr>
                <w:rFonts w:ascii="仿宋" w:hAnsi="仿宋" w:eastAsia="仿宋"/>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23</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sz w:val="18"/>
                <w:szCs w:val="18"/>
              </w:rPr>
              <w:t>对非法开展非医学需要胎儿性别鉴定和选择性别人工终止妊娠的处罚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人口与计划生育法》、《关于禁止非医学需要的胎儿性别鉴定和选择性别的人工终止妊娠的规定》、《广西壮族自治区人口和计划生育条例》、《广西壮族自治区母婴保健管理办法》等6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jc w:val="center"/>
              <w:rPr>
                <w:rFonts w:ascii="仿宋" w:hAnsi="仿宋" w:eastAsia="仿宋"/>
                <w:color w:val="000000"/>
                <w:sz w:val="18"/>
                <w:szCs w:val="18"/>
              </w:rPr>
            </w:pPr>
          </w:p>
        </w:tc>
        <w:tc>
          <w:tcPr>
            <w:tcW w:w="596"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jc w:val="center"/>
              <w:rPr>
                <w:rFonts w:ascii="仿宋" w:hAnsi="仿宋" w:eastAsia="仿宋"/>
                <w:color w:val="000000"/>
                <w:sz w:val="18"/>
                <w:szCs w:val="18"/>
              </w:rPr>
            </w:pPr>
          </w:p>
        </w:tc>
        <w:tc>
          <w:tcPr>
            <w:tcW w:w="540" w:type="dxa"/>
            <w:vMerge w:val="continue"/>
            <w:vAlign w:val="center"/>
          </w:tcPr>
          <w:p>
            <w:pPr>
              <w:widowControl/>
              <w:jc w:val="center"/>
              <w:rPr>
                <w:rFonts w:ascii="仿宋" w:hAnsi="仿宋" w:eastAsia="仿宋"/>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24</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sz w:val="18"/>
                <w:szCs w:val="18"/>
              </w:rPr>
              <w:t>单位或个人违反采供血有关法规的处罚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《行政处罚法》、《卫生行政处罚程序》、《中华人民共和国献血法》、《血站管理办法》等4部法律法规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Merge w:val="restart"/>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Merge w:val="restart"/>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jc w:val="center"/>
              <w:rPr>
                <w:rFonts w:ascii="仿宋" w:hAnsi="仿宋" w:eastAsia="仿宋"/>
                <w:color w:val="000000"/>
                <w:sz w:val="18"/>
                <w:szCs w:val="18"/>
              </w:rPr>
            </w:pPr>
          </w:p>
        </w:tc>
        <w:tc>
          <w:tcPr>
            <w:tcW w:w="596" w:type="dxa"/>
            <w:vMerge w:val="continue"/>
            <w:vAlign w:val="center"/>
          </w:tcPr>
          <w:p>
            <w:pPr>
              <w:widowControl/>
              <w:jc w:val="center"/>
              <w:rPr>
                <w:rFonts w:ascii="仿宋" w:hAnsi="仿宋" w:eastAsia="仿宋"/>
                <w:color w:val="000000"/>
                <w:sz w:val="18"/>
                <w:szCs w:val="18"/>
              </w:rPr>
            </w:pPr>
          </w:p>
        </w:tc>
        <w:tc>
          <w:tcPr>
            <w:tcW w:w="720" w:type="dxa"/>
            <w:vMerge w:val="continue"/>
            <w:vAlign w:val="center"/>
          </w:tcPr>
          <w:p>
            <w:pPr>
              <w:widowControl/>
              <w:jc w:val="center"/>
              <w:rPr>
                <w:rFonts w:ascii="仿宋" w:hAnsi="仿宋" w:eastAsia="仿宋"/>
                <w:color w:val="000000"/>
                <w:sz w:val="18"/>
                <w:szCs w:val="18"/>
              </w:rPr>
            </w:pPr>
          </w:p>
        </w:tc>
        <w:tc>
          <w:tcPr>
            <w:tcW w:w="540" w:type="dxa"/>
            <w:vMerge w:val="continue"/>
            <w:vAlign w:val="center"/>
          </w:tcPr>
          <w:p>
            <w:pPr>
              <w:widowControl/>
              <w:jc w:val="center"/>
              <w:rPr>
                <w:rFonts w:ascii="仿宋" w:hAnsi="仿宋" w:eastAsia="仿宋"/>
                <w:color w:val="000000"/>
                <w:sz w:val="18"/>
                <w:szCs w:val="18"/>
              </w:rPr>
            </w:pPr>
          </w:p>
        </w:tc>
        <w:tc>
          <w:tcPr>
            <w:tcW w:w="664" w:type="dxa"/>
            <w:vMerge w:val="continue"/>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25</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香港、澳门特别行政区及台湾地区医师未经注册行医的处罚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rPr>
                <w:rFonts w:ascii="仿宋" w:hAnsi="仿宋" w:eastAsia="仿宋"/>
                <w:sz w:val="18"/>
                <w:szCs w:val="18"/>
              </w:rPr>
            </w:pPr>
            <w:r>
              <w:rPr>
                <w:rFonts w:hint="eastAsia" w:ascii="仿宋" w:hAnsi="仿宋" w:eastAsia="仿宋"/>
                <w:sz w:val="18"/>
                <w:szCs w:val="18"/>
              </w:rPr>
              <w:t>《行政处罚法》、《卫生行政处罚程序》、《香港、澳门特别行政区医师在内地短期行医管理规定》、《中华人民共和国执业医师法》等4部法律法规</w:t>
            </w:r>
          </w:p>
        </w:tc>
        <w:tc>
          <w:tcPr>
            <w:tcW w:w="1440" w:type="dxa"/>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jc w:val="center"/>
              <w:rPr>
                <w:rFonts w:hint="eastAsia" w:ascii="仿宋" w:hAnsi="仿宋" w:eastAsia="仿宋" w:cs="宋体"/>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rPr>
                <w:rFonts w:ascii="仿宋" w:hAnsi="仿宋" w:eastAsia="仿宋" w:cs="宋体"/>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rPr>
                <w:rFonts w:ascii="仿宋" w:hAnsi="仿宋" w:eastAsia="仿宋" w:cs="宋体"/>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96"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2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40"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p>
        </w:tc>
        <w:tc>
          <w:tcPr>
            <w:tcW w:w="596"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p>
        </w:tc>
        <w:tc>
          <w:tcPr>
            <w:tcW w:w="540" w:type="dxa"/>
            <w:vAlign w:val="center"/>
          </w:tcPr>
          <w:p>
            <w:pPr>
              <w:widowControl/>
              <w:jc w:val="center"/>
              <w:rPr>
                <w:rFonts w:ascii="仿宋" w:hAnsi="仿宋" w:eastAsia="仿宋"/>
                <w:color w:val="000000"/>
                <w:sz w:val="18"/>
                <w:szCs w:val="18"/>
              </w:rPr>
            </w:pP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26</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单位或个人违反公共场所卫生管理规定的处罚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《行政处罚法》、《卫生行政处罚程序》《公共场所卫生管理条例》等3部法律</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27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对拒绝卫生监督的处罚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《行政处罚法》、《公共场所卫生管理条例》、《卫生行政处罚程序》共3部法律法规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rPr>
                <w:rFonts w:ascii="仿宋" w:hAnsi="仿宋" w:eastAsia="仿宋"/>
                <w:sz w:val="18"/>
                <w:szCs w:val="18"/>
              </w:rPr>
            </w:pPr>
            <w:r>
              <w:rPr>
                <w:rFonts w:hint="eastAsia" w:ascii="仿宋" w:hAnsi="仿宋" w:eastAsia="仿宋"/>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rPr>
                <w:rFonts w:ascii="仿宋" w:hAnsi="仿宋" w:eastAsia="仿宋"/>
                <w:sz w:val="18"/>
                <w:szCs w:val="18"/>
              </w:rPr>
            </w:pPr>
            <w:r>
              <w:rPr>
                <w:rFonts w:hint="eastAsia" w:ascii="仿宋" w:hAnsi="仿宋" w:eastAsia="仿宋"/>
                <w:sz w:val="18"/>
                <w:szCs w:val="18"/>
              </w:rPr>
              <w:t>对未取得“卫生许可证”，擅自营业的处罚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29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对公共场所经营者未按照规定进行卫生检测、消毒的处罚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单位或个人违反公共场所卫生管理规定的处罚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《行政处罚法》、《卫生行政处罚程序》、《公共场所卫生管理条例实施细则》共3部法律法规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31</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饮用水供水单位、涉及饮用水卫生安全产品等不符合国家卫生要求的处罚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违反消毒管理规定的处罚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医疗卫生机构违反职业病防治相关规定的处罚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《行政处罚法》、《卫生行政处罚程序》、《中华人民共和国职业病防治法》共3部法律法规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34</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医疗机构违反放射诊疗相关规定的处罚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《行政处罚法》、《卫生行政处罚程序》、《放射诊疗管理规定》共3部法律法规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tcBorders>
              <w:top w:val="nil"/>
            </w:tcBorders>
            <w:vAlign w:val="center"/>
          </w:tcPr>
          <w:p>
            <w:pPr>
              <w:widowControl/>
              <w:rPr>
                <w:rFonts w:ascii="仿宋" w:hAnsi="仿宋" w:eastAsia="仿宋"/>
                <w:color w:val="000000"/>
                <w:sz w:val="18"/>
                <w:szCs w:val="18"/>
              </w:rPr>
            </w:pPr>
          </w:p>
        </w:tc>
        <w:tc>
          <w:tcPr>
            <w:tcW w:w="720" w:type="dxa"/>
            <w:tcBorders>
              <w:top w:val="nil"/>
            </w:tcBorders>
            <w:vAlign w:val="center"/>
          </w:tcPr>
          <w:p>
            <w:pPr>
              <w:widowControl/>
              <w:rPr>
                <w:rFonts w:ascii="仿宋" w:hAnsi="仿宋" w:eastAsia="仿宋"/>
                <w:color w:val="000000"/>
                <w:sz w:val="18"/>
                <w:szCs w:val="18"/>
              </w:rPr>
            </w:pPr>
          </w:p>
        </w:tc>
        <w:tc>
          <w:tcPr>
            <w:tcW w:w="1781" w:type="dxa"/>
            <w:tcBorders>
              <w:top w:val="nil"/>
            </w:tcBorders>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tcBorders>
              <w:top w:val="nil"/>
            </w:tcBorders>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tcBorders>
              <w:top w:val="nil"/>
            </w:tcBorders>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35</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单位或个人未依法履行传染病防治职责的处罚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sz w:val="18"/>
                <w:szCs w:val="18"/>
              </w:rPr>
            </w:pPr>
            <w:r>
              <w:rPr>
                <w:rFonts w:hint="eastAsia" w:ascii="仿宋" w:hAnsi="仿宋" w:eastAsia="仿宋"/>
                <w:sz w:val="18"/>
                <w:szCs w:val="18"/>
              </w:rPr>
              <w:t>36</w:t>
            </w:r>
          </w:p>
        </w:tc>
        <w:tc>
          <w:tcPr>
            <w:tcW w:w="720" w:type="dxa"/>
            <w:vMerge w:val="restart"/>
            <w:vAlign w:val="center"/>
          </w:tcPr>
          <w:p>
            <w:pPr>
              <w:widowControl/>
              <w:jc w:val="center"/>
              <w:rPr>
                <w:rFonts w:ascii="仿宋" w:hAnsi="仿宋" w:eastAsia="仿宋"/>
                <w:sz w:val="18"/>
                <w:szCs w:val="18"/>
              </w:rPr>
            </w:pPr>
            <w:r>
              <w:rPr>
                <w:rFonts w:hint="eastAsia" w:ascii="仿宋" w:hAnsi="仿宋" w:eastAsia="仿宋"/>
                <w:sz w:val="18"/>
                <w:szCs w:val="18"/>
              </w:rPr>
              <w:t>行政处罚类事项</w:t>
            </w:r>
          </w:p>
        </w:tc>
        <w:tc>
          <w:tcPr>
            <w:tcW w:w="1781" w:type="dxa"/>
            <w:vMerge w:val="restart"/>
            <w:vAlign w:val="center"/>
          </w:tcPr>
          <w:p>
            <w:pPr>
              <w:widowControl/>
              <w:rPr>
                <w:rFonts w:ascii="仿宋" w:hAnsi="仿宋" w:eastAsia="仿宋"/>
                <w:sz w:val="18"/>
                <w:szCs w:val="18"/>
              </w:rPr>
            </w:pPr>
            <w:r>
              <w:rPr>
                <w:rFonts w:hint="eastAsia" w:ascii="仿宋" w:hAnsi="仿宋" w:eastAsia="仿宋"/>
                <w:sz w:val="18"/>
                <w:szCs w:val="18"/>
              </w:rPr>
              <w:t>对医疗卫生机构未依法履行艾滋病防治职责的处罚</w:t>
            </w:r>
          </w:p>
        </w:tc>
        <w:tc>
          <w:tcPr>
            <w:tcW w:w="3548" w:type="dxa"/>
            <w:vAlign w:val="center"/>
          </w:tcPr>
          <w:p>
            <w:pPr>
              <w:rPr>
                <w:rFonts w:ascii="仿宋" w:hAnsi="仿宋" w:eastAsia="仿宋"/>
                <w:sz w:val="18"/>
                <w:szCs w:val="18"/>
              </w:rPr>
            </w:pPr>
            <w:r>
              <w:rPr>
                <w:rFonts w:hint="eastAsia" w:ascii="仿宋" w:hAnsi="仿宋" w:eastAsia="仿宋"/>
                <w:sz w:val="18"/>
                <w:szCs w:val="18"/>
              </w:rPr>
              <w:t>法律法规和政策文件；</w:t>
            </w:r>
          </w:p>
          <w:p>
            <w:pPr>
              <w:rPr>
                <w:rFonts w:ascii="仿宋" w:hAnsi="仿宋" w:eastAsia="仿宋"/>
                <w:sz w:val="18"/>
                <w:szCs w:val="18"/>
              </w:rPr>
            </w:pPr>
            <w:r>
              <w:rPr>
                <w:rFonts w:hint="eastAsia" w:ascii="仿宋" w:hAnsi="仿宋" w:eastAsia="仿宋"/>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sz w:val="18"/>
                <w:szCs w:val="18"/>
              </w:rPr>
            </w:pPr>
          </w:p>
        </w:tc>
        <w:tc>
          <w:tcPr>
            <w:tcW w:w="720" w:type="dxa"/>
            <w:vMerge w:val="continue"/>
            <w:vAlign w:val="center"/>
          </w:tcPr>
          <w:p>
            <w:pPr>
              <w:widowControl/>
              <w:rPr>
                <w:rFonts w:ascii="仿宋" w:hAnsi="仿宋" w:eastAsia="仿宋"/>
                <w:sz w:val="18"/>
                <w:szCs w:val="18"/>
              </w:rPr>
            </w:pPr>
          </w:p>
        </w:tc>
        <w:tc>
          <w:tcPr>
            <w:tcW w:w="1781" w:type="dxa"/>
            <w:vMerge w:val="continue"/>
            <w:vAlign w:val="center"/>
          </w:tcPr>
          <w:p>
            <w:pPr>
              <w:widowControl/>
              <w:rPr>
                <w:rFonts w:ascii="仿宋" w:hAnsi="仿宋" w:eastAsia="仿宋"/>
                <w:sz w:val="18"/>
                <w:szCs w:val="18"/>
              </w:rPr>
            </w:pPr>
          </w:p>
        </w:tc>
        <w:tc>
          <w:tcPr>
            <w:tcW w:w="3548" w:type="dxa"/>
            <w:vAlign w:val="center"/>
          </w:tcPr>
          <w:p>
            <w:pPr>
              <w:widowControl/>
              <w:rPr>
                <w:rFonts w:ascii="仿宋" w:hAnsi="仿宋" w:eastAsia="仿宋"/>
                <w:sz w:val="18"/>
                <w:szCs w:val="18"/>
              </w:rPr>
            </w:pPr>
            <w:r>
              <w:rPr>
                <w:rFonts w:hint="eastAsia" w:ascii="仿宋" w:hAnsi="仿宋" w:eastAsia="仿宋"/>
                <w:sz w:val="18"/>
                <w:szCs w:val="18"/>
              </w:rPr>
              <w:t>受理和立案信息，包括：案件受理记录、立案报告；</w:t>
            </w:r>
          </w:p>
          <w:p>
            <w:pPr>
              <w:widowControl/>
              <w:rPr>
                <w:rFonts w:ascii="仿宋" w:hAnsi="仿宋" w:eastAsia="仿宋"/>
                <w:sz w:val="18"/>
                <w:szCs w:val="18"/>
              </w:rPr>
            </w:pPr>
            <w:r>
              <w:rPr>
                <w:rFonts w:hint="eastAsia" w:ascii="仿宋" w:hAnsi="仿宋" w:eastAsia="仿宋"/>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单位或个人未依法履行传染病防治职责的处罚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对提供、使用未经出入境检验检疫机构检疫的进口人体血液、血浆、组织、器官、细胞、骨髓等的处罚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《行政处罚法》、《卫生行政处罚程序》、《艾滋病防治条例》共3部法律法规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39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对医疗卫生机构未履行结核病防治职责的处罚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《行政处罚法》、《卫生行政处罚程序》、《结核病防治管理办法》共3部法律法规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单位或个人违反爱国卫生管理规定的处罚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《行政处罚法》、《卫生行政处罚程序》、《广西壮族自治区爱国卫生管理办法》共3部法律法规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41</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医疗卫生机构或病原微生物实验室未依法管理传染病病原微生物样本等行为的处罚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《行政处罚法》、《卫生行政处罚程序》、《中华人民共和国传染病防治法》共3部法律法规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对未经批准从事高致病性病原微生物或者疑似高致病性病原微生物实验活动的处罚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《行政处罚法》、《卫生行政处罚程序》、《病原微生物实验室生物安全管理条例》共3部法律法规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医疗卫生机构或病原微生物实验室未依法管理传染病病原微生物样本等行为的处罚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《行政处罚法》、《卫生行政处罚程序》、《病原微生物实验室生物安全管理条例》共3部法律法规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44</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对拒绝卫生主管部门、兽医主管部门的执法活动的处罚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《行政处罚法》、《卫生行政处罚程序》、《病原微生物实验室生物安全管理条例》共3部法律法规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45</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对疾病预防控制机构及相关单位违反疫苗流通和预防接种管理规定的处罚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《行政处罚法》、《卫生行政处罚程序》、《疫苗流通和预防接种管理条例》共3部法律法规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46</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学校未依法开展学校卫生工作的处罚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《行政处罚法》、《卫生行政处罚程序》、《疫苗流通和预防接种管理条例》共3部法律法规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在国家确认的自然疫源地兴建水利、交通、旅游、能源等大型建设项目，未经卫生调查进行施工的，或者未按照疾病预防控制机构的意见采取必要的传染病预防、控制措施的行政处罚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《中华人民共和国行政强制法》、《中华人民共和国传染病防治法》共2部法律法规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对被传染病病原体污染的污水、污物、场所和物品的强制消毒</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《中华人民共和国行政强制法》、《中华人民共和国传染病防治法》共2部法律法规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49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对被传染病病原体污染的公共饮用水源等采取的临时控制措施</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《突发公共卫生事件应急条例》、《中华人民共和国行政强制法》共2部法律法规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center"/>
              <w:rPr>
                <w:rFonts w:ascii="仿宋" w:hAnsi="仿宋" w:eastAsia="仿宋"/>
                <w:color w:val="000000"/>
                <w:sz w:val="18"/>
                <w:szCs w:val="18"/>
              </w:rPr>
            </w:pPr>
          </w:p>
          <w:p>
            <w:pPr>
              <w:widowControl/>
              <w:jc w:val="both"/>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对考核不合格医师的处罚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《中华人民共和国执业医师法》《医师定期考核管理办法》《卫生行政处罚程序》《行政处罚法》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1</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医疗机构或医疗机构执业的医师、护士违反医疗质量管理办法相关规定的处罚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《医疗质量管理办法》《卫生行政处罚程序》《行政处罚法》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与计划生育证明有关的其他弄假作假的行为</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广西壮族自治区人口和计划生育管理办法》《卫生行政处罚程序》《行政处罚法》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53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中医诊所超出备案范围开展医疗活动的处罚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《中华人民共和国中医药法》《卫生行政处罚程序》《行政处罚法》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54</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行政处罚类事项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符合再生育条件未领取再生育证生育子女的处罚</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s="仿宋"/>
                <w:sz w:val="18"/>
                <w:szCs w:val="18"/>
              </w:rPr>
              <w:t>《广西壮族自治区人口和计划生育条例》《卫生行政处罚程序》《行政处罚法》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5</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封存有证据证明可能被艾滋病病毒污染的物品，卫生处理或者销毁经检验属于被艾滋病病毒污染的物品</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hint="eastAsia"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《艾滋病防治条例》《</w:t>
            </w:r>
            <w:r>
              <w:rPr>
                <w:rFonts w:hint="eastAsia" w:ascii="仿宋" w:hAnsi="仿宋" w:eastAsia="仿宋"/>
                <w:color w:val="000000"/>
                <w:sz w:val="18"/>
                <w:szCs w:val="18"/>
                <w:lang w:eastAsia="zh-CN"/>
              </w:rPr>
              <w:t>中华人民共和国</w:t>
            </w:r>
            <w:r>
              <w:rPr>
                <w:rFonts w:hint="eastAsia" w:ascii="仿宋" w:hAnsi="仿宋" w:eastAsia="仿宋"/>
                <w:color w:val="000000"/>
                <w:sz w:val="18"/>
                <w:szCs w:val="18"/>
              </w:rPr>
              <w:t>行政强制法》《广西壮族自治区行政过错责任追究办法》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宜州区人民政府门户网站</w:t>
            </w:r>
            <w:r>
              <w:rPr>
                <w:rFonts w:hint="eastAsia" w:ascii="仿宋" w:hAnsi="仿宋" w:eastAsia="仿宋"/>
                <w:color w:val="000000"/>
                <w:sz w:val="18"/>
                <w:szCs w:val="18"/>
              </w:rPr>
              <w:t xml:space="preserve">   </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6</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病原微生物依法采取控制措施</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《病原微生物实验室生物安全管理条例》《广西壮族自治区行政执法程序规定》《病原微生物实验室生物安全管理条例》</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突发公共卫生事件发生后对人员、疫区、食物、水源等控制措施</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《突发公共卫生事件应急条例》《</w:t>
            </w:r>
            <w:bookmarkStart w:id="1" w:name="_GoBack"/>
            <w:bookmarkEnd w:id="1"/>
            <w:r>
              <w:rPr>
                <w:rFonts w:hint="eastAsia" w:ascii="仿宋" w:hAnsi="仿宋" w:eastAsia="仿宋"/>
                <w:color w:val="000000"/>
                <w:sz w:val="18"/>
                <w:szCs w:val="18"/>
                <w:lang w:eastAsia="zh-CN"/>
              </w:rPr>
              <w:t>中华人民共和国</w:t>
            </w:r>
            <w:r>
              <w:rPr>
                <w:rFonts w:hint="eastAsia" w:ascii="仿宋" w:hAnsi="仿宋" w:eastAsia="仿宋"/>
                <w:color w:val="000000"/>
                <w:sz w:val="18"/>
                <w:szCs w:val="18"/>
              </w:rPr>
              <w:t>行政强制法》《突发公共卫生事件应急条例》《卫生部关于印发&lt;卫生行政执法责任制若干规定&gt;</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因预防接种导致受种者死亡、严重残疾或者群体性疑似预防接种异常反应应急处置措施</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《中华人民共和国行政强制法》、《疫苗流通和预防接种管理条例》共2部法律法规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5</w:t>
            </w:r>
            <w:r>
              <w:rPr>
                <w:rFonts w:hint="eastAsia" w:ascii="仿宋" w:hAnsi="仿宋" w:eastAsia="仿宋"/>
                <w:color w:val="000000"/>
                <w:sz w:val="18"/>
                <w:szCs w:val="18"/>
                <w:lang w:val="en-US" w:eastAsia="zh-CN"/>
              </w:rPr>
              <w:t>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封存有证据证明可能被艾滋病病毒污染的物品、对经检验属于被艾滋病病毒污染的物品卫生处理或者销毁</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《中华人民共和国行政强制法》、《艾滋病防治条例》共2部法律法规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60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对拒绝隔离、治疗、留验的强制检疫</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《中华人民共和国行政强制法》、《国内交通卫生检疫条例》共2部法律法规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61</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行政强制类事项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封存造成医疗机构放射性职业病危害事故或者可能导致医疗机构放射性职业病危害事故发生的材料和设备</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《中华人民共和国行政强制法》、《中华人民共和国职业病防治法》共2部法律法规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62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行政给付类事项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艾滋病防治关怀、救助措施</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申请材料</w:t>
            </w:r>
          </w:p>
          <w:p>
            <w:pPr>
              <w:rPr>
                <w:rFonts w:ascii="仿宋" w:hAnsi="仿宋" w:eastAsia="仿宋"/>
                <w:color w:val="000000"/>
                <w:sz w:val="18"/>
                <w:szCs w:val="18"/>
              </w:rPr>
            </w:pPr>
            <w:r>
              <w:rPr>
                <w:rFonts w:hint="eastAsia" w:ascii="仿宋" w:hAnsi="仿宋" w:eastAsia="仿宋"/>
                <w:color w:val="000000"/>
                <w:sz w:val="18"/>
                <w:szCs w:val="18"/>
              </w:rPr>
              <w:t>受理范围及条件</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咨询投诉渠道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《艾滋病防治条例》共1部法律法规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63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对职业健康检查机构的监督检查</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《中华人民共和国职业病防治法》共1部法律法规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64</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对职业病诊断机构和鉴定办事机构的监督检查</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《职业病诊断与鉴定管理办法》共1部法律法规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6</w:t>
            </w:r>
            <w:r>
              <w:rPr>
                <w:rFonts w:hint="eastAsia" w:ascii="仿宋" w:hAnsi="仿宋" w:eastAsia="仿宋"/>
                <w:color w:val="000000"/>
                <w:sz w:val="18"/>
                <w:szCs w:val="18"/>
                <w:lang w:val="en-US" w:eastAsia="zh-CN"/>
              </w:rPr>
              <w:t>5</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对疾病预防控制工作的监督检查</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《中华人民共和国传染病防治法》、《行政许可法》共2部法律法规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6</w:t>
            </w:r>
            <w:r>
              <w:rPr>
                <w:rFonts w:hint="eastAsia" w:ascii="仿宋" w:hAnsi="仿宋" w:eastAsia="仿宋"/>
                <w:color w:val="000000"/>
                <w:sz w:val="18"/>
                <w:szCs w:val="18"/>
                <w:lang w:val="en-US" w:eastAsia="zh-CN"/>
              </w:rPr>
              <w:t>6</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对医疗卫生工作的监督检查</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《医疗机构管理条例》共1部法律法规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6</w:t>
            </w:r>
            <w:r>
              <w:rPr>
                <w:rFonts w:hint="eastAsia" w:ascii="仿宋" w:hAnsi="仿宋" w:eastAsia="仿宋"/>
                <w:color w:val="000000"/>
                <w:sz w:val="18"/>
                <w:szCs w:val="18"/>
                <w:lang w:val="en-US" w:eastAsia="zh-CN"/>
              </w:rPr>
              <w:t>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对妇幼工作的监督检查</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《计划生育技术服务管理条例》、《计划生育药具工作管理办法（试行）》共2部法律法规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6</w:t>
            </w:r>
            <w:r>
              <w:rPr>
                <w:rFonts w:hint="eastAsia" w:ascii="仿宋" w:hAnsi="仿宋" w:eastAsia="仿宋"/>
                <w:color w:val="000000"/>
                <w:sz w:val="18"/>
                <w:szCs w:val="18"/>
                <w:lang w:val="en-US" w:eastAsia="zh-CN"/>
              </w:rPr>
              <w:t>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母婴保健技术服务质量监督</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《中华人民共和国母婴保健法》、《中华人民共和国母婴保健法实施办法》、《新生儿疾病筛查管理办法》共3部法律法规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6</w:t>
            </w:r>
            <w:r>
              <w:rPr>
                <w:rFonts w:hint="eastAsia" w:ascii="仿宋" w:hAnsi="仿宋" w:eastAsia="仿宋"/>
                <w:color w:val="000000"/>
                <w:sz w:val="18"/>
                <w:szCs w:val="18"/>
                <w:lang w:val="en-US" w:eastAsia="zh-CN"/>
              </w:rPr>
              <w:t>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对获得工商营业执照的餐饮具集中消毒单位实施卫生监督检查</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检查计划及方案</w:t>
            </w:r>
          </w:p>
          <w:p>
            <w:pPr>
              <w:rPr>
                <w:rFonts w:ascii="仿宋" w:hAnsi="仿宋" w:eastAsia="仿宋"/>
                <w:color w:val="000000"/>
                <w:sz w:val="18"/>
                <w:szCs w:val="18"/>
              </w:rPr>
            </w:pPr>
            <w:r>
              <w:rPr>
                <w:rFonts w:hint="eastAsia" w:ascii="仿宋" w:hAnsi="仿宋" w:eastAsia="仿宋"/>
                <w:color w:val="000000"/>
                <w:sz w:val="18"/>
                <w:szCs w:val="18"/>
              </w:rPr>
              <w:t>检查结果及处理信息</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《消毒管理办法》共1部法律法规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70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对乡村医生从业管理的监督</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《乡村医生从业管理条例》《卫生行政处罚程序》《中华人民共和国行政处罚法》《广西壮族自治区行政执法监督办法》《广西壮族自治区行政过错责任追究办法》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71</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行政检查类事项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对医疗机构医疗质量管理情况的检查</w:t>
            </w:r>
          </w:p>
        </w:tc>
        <w:tc>
          <w:tcPr>
            <w:tcW w:w="3548" w:type="dxa"/>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《医疗质量管理办法》《行政机关公务员处分条例》</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受理和立案信息，包括：案件受理记录、立案报告；</w:t>
            </w:r>
          </w:p>
          <w:p>
            <w:pPr>
              <w:widowControl/>
              <w:rPr>
                <w:rFonts w:ascii="仿宋" w:hAnsi="仿宋" w:eastAsia="仿宋"/>
                <w:color w:val="000000"/>
                <w:sz w:val="18"/>
                <w:szCs w:val="18"/>
              </w:rPr>
            </w:pPr>
            <w:r>
              <w:rPr>
                <w:rFonts w:hint="eastAsia" w:ascii="仿宋" w:hAnsi="仿宋" w:eastAsia="仿宋"/>
                <w:color w:val="000000"/>
                <w:sz w:val="18"/>
                <w:szCs w:val="18"/>
              </w:rPr>
              <w:t>告知信息，包括：行政处罚事先告知书、听证告知书</w:t>
            </w: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72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预防接种异常反应诊断结果确认</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《广西壮族自治区预防接种异常反应补偿办法》共1部法律法规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73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病残儿医学鉴定初审同意</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p>
            <w:pPr>
              <w:rPr>
                <w:rFonts w:ascii="仿宋" w:hAnsi="仿宋" w:eastAsia="仿宋"/>
                <w:color w:val="000000"/>
                <w:sz w:val="18"/>
                <w:szCs w:val="18"/>
              </w:rPr>
            </w:pPr>
            <w:r>
              <w:rPr>
                <w:rFonts w:hint="eastAsia" w:ascii="仿宋" w:hAnsi="仿宋" w:eastAsia="仿宋"/>
                <w:color w:val="000000"/>
                <w:sz w:val="18"/>
                <w:szCs w:val="18"/>
              </w:rPr>
              <w:t xml:space="preserve">                                                              </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《计划生育技术服务条例》、《病残儿医学鉴定管理办法》共2部法律法规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74</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医疗机构评审</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《医疗机构管理条例》共1部法律法规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7</w:t>
            </w:r>
            <w:r>
              <w:rPr>
                <w:rFonts w:hint="eastAsia" w:ascii="仿宋" w:hAnsi="仿宋" w:eastAsia="仿宋"/>
                <w:color w:val="000000"/>
                <w:sz w:val="18"/>
                <w:szCs w:val="18"/>
                <w:lang w:val="en-US" w:eastAsia="zh-CN"/>
              </w:rPr>
              <w:t>5</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尸检机构认定（市级承担，非县级）</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7</w:t>
            </w:r>
            <w:r>
              <w:rPr>
                <w:rFonts w:hint="eastAsia" w:ascii="仿宋" w:hAnsi="仿宋" w:eastAsia="仿宋"/>
                <w:color w:val="000000"/>
                <w:sz w:val="18"/>
                <w:szCs w:val="18"/>
                <w:lang w:val="en-US" w:eastAsia="zh-CN"/>
              </w:rPr>
              <w:t>6</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行政确认类事项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医疗事故赔偿调解</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7</w:t>
            </w:r>
            <w:r>
              <w:rPr>
                <w:rFonts w:hint="eastAsia" w:ascii="仿宋" w:hAnsi="仿宋" w:eastAsia="仿宋"/>
                <w:color w:val="000000"/>
                <w:sz w:val="18"/>
                <w:szCs w:val="18"/>
                <w:lang w:val="en-US" w:eastAsia="zh-CN"/>
              </w:rPr>
              <w:t>7</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对考核不合格医师的处罚</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《中华人民共和国执业医师法》共1部法律法规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lang w:val="en-US" w:eastAsia="zh-CN"/>
              </w:rPr>
              <w:t>78</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药用植物资源迁地保护基地备案</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《广西壮族自治区药用野生植物资源保护办法》共1部法律法规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79</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指定检验机构</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《医疗事故处理条例》共1部法律法规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80</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卫生监督信息公布</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《健康相关产品国家卫生监督抽检规定》共1部规范性文件</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81</w:t>
            </w:r>
          </w:p>
        </w:tc>
        <w:tc>
          <w:tcPr>
            <w:tcW w:w="72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计划生育技术服务机构执业许可证的校验</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《计划生育技术服务管理条例》共1部法律法规</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82</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出具非医学需要鉴定胎儿性别和选择性终止妊娠的证明</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《广西壮族自治区禁止非医学需要鉴定胎儿性别和选择性别人工终止妊娠的规定》《广西壮族自治区行政过错责任追究办法》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83</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其他行政权力类事项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传统医学师承和确有专长人员考核县级推荐</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《中华人民共和国执业医师法》《传统医学师承和确有专长人员医师资格考核考试办法》</w:t>
            </w: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hint="eastAsia" w:ascii="仿宋" w:hAnsi="仿宋" w:eastAsia="仿宋"/>
                <w:color w:val="000000"/>
                <w:sz w:val="18"/>
                <w:szCs w:val="18"/>
                <w:lang w:eastAsia="zh-CN"/>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lang w:eastAsia="zh-CN"/>
              </w:rPr>
              <w:t>宜州区人民政府门户网站</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restart"/>
            <w:vAlign w:val="center"/>
          </w:tcPr>
          <w:p>
            <w:pPr>
              <w:widowControl/>
              <w:rPr>
                <w:rFonts w:hint="eastAsia" w:ascii="仿宋" w:hAnsi="仿宋" w:eastAsia="仿宋"/>
                <w:color w:val="000000"/>
                <w:sz w:val="18"/>
                <w:szCs w:val="18"/>
                <w:lang w:val="en-US" w:eastAsia="zh-CN"/>
              </w:rPr>
            </w:pPr>
            <w:r>
              <w:rPr>
                <w:rFonts w:hint="eastAsia" w:ascii="仿宋" w:hAnsi="仿宋" w:eastAsia="仿宋"/>
                <w:color w:val="000000"/>
                <w:sz w:val="18"/>
                <w:szCs w:val="18"/>
                <w:lang w:val="en-US" w:eastAsia="zh-CN"/>
              </w:rPr>
              <w:t>84</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行政征收</w:t>
            </w:r>
            <w:r>
              <w:rPr>
                <w:rFonts w:hint="eastAsia" w:ascii="仿宋" w:hAnsi="仿宋" w:eastAsia="仿宋"/>
                <w:color w:val="000000"/>
                <w:sz w:val="18"/>
                <w:szCs w:val="18"/>
              </w:rPr>
              <w:t>类事项</w:t>
            </w:r>
          </w:p>
        </w:tc>
        <w:tc>
          <w:tcPr>
            <w:tcW w:w="1781"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社会抚养费征收</w:t>
            </w:r>
          </w:p>
        </w:tc>
        <w:tc>
          <w:tcPr>
            <w:tcW w:w="3548" w:type="dxa"/>
            <w:vMerge w:val="restart"/>
            <w:vAlign w:val="center"/>
          </w:tcPr>
          <w:p>
            <w:pPr>
              <w:rPr>
                <w:rFonts w:ascii="仿宋" w:hAnsi="仿宋" w:eastAsia="仿宋"/>
                <w:color w:val="000000"/>
                <w:sz w:val="18"/>
                <w:szCs w:val="18"/>
              </w:rPr>
            </w:pPr>
            <w:r>
              <w:rPr>
                <w:rFonts w:hint="eastAsia" w:ascii="仿宋" w:hAnsi="仿宋" w:eastAsia="仿宋"/>
                <w:color w:val="000000"/>
                <w:sz w:val="18"/>
                <w:szCs w:val="18"/>
              </w:rPr>
              <w:t>法律法规和政策文件；</w:t>
            </w:r>
          </w:p>
          <w:p>
            <w:pPr>
              <w:rPr>
                <w:rFonts w:ascii="仿宋" w:hAnsi="仿宋" w:eastAsia="仿宋"/>
                <w:color w:val="000000"/>
                <w:sz w:val="18"/>
                <w:szCs w:val="18"/>
              </w:rPr>
            </w:pPr>
            <w:r>
              <w:rPr>
                <w:rFonts w:hint="eastAsia" w:ascii="仿宋" w:hAnsi="仿宋" w:eastAsia="仿宋"/>
                <w:color w:val="000000"/>
                <w:sz w:val="18"/>
                <w:szCs w:val="18"/>
              </w:rPr>
              <w:t>办理材料</w:t>
            </w:r>
          </w:p>
          <w:p>
            <w:pPr>
              <w:rPr>
                <w:rFonts w:ascii="仿宋" w:hAnsi="仿宋" w:eastAsia="仿宋"/>
                <w:color w:val="000000"/>
                <w:sz w:val="18"/>
                <w:szCs w:val="18"/>
              </w:rPr>
            </w:pPr>
            <w:r>
              <w:rPr>
                <w:rFonts w:hint="eastAsia" w:ascii="仿宋" w:hAnsi="仿宋" w:eastAsia="仿宋"/>
                <w:color w:val="000000"/>
                <w:sz w:val="18"/>
                <w:szCs w:val="18"/>
              </w:rPr>
              <w:t>办理时限</w:t>
            </w:r>
          </w:p>
          <w:p>
            <w:pPr>
              <w:rPr>
                <w:rFonts w:ascii="仿宋" w:hAnsi="仿宋" w:eastAsia="仿宋"/>
                <w:color w:val="000000"/>
                <w:sz w:val="18"/>
                <w:szCs w:val="18"/>
              </w:rPr>
            </w:pPr>
            <w:r>
              <w:rPr>
                <w:rFonts w:hint="eastAsia" w:ascii="仿宋" w:hAnsi="仿宋" w:eastAsia="仿宋"/>
                <w:color w:val="000000"/>
                <w:sz w:val="18"/>
                <w:szCs w:val="18"/>
              </w:rPr>
              <w:t>办理流程</w:t>
            </w:r>
          </w:p>
          <w:p>
            <w:pPr>
              <w:rPr>
                <w:rFonts w:ascii="仿宋" w:hAnsi="仿宋" w:eastAsia="仿宋"/>
                <w:color w:val="000000"/>
                <w:sz w:val="18"/>
                <w:szCs w:val="18"/>
              </w:rPr>
            </w:pPr>
            <w:r>
              <w:rPr>
                <w:rFonts w:hint="eastAsia" w:ascii="仿宋" w:hAnsi="仿宋" w:eastAsia="仿宋"/>
                <w:color w:val="000000"/>
                <w:sz w:val="18"/>
                <w:szCs w:val="18"/>
              </w:rPr>
              <w:t>投诉举报电话以及网上投诉渠道</w:t>
            </w:r>
          </w:p>
        </w:tc>
        <w:tc>
          <w:tcPr>
            <w:tcW w:w="1800" w:type="dxa"/>
            <w:vMerge w:val="restart"/>
            <w:vAlign w:val="center"/>
          </w:tcPr>
          <w:p>
            <w:pPr>
              <w:widowControl/>
              <w:rPr>
                <w:rFonts w:ascii="仿宋" w:hAnsi="仿宋" w:eastAsia="仿宋"/>
                <w:color w:val="000000"/>
                <w:sz w:val="18"/>
                <w:szCs w:val="18"/>
              </w:rPr>
            </w:pPr>
            <w:r>
              <w:rPr>
                <w:rFonts w:hint="eastAsia" w:ascii="仿宋" w:hAnsi="仿宋" w:eastAsia="仿宋"/>
                <w:color w:val="000000"/>
                <w:sz w:val="18"/>
                <w:szCs w:val="18"/>
              </w:rPr>
              <w:t>《中华人民共和国人口与计划生育法》《广西壮族自治区人口和计划生育条例》《社会抚养费征收管理办法》</w:t>
            </w:r>
          </w:p>
        </w:tc>
        <w:tc>
          <w:tcPr>
            <w:tcW w:w="1440" w:type="dxa"/>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自信息形成或者变更之日起20个工作日内予以公开</w:t>
            </w:r>
          </w:p>
        </w:tc>
        <w:tc>
          <w:tcPr>
            <w:tcW w:w="720" w:type="dxa"/>
            <w:vMerge w:val="restart"/>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lang w:eastAsia="zh-CN"/>
              </w:rPr>
              <w:t>宜州区卫生健康局</w:t>
            </w:r>
          </w:p>
        </w:tc>
        <w:tc>
          <w:tcPr>
            <w:tcW w:w="1080" w:type="dxa"/>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宜州区人民政府门户网站</w:t>
            </w:r>
            <w:r>
              <w:rPr>
                <w:rFonts w:hint="eastAsia" w:ascii="仿宋" w:hAnsi="仿宋" w:eastAsia="仿宋"/>
                <w:color w:val="000000"/>
                <w:sz w:val="18"/>
                <w:szCs w:val="18"/>
              </w:rPr>
              <w:t xml:space="preserve">   </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restart"/>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自信息形成或者变更之日起7个工作日内予以公开</w:t>
            </w: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rPr>
              <w:t xml:space="preserve">■精准推送        </w:t>
            </w:r>
          </w:p>
        </w:tc>
        <w:tc>
          <w:tcPr>
            <w:tcW w:w="720" w:type="dxa"/>
            <w:vAlign w:val="center"/>
          </w:tcPr>
          <w:p>
            <w:pPr>
              <w:widowControl/>
              <w:jc w:val="center"/>
              <w:rPr>
                <w:rFonts w:ascii="仿宋" w:hAnsi="仿宋" w:eastAsia="仿宋"/>
                <w:color w:val="000000"/>
                <w:sz w:val="18"/>
                <w:szCs w:val="18"/>
              </w:rPr>
            </w:pP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行政相对人　</w:t>
            </w:r>
          </w:p>
        </w:tc>
        <w:tc>
          <w:tcPr>
            <w:tcW w:w="596"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rPr>
                <w:rFonts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781" w:type="dxa"/>
            <w:vMerge w:val="continue"/>
            <w:vAlign w:val="center"/>
          </w:tcPr>
          <w:p>
            <w:pPr>
              <w:widowControl/>
              <w:rPr>
                <w:rFonts w:ascii="仿宋" w:hAnsi="仿宋" w:eastAsia="仿宋"/>
                <w:color w:val="000000"/>
                <w:sz w:val="18"/>
                <w:szCs w:val="18"/>
              </w:rPr>
            </w:pPr>
          </w:p>
        </w:tc>
        <w:tc>
          <w:tcPr>
            <w:tcW w:w="3548" w:type="dxa"/>
            <w:vMerge w:val="continue"/>
            <w:vAlign w:val="center"/>
          </w:tcPr>
          <w:p>
            <w:pPr>
              <w:widowControl/>
              <w:rPr>
                <w:rFonts w:ascii="仿宋" w:hAnsi="仿宋" w:eastAsia="仿宋"/>
                <w:color w:val="000000"/>
                <w:sz w:val="18"/>
                <w:szCs w:val="18"/>
              </w:rPr>
            </w:pPr>
          </w:p>
        </w:tc>
        <w:tc>
          <w:tcPr>
            <w:tcW w:w="1800" w:type="dxa"/>
            <w:vMerge w:val="continue"/>
            <w:vAlign w:val="center"/>
          </w:tcPr>
          <w:p>
            <w:pPr>
              <w:widowControl/>
              <w:rPr>
                <w:rFonts w:ascii="仿宋" w:hAnsi="仿宋" w:eastAsia="仿宋"/>
                <w:color w:val="000000"/>
                <w:sz w:val="18"/>
                <w:szCs w:val="18"/>
              </w:rPr>
            </w:pPr>
          </w:p>
        </w:tc>
        <w:tc>
          <w:tcPr>
            <w:tcW w:w="1440" w:type="dxa"/>
            <w:vMerge w:val="continue"/>
            <w:vAlign w:val="center"/>
          </w:tcPr>
          <w:p>
            <w:pPr>
              <w:widowControl/>
              <w:rPr>
                <w:rFonts w:hint="eastAsia" w:ascii="仿宋" w:hAnsi="仿宋" w:eastAsia="仿宋"/>
                <w:color w:val="000000"/>
                <w:sz w:val="18"/>
                <w:szCs w:val="18"/>
              </w:rPr>
            </w:pPr>
          </w:p>
        </w:tc>
        <w:tc>
          <w:tcPr>
            <w:tcW w:w="720" w:type="dxa"/>
            <w:vMerge w:val="continue"/>
            <w:vAlign w:val="center"/>
          </w:tcPr>
          <w:p>
            <w:pPr>
              <w:widowControl/>
              <w:rPr>
                <w:rFonts w:ascii="仿宋" w:hAnsi="仿宋" w:eastAsia="仿宋"/>
                <w:color w:val="000000"/>
                <w:sz w:val="18"/>
                <w:szCs w:val="18"/>
              </w:rPr>
            </w:pPr>
          </w:p>
        </w:tc>
        <w:tc>
          <w:tcPr>
            <w:tcW w:w="1080" w:type="dxa"/>
            <w:vAlign w:val="center"/>
          </w:tcPr>
          <w:p>
            <w:pPr>
              <w:widowControl/>
              <w:rPr>
                <w:rFonts w:hint="eastAsia" w:ascii="仿宋" w:hAnsi="仿宋" w:eastAsia="仿宋"/>
                <w:color w:val="000000"/>
                <w:sz w:val="18"/>
                <w:szCs w:val="18"/>
              </w:rPr>
            </w:pPr>
            <w:r>
              <w:rPr>
                <w:rFonts w:hint="eastAsia" w:ascii="仿宋" w:hAnsi="仿宋" w:eastAsia="仿宋"/>
                <w:color w:val="000000"/>
                <w:sz w:val="18"/>
                <w:szCs w:val="18"/>
                <w:lang w:eastAsia="zh-CN"/>
              </w:rPr>
              <w:t>宜州区人民政府门户网站</w:t>
            </w:r>
            <w:r>
              <w:rPr>
                <w:rFonts w:hint="eastAsia" w:ascii="仿宋" w:hAnsi="仿宋" w:eastAsia="仿宋"/>
                <w:color w:val="000000"/>
                <w:sz w:val="18"/>
                <w:szCs w:val="18"/>
              </w:rPr>
              <w:t xml:space="preserve">  </w:t>
            </w:r>
          </w:p>
        </w:tc>
        <w:tc>
          <w:tcPr>
            <w:tcW w:w="720" w:type="dxa"/>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96"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72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　</w:t>
            </w:r>
          </w:p>
        </w:tc>
        <w:tc>
          <w:tcPr>
            <w:tcW w:w="540" w:type="dxa"/>
            <w:vAlign w:val="center"/>
          </w:tcPr>
          <w:p>
            <w:pPr>
              <w:widowControl/>
              <w:jc w:val="center"/>
              <w:rPr>
                <w:rFonts w:hint="eastAsia" w:ascii="仿宋" w:hAnsi="仿宋" w:eastAsia="仿宋"/>
                <w:color w:val="000000"/>
                <w:sz w:val="18"/>
                <w:szCs w:val="18"/>
              </w:rPr>
            </w:pPr>
            <w:r>
              <w:rPr>
                <w:rFonts w:hint="eastAsia" w:ascii="仿宋" w:hAnsi="仿宋" w:eastAsia="仿宋"/>
                <w:color w:val="000000"/>
                <w:sz w:val="18"/>
                <w:szCs w:val="18"/>
              </w:rPr>
              <w:t>√</w:t>
            </w:r>
          </w:p>
        </w:tc>
        <w:tc>
          <w:tcPr>
            <w:tcW w:w="664" w:type="dxa"/>
            <w:vAlign w:val="center"/>
          </w:tcPr>
          <w:p>
            <w:pPr>
              <w:widowControl/>
              <w:jc w:val="center"/>
              <w:rPr>
                <w:rFonts w:ascii="仿宋" w:hAnsi="仿宋" w:eastAsia="仿宋"/>
                <w:color w:val="000000"/>
                <w:sz w:val="18"/>
                <w:szCs w:val="18"/>
              </w:rPr>
            </w:pPr>
          </w:p>
        </w:tc>
      </w:tr>
    </w:tbl>
    <w:p/>
    <w:sectPr>
      <w:pgSz w:w="16838" w:h="11906" w:orient="landscape"/>
      <w:pgMar w:top="1230" w:right="1440" w:bottom="123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2536D"/>
    <w:rsid w:val="00001999"/>
    <w:rsid w:val="000575EC"/>
    <w:rsid w:val="00067E84"/>
    <w:rsid w:val="000B6670"/>
    <w:rsid w:val="00106E3C"/>
    <w:rsid w:val="00193C4E"/>
    <w:rsid w:val="00273FE5"/>
    <w:rsid w:val="002A77DC"/>
    <w:rsid w:val="002D0D18"/>
    <w:rsid w:val="0031060C"/>
    <w:rsid w:val="003113DA"/>
    <w:rsid w:val="003725E3"/>
    <w:rsid w:val="003E6A49"/>
    <w:rsid w:val="00460E7F"/>
    <w:rsid w:val="00525561"/>
    <w:rsid w:val="00540C5E"/>
    <w:rsid w:val="00567E61"/>
    <w:rsid w:val="005E7D46"/>
    <w:rsid w:val="00656844"/>
    <w:rsid w:val="00685254"/>
    <w:rsid w:val="006D35B1"/>
    <w:rsid w:val="00732B2F"/>
    <w:rsid w:val="0073385C"/>
    <w:rsid w:val="00776217"/>
    <w:rsid w:val="007C174C"/>
    <w:rsid w:val="007E5106"/>
    <w:rsid w:val="0081372B"/>
    <w:rsid w:val="00A24B2A"/>
    <w:rsid w:val="00A46236"/>
    <w:rsid w:val="00A677C9"/>
    <w:rsid w:val="00A67873"/>
    <w:rsid w:val="00A859C8"/>
    <w:rsid w:val="00B4413E"/>
    <w:rsid w:val="00B714CD"/>
    <w:rsid w:val="00B80EA6"/>
    <w:rsid w:val="00B852CE"/>
    <w:rsid w:val="00BA0A1B"/>
    <w:rsid w:val="00BE2C22"/>
    <w:rsid w:val="00C04C7C"/>
    <w:rsid w:val="00C05263"/>
    <w:rsid w:val="00C13115"/>
    <w:rsid w:val="00C62A36"/>
    <w:rsid w:val="00CE1EEF"/>
    <w:rsid w:val="00D034EE"/>
    <w:rsid w:val="00D27AB4"/>
    <w:rsid w:val="00DC7553"/>
    <w:rsid w:val="00E80A99"/>
    <w:rsid w:val="00E85B9A"/>
    <w:rsid w:val="00F1503C"/>
    <w:rsid w:val="00F22225"/>
    <w:rsid w:val="00F23151"/>
    <w:rsid w:val="00F76601"/>
    <w:rsid w:val="00FD38F9"/>
    <w:rsid w:val="0901526C"/>
    <w:rsid w:val="0A950E17"/>
    <w:rsid w:val="0C2E229E"/>
    <w:rsid w:val="1A331B48"/>
    <w:rsid w:val="21E34382"/>
    <w:rsid w:val="24944E16"/>
    <w:rsid w:val="302A7635"/>
    <w:rsid w:val="30C875F4"/>
    <w:rsid w:val="342858CC"/>
    <w:rsid w:val="34FD71BB"/>
    <w:rsid w:val="35C838DE"/>
    <w:rsid w:val="4182536D"/>
    <w:rsid w:val="4FD50FA5"/>
    <w:rsid w:val="56C716A7"/>
    <w:rsid w:val="59632AF1"/>
    <w:rsid w:val="5D1258DC"/>
    <w:rsid w:val="65371A86"/>
    <w:rsid w:val="68980F19"/>
    <w:rsid w:val="6BDF4B79"/>
    <w:rsid w:val="6C4F1421"/>
    <w:rsid w:val="730124B7"/>
    <w:rsid w:val="793E2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68466-69F5-4E70-8BE9-2F16EA4DE0C1}">
  <ds:schemaRefs/>
</ds:datastoreItem>
</file>

<file path=docProps/app.xml><?xml version="1.0" encoding="utf-8"?>
<Properties xmlns="http://schemas.openxmlformats.org/officeDocument/2006/extended-properties" xmlns:vt="http://schemas.openxmlformats.org/officeDocument/2006/docPropsVTypes">
  <Template>Normal</Template>
  <Pages>31</Pages>
  <Words>3871</Words>
  <Characters>22071</Characters>
  <Lines>183</Lines>
  <Paragraphs>51</Paragraphs>
  <TotalTime>3</TotalTime>
  <ScaleCrop>false</ScaleCrop>
  <LinksUpToDate>false</LinksUpToDate>
  <CharactersWithSpaces>25891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2020-10-21T03:10:00Z</dcterms:created>
  <dc:creator>NTKO</dc:creator>
  <cp:lastModifiedBy>莹子．</cp:lastModifiedBy>
  <cp:lastPrinted>2020-10-21T07:39:00Z</cp:lastPrinted>
  <dcterms:modified xsi:type="dcterms:W3CDTF">2022-05-08T06:26:40Z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