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楷体_GB2312" w:hAnsi="楷体_GB2312" w:eastAsia="楷体_GB2312" w:cs="楷体_GB2312"/>
          <w:b/>
          <w:bCs/>
          <w:sz w:val="21"/>
          <w:szCs w:val="21"/>
          <w:lang w:val="en-US" w:eastAsia="zh-CN"/>
        </w:rPr>
      </w:pPr>
      <w:bookmarkStart w:id="0" w:name="_Toc24724724"/>
      <w:r>
        <w:rPr>
          <w:rFonts w:hint="eastAsia" w:ascii="楷体_GB2312" w:hAnsi="楷体_GB2312" w:eastAsia="楷体_GB2312" w:cs="楷体_GB2312"/>
          <w:b/>
          <w:bCs/>
          <w:sz w:val="21"/>
          <w:szCs w:val="21"/>
          <w:lang w:eastAsia="zh-CN"/>
        </w:rPr>
        <w:t>天峨县</w:t>
      </w:r>
      <w:r>
        <w:rPr>
          <w:rFonts w:hint="eastAsia" w:ascii="楷体_GB2312" w:hAnsi="楷体_GB2312" w:eastAsia="楷体_GB2312" w:cs="楷体_GB2312"/>
          <w:b/>
          <w:bCs/>
          <w:sz w:val="21"/>
          <w:szCs w:val="21"/>
        </w:rPr>
        <w:t>卫生健康领域基层政务公开标准目录</w:t>
      </w:r>
      <w:bookmarkEnd w:id="0"/>
      <w:r>
        <w:rPr>
          <w:rFonts w:hint="eastAsia" w:ascii="楷体_GB2312" w:hAnsi="楷体_GB2312" w:eastAsia="楷体_GB2312" w:cs="楷体_GB2312"/>
          <w:b/>
          <w:bCs/>
          <w:sz w:val="21"/>
          <w:szCs w:val="21"/>
          <w:lang w:val="en-US" w:eastAsia="zh-CN"/>
        </w:rPr>
        <w:t>(57项)</w:t>
      </w:r>
    </w:p>
    <w:tbl>
      <w:tblPr>
        <w:tblStyle w:val="6"/>
        <w:tblW w:w="15588" w:type="dxa"/>
        <w:tblInd w:w="-8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720"/>
        <w:gridCol w:w="1781"/>
        <w:gridCol w:w="3548"/>
        <w:gridCol w:w="1800"/>
        <w:gridCol w:w="1440"/>
        <w:gridCol w:w="720"/>
        <w:gridCol w:w="1080"/>
        <w:gridCol w:w="720"/>
        <w:gridCol w:w="720"/>
        <w:gridCol w:w="596"/>
        <w:gridCol w:w="720"/>
        <w:gridCol w:w="54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trPr>
        <w:tc>
          <w:tcPr>
            <w:tcW w:w="539" w:type="dxa"/>
            <w:vMerge w:val="restart"/>
            <w:noWrap/>
            <w:vAlign w:val="center"/>
          </w:tcPr>
          <w:p>
            <w:pPr>
              <w:widowControl/>
              <w:jc w:val="center"/>
              <w:rPr>
                <w:rFonts w:hint="eastAsia" w:ascii="仿宋_GB2312" w:hAnsi="仿宋_GB2312" w:eastAsia="仿宋_GB2312" w:cs="仿宋_GB2312"/>
                <w:b/>
                <w:bCs/>
                <w:color w:val="000000"/>
                <w:kern w:val="0"/>
                <w:sz w:val="21"/>
                <w:szCs w:val="21"/>
              </w:rPr>
            </w:pPr>
            <w:bookmarkStart w:id="1" w:name="_GoBack" w:colFirst="0" w:colLast="0"/>
            <w:r>
              <w:rPr>
                <w:rFonts w:hint="eastAsia" w:ascii="仿宋_GB2312" w:hAnsi="仿宋_GB2312" w:eastAsia="仿宋_GB2312" w:cs="仿宋_GB2312"/>
                <w:b/>
                <w:bCs/>
                <w:color w:val="000000"/>
                <w:kern w:val="0"/>
                <w:sz w:val="21"/>
                <w:szCs w:val="21"/>
              </w:rPr>
              <w:t>序号</w:t>
            </w:r>
          </w:p>
        </w:tc>
        <w:tc>
          <w:tcPr>
            <w:tcW w:w="2501" w:type="dxa"/>
            <w:gridSpan w:val="2"/>
            <w:noWrap/>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公开事项</w:t>
            </w:r>
          </w:p>
        </w:tc>
        <w:tc>
          <w:tcPr>
            <w:tcW w:w="3548" w:type="dxa"/>
            <w:vMerge w:val="restart"/>
            <w:noWrap/>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公开内容（要素）</w:t>
            </w:r>
          </w:p>
        </w:tc>
        <w:tc>
          <w:tcPr>
            <w:tcW w:w="1800" w:type="dxa"/>
            <w:vMerge w:val="restart"/>
            <w:noWrap/>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公开依据</w:t>
            </w:r>
          </w:p>
        </w:tc>
        <w:tc>
          <w:tcPr>
            <w:tcW w:w="1440" w:type="dxa"/>
            <w:vMerge w:val="restart"/>
            <w:noWrap/>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公开时限</w:t>
            </w:r>
          </w:p>
        </w:tc>
        <w:tc>
          <w:tcPr>
            <w:tcW w:w="720" w:type="dxa"/>
            <w:vMerge w:val="restart"/>
            <w:noWrap/>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公开主体</w:t>
            </w:r>
          </w:p>
        </w:tc>
        <w:tc>
          <w:tcPr>
            <w:tcW w:w="1080" w:type="dxa"/>
            <w:vMerge w:val="restart"/>
            <w:noWrap/>
            <w:vAlign w:val="center"/>
          </w:tcPr>
          <w:p>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公开渠道和载体</w:t>
            </w:r>
          </w:p>
        </w:tc>
        <w:tc>
          <w:tcPr>
            <w:tcW w:w="1440" w:type="dxa"/>
            <w:gridSpan w:val="2"/>
            <w:noWrap/>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公开对象</w:t>
            </w:r>
          </w:p>
        </w:tc>
        <w:tc>
          <w:tcPr>
            <w:tcW w:w="1316" w:type="dxa"/>
            <w:gridSpan w:val="2"/>
            <w:noWrap/>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公开方式</w:t>
            </w:r>
          </w:p>
        </w:tc>
        <w:tc>
          <w:tcPr>
            <w:tcW w:w="1204" w:type="dxa"/>
            <w:gridSpan w:val="2"/>
            <w:noWrap/>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公开层级</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jc w:val="left"/>
              <w:rPr>
                <w:rFonts w:hint="eastAsia" w:ascii="仿宋_GB2312" w:hAnsi="仿宋_GB2312" w:eastAsia="仿宋_GB2312" w:cs="仿宋_GB2312"/>
                <w:b/>
                <w:bCs/>
                <w:color w:val="000000"/>
                <w:kern w:val="0"/>
                <w:sz w:val="21"/>
                <w:szCs w:val="21"/>
              </w:rPr>
            </w:pPr>
          </w:p>
        </w:tc>
        <w:tc>
          <w:tcPr>
            <w:tcW w:w="720" w:type="dxa"/>
            <w:noWrap/>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一级事项</w:t>
            </w:r>
          </w:p>
        </w:tc>
        <w:tc>
          <w:tcPr>
            <w:tcW w:w="1781" w:type="dxa"/>
            <w:noWrap/>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二级事项</w:t>
            </w:r>
          </w:p>
        </w:tc>
        <w:tc>
          <w:tcPr>
            <w:tcW w:w="3548" w:type="dxa"/>
            <w:vMerge w:val="continue"/>
            <w:noWrap/>
            <w:vAlign w:val="center"/>
          </w:tcPr>
          <w:p>
            <w:pPr>
              <w:widowControl/>
              <w:jc w:val="left"/>
              <w:rPr>
                <w:rFonts w:hint="eastAsia" w:ascii="仿宋_GB2312" w:hAnsi="仿宋_GB2312" w:eastAsia="仿宋_GB2312" w:cs="仿宋_GB2312"/>
                <w:b/>
                <w:bCs/>
                <w:color w:val="000000"/>
                <w:kern w:val="0"/>
                <w:sz w:val="21"/>
                <w:szCs w:val="21"/>
              </w:rPr>
            </w:pPr>
          </w:p>
        </w:tc>
        <w:tc>
          <w:tcPr>
            <w:tcW w:w="1800" w:type="dxa"/>
            <w:vMerge w:val="continue"/>
            <w:noWrap/>
            <w:vAlign w:val="center"/>
          </w:tcPr>
          <w:p>
            <w:pPr>
              <w:widowControl/>
              <w:jc w:val="left"/>
              <w:rPr>
                <w:rFonts w:hint="eastAsia" w:ascii="仿宋_GB2312" w:hAnsi="仿宋_GB2312" w:eastAsia="仿宋_GB2312" w:cs="仿宋_GB2312"/>
                <w:b/>
                <w:bCs/>
                <w:color w:val="000000"/>
                <w:kern w:val="0"/>
                <w:sz w:val="21"/>
                <w:szCs w:val="21"/>
              </w:rPr>
            </w:pPr>
          </w:p>
        </w:tc>
        <w:tc>
          <w:tcPr>
            <w:tcW w:w="1440" w:type="dxa"/>
            <w:vMerge w:val="continue"/>
            <w:noWrap/>
            <w:vAlign w:val="center"/>
          </w:tcPr>
          <w:p>
            <w:pPr>
              <w:widowControl/>
              <w:jc w:val="left"/>
              <w:rPr>
                <w:rFonts w:hint="eastAsia" w:ascii="仿宋_GB2312" w:hAnsi="仿宋_GB2312" w:eastAsia="仿宋_GB2312" w:cs="仿宋_GB2312"/>
                <w:b/>
                <w:bCs/>
                <w:color w:val="000000"/>
                <w:kern w:val="0"/>
                <w:sz w:val="21"/>
                <w:szCs w:val="21"/>
              </w:rPr>
            </w:pPr>
          </w:p>
        </w:tc>
        <w:tc>
          <w:tcPr>
            <w:tcW w:w="720" w:type="dxa"/>
            <w:vMerge w:val="continue"/>
            <w:noWrap/>
            <w:vAlign w:val="center"/>
          </w:tcPr>
          <w:p>
            <w:pPr>
              <w:widowControl/>
              <w:jc w:val="left"/>
              <w:rPr>
                <w:rFonts w:hint="eastAsia" w:ascii="仿宋_GB2312" w:hAnsi="仿宋_GB2312" w:eastAsia="仿宋_GB2312" w:cs="仿宋_GB2312"/>
                <w:b/>
                <w:bCs/>
                <w:color w:val="000000"/>
                <w:kern w:val="0"/>
                <w:sz w:val="21"/>
                <w:szCs w:val="21"/>
              </w:rPr>
            </w:pPr>
          </w:p>
        </w:tc>
        <w:tc>
          <w:tcPr>
            <w:tcW w:w="1080" w:type="dxa"/>
            <w:vMerge w:val="continue"/>
            <w:noWrap/>
            <w:vAlign w:val="center"/>
          </w:tcPr>
          <w:p>
            <w:pPr>
              <w:widowControl/>
              <w:jc w:val="left"/>
              <w:rPr>
                <w:rFonts w:hint="eastAsia" w:ascii="仿宋_GB2312" w:hAnsi="仿宋_GB2312" w:eastAsia="仿宋_GB2312" w:cs="仿宋_GB2312"/>
                <w:b/>
                <w:bCs/>
                <w:kern w:val="0"/>
                <w:sz w:val="21"/>
                <w:szCs w:val="21"/>
              </w:rPr>
            </w:pPr>
          </w:p>
        </w:tc>
        <w:tc>
          <w:tcPr>
            <w:tcW w:w="720" w:type="dxa"/>
            <w:noWrap/>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全社会</w:t>
            </w:r>
          </w:p>
        </w:tc>
        <w:tc>
          <w:tcPr>
            <w:tcW w:w="720" w:type="dxa"/>
            <w:noWrap/>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特定群众</w:t>
            </w:r>
          </w:p>
        </w:tc>
        <w:tc>
          <w:tcPr>
            <w:tcW w:w="596" w:type="dxa"/>
            <w:noWrap/>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主动</w:t>
            </w:r>
          </w:p>
        </w:tc>
        <w:tc>
          <w:tcPr>
            <w:tcW w:w="720" w:type="dxa"/>
            <w:noWrap/>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依申请公开</w:t>
            </w:r>
          </w:p>
        </w:tc>
        <w:tc>
          <w:tcPr>
            <w:tcW w:w="540" w:type="dxa"/>
            <w:noWrap/>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县级</w:t>
            </w:r>
          </w:p>
        </w:tc>
        <w:tc>
          <w:tcPr>
            <w:tcW w:w="664" w:type="dxa"/>
            <w:noWrap/>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w:t>
            </w:r>
          </w:p>
        </w:tc>
        <w:tc>
          <w:tcPr>
            <w:tcW w:w="720" w:type="dxa"/>
            <w:vMerge w:val="restart"/>
            <w:noWrap/>
            <w:vAlign w:val="center"/>
          </w:tcPr>
          <w:p>
            <w:pPr>
              <w:jc w:val="center"/>
              <w:rPr>
                <w:rFonts w:ascii="仿宋" w:hAnsi="仿宋" w:eastAsia="仿宋" w:cs="宋体"/>
                <w:bCs/>
                <w:color w:val="000000"/>
                <w:sz w:val="18"/>
                <w:szCs w:val="18"/>
              </w:rPr>
            </w:pPr>
            <w:r>
              <w:rPr>
                <w:rFonts w:hint="eastAsia" w:ascii="仿宋" w:hAnsi="仿宋" w:eastAsia="仿宋"/>
                <w:bCs/>
                <w:color w:val="000000"/>
                <w:sz w:val="18"/>
                <w:szCs w:val="18"/>
              </w:rPr>
              <w:t>行政许可类事项</w:t>
            </w:r>
          </w:p>
        </w:tc>
        <w:tc>
          <w:tcPr>
            <w:tcW w:w="1781"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母婴保健技术服务机构执业许可（包括计划生育技术服务机构执业许可）（权限内）</w:t>
            </w:r>
          </w:p>
        </w:tc>
        <w:tc>
          <w:tcPr>
            <w:tcW w:w="3548"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1.法律法规和政策文件</w:t>
            </w:r>
            <w:r>
              <w:rPr>
                <w:rFonts w:hint="eastAsia" w:ascii="仿宋" w:hAnsi="仿宋" w:eastAsia="仿宋" w:cs="宋体"/>
                <w:color w:val="000000"/>
                <w:sz w:val="18"/>
                <w:szCs w:val="18"/>
              </w:rPr>
              <w:t>；</w:t>
            </w:r>
          </w:p>
          <w:p>
            <w:pPr>
              <w:rPr>
                <w:rFonts w:ascii="仿宋" w:hAnsi="仿宋" w:eastAsia="仿宋" w:cs="宋体"/>
                <w:color w:val="000000"/>
                <w:sz w:val="18"/>
                <w:szCs w:val="18"/>
              </w:rPr>
            </w:pPr>
            <w:r>
              <w:rPr>
                <w:rFonts w:hint="eastAsia" w:ascii="仿宋" w:hAnsi="仿宋" w:eastAsia="仿宋" w:cs="宋体"/>
                <w:color w:val="000000"/>
                <w:sz w:val="18"/>
                <w:szCs w:val="18"/>
              </w:rPr>
              <w:t>2.</w:t>
            </w:r>
            <w:r>
              <w:rPr>
                <w:rFonts w:hint="eastAsia" w:ascii="仿宋" w:hAnsi="仿宋" w:eastAsia="仿宋"/>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s="宋体"/>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行政许可法》、《母婴保健法》、《计划生育技术服务管理条例》、《母婴保健法实施办法》、《国务院关于第六批取消和调整行政审批项目的决定》、《国家卫生健康委关于修改&lt;职业健康检查管理办法&gt;等4部门规章的决定》</w:t>
            </w:r>
          </w:p>
        </w:tc>
        <w:tc>
          <w:tcPr>
            <w:tcW w:w="144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天峨县卫生健康局</w:t>
            </w:r>
          </w:p>
        </w:tc>
        <w:tc>
          <w:tcPr>
            <w:tcW w:w="108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rPr>
                <w:rFonts w:ascii="仿宋" w:hAnsi="仿宋" w:eastAsia="仿宋" w:cs="宋体"/>
                <w:bCs/>
                <w:color w:val="000000"/>
                <w:sz w:val="18"/>
                <w:szCs w:val="18"/>
              </w:rPr>
            </w:pPr>
          </w:p>
        </w:tc>
        <w:tc>
          <w:tcPr>
            <w:tcW w:w="1781" w:type="dxa"/>
            <w:vMerge w:val="continue"/>
            <w:noWrap/>
            <w:vAlign w:val="center"/>
          </w:tcPr>
          <w:p>
            <w:pPr>
              <w:rPr>
                <w:rFonts w:ascii="仿宋" w:hAnsi="仿宋" w:eastAsia="仿宋" w:cs="宋体"/>
                <w:color w:val="000000"/>
                <w:sz w:val="18"/>
                <w:szCs w:val="18"/>
              </w:rPr>
            </w:pPr>
          </w:p>
        </w:tc>
        <w:tc>
          <w:tcPr>
            <w:tcW w:w="3548"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结果信息——母婴保健技术服务执业许可证信息</w:t>
            </w:r>
          </w:p>
        </w:tc>
        <w:tc>
          <w:tcPr>
            <w:tcW w:w="1800" w:type="dxa"/>
            <w:vMerge w:val="continue"/>
            <w:noWrap/>
            <w:vAlign w:val="center"/>
          </w:tcPr>
          <w:p>
            <w:pPr>
              <w:rPr>
                <w:rFonts w:ascii="仿宋" w:hAnsi="仿宋" w:eastAsia="仿宋" w:cs="宋体"/>
                <w:color w:val="000000"/>
                <w:sz w:val="18"/>
                <w:szCs w:val="18"/>
              </w:rPr>
            </w:pPr>
          </w:p>
        </w:tc>
        <w:tc>
          <w:tcPr>
            <w:tcW w:w="144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rPr>
                <w:rFonts w:ascii="仿宋" w:hAnsi="仿宋" w:eastAsia="仿宋"/>
                <w:color w:val="000000"/>
                <w:sz w:val="18"/>
                <w:szCs w:val="18"/>
              </w:rPr>
            </w:pPr>
          </w:p>
        </w:tc>
        <w:tc>
          <w:tcPr>
            <w:tcW w:w="108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9" w:hRule="atLeast"/>
        </w:trPr>
        <w:tc>
          <w:tcPr>
            <w:tcW w:w="539"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2</w:t>
            </w:r>
          </w:p>
        </w:tc>
        <w:tc>
          <w:tcPr>
            <w:tcW w:w="720"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母婴保健服务人员资格认定（包括计划生育技术服务人员合格证）（权限内）</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p>
            <w:pPr>
              <w:rPr>
                <w:rFonts w:ascii="仿宋" w:hAnsi="仿宋" w:eastAsia="仿宋"/>
                <w:color w:val="000000"/>
                <w:sz w:val="18"/>
                <w:szCs w:val="18"/>
              </w:rPr>
            </w:pPr>
          </w:p>
        </w:tc>
        <w:tc>
          <w:tcPr>
            <w:tcW w:w="1800"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行政许可法》、《母婴保健法》、《计划生育技术服务管理条例》、《母婴保健法实施办法》、《国家卫生健康委关于修改&lt;职业健康检查管理办法&gt;等4部门规章的决定》、《计划生育技术服务管理条例实施细则》</w:t>
            </w:r>
          </w:p>
        </w:tc>
        <w:tc>
          <w:tcPr>
            <w:tcW w:w="1440" w:type="dxa"/>
            <w:noWrap/>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tc>
        <w:tc>
          <w:tcPr>
            <w:tcW w:w="1080" w:type="dxa"/>
            <w:noWrap/>
            <w:vAlign w:val="center"/>
          </w:tcPr>
          <w:p>
            <w:pPr>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rPr>
                <w:rFonts w:ascii="仿宋" w:hAnsi="仿宋" w:eastAsia="仿宋"/>
                <w:color w:val="000000"/>
                <w:sz w:val="18"/>
                <w:szCs w:val="18"/>
              </w:rPr>
            </w:pPr>
          </w:p>
        </w:tc>
        <w:tc>
          <w:tcPr>
            <w:tcW w:w="720" w:type="dxa"/>
            <w:vMerge w:val="continue"/>
            <w:noWrap/>
            <w:vAlign w:val="center"/>
          </w:tcPr>
          <w:p>
            <w:pPr>
              <w:rPr>
                <w:rFonts w:ascii="仿宋" w:hAnsi="仿宋" w:eastAsia="仿宋"/>
                <w:color w:val="000000"/>
                <w:sz w:val="18"/>
                <w:szCs w:val="18"/>
              </w:rPr>
            </w:pPr>
          </w:p>
        </w:tc>
        <w:tc>
          <w:tcPr>
            <w:tcW w:w="1781" w:type="dxa"/>
            <w:vMerge w:val="continue"/>
            <w:noWrap/>
            <w:vAlign w:val="center"/>
          </w:tcPr>
          <w:p>
            <w:pPr>
              <w:rPr>
                <w:rFonts w:ascii="仿宋" w:hAnsi="仿宋" w:eastAsia="仿宋"/>
                <w:color w:val="000000"/>
                <w:sz w:val="18"/>
                <w:szCs w:val="18"/>
              </w:rPr>
            </w:pP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结果信息，包括姓名、性别、类别、执业地点、证书编码、主要执业机构、发证（批准）机关等相关信息</w:t>
            </w:r>
          </w:p>
        </w:tc>
        <w:tc>
          <w:tcPr>
            <w:tcW w:w="1800" w:type="dxa"/>
            <w:vMerge w:val="continue"/>
            <w:noWrap/>
            <w:vAlign w:val="center"/>
          </w:tcPr>
          <w:p>
            <w:pPr>
              <w:rPr>
                <w:rFonts w:ascii="仿宋" w:hAnsi="仿宋" w:eastAsia="仿宋"/>
                <w:color w:val="000000"/>
                <w:sz w:val="18"/>
                <w:szCs w:val="18"/>
              </w:rPr>
            </w:pPr>
          </w:p>
        </w:tc>
        <w:tc>
          <w:tcPr>
            <w:tcW w:w="1440" w:type="dxa"/>
            <w:noWrap/>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jc w:val="center"/>
              <w:rPr>
                <w:rFonts w:ascii="仿宋" w:hAnsi="仿宋" w:eastAsia="仿宋"/>
                <w:color w:val="000000"/>
                <w:sz w:val="18"/>
                <w:szCs w:val="18"/>
              </w:rPr>
            </w:pPr>
          </w:p>
        </w:tc>
        <w:tc>
          <w:tcPr>
            <w:tcW w:w="1080" w:type="dxa"/>
            <w:noWrap/>
            <w:vAlign w:val="center"/>
          </w:tcPr>
          <w:p>
            <w:pPr>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3</w:t>
            </w:r>
          </w:p>
        </w:tc>
        <w:tc>
          <w:tcPr>
            <w:tcW w:w="720"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医疗机构设置审批（含港澳台，外商独资除外）（权限内）</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《行政许可法》、《中医药法》、《医疗机构管理条例》、《国务院关于取消和下放50项行政审批项目等事项的决定》、《医疗机构管理条例实施细则》、《医疗美容服务管理办法》</w:t>
            </w:r>
          </w:p>
        </w:tc>
        <w:tc>
          <w:tcPr>
            <w:tcW w:w="1440" w:type="dxa"/>
            <w:noWrap/>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noWrap/>
            <w:vAlign w:val="center"/>
          </w:tcPr>
          <w:p>
            <w:pPr>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tc>
        <w:tc>
          <w:tcPr>
            <w:tcW w:w="1080" w:type="dxa"/>
            <w:noWrap/>
            <w:vAlign w:val="center"/>
          </w:tcPr>
          <w:p>
            <w:pPr>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rPr>
                <w:rFonts w:ascii="仿宋" w:hAnsi="仿宋" w:eastAsia="仿宋"/>
                <w:color w:val="000000"/>
                <w:sz w:val="18"/>
                <w:szCs w:val="18"/>
              </w:rPr>
            </w:pPr>
          </w:p>
        </w:tc>
        <w:tc>
          <w:tcPr>
            <w:tcW w:w="720" w:type="dxa"/>
            <w:vMerge w:val="continue"/>
            <w:noWrap/>
            <w:vAlign w:val="center"/>
          </w:tcPr>
          <w:p>
            <w:pPr>
              <w:rPr>
                <w:rFonts w:ascii="仿宋" w:hAnsi="仿宋" w:eastAsia="仿宋"/>
                <w:color w:val="000000"/>
                <w:sz w:val="18"/>
                <w:szCs w:val="18"/>
              </w:rPr>
            </w:pPr>
          </w:p>
        </w:tc>
        <w:tc>
          <w:tcPr>
            <w:tcW w:w="1781" w:type="dxa"/>
            <w:vMerge w:val="continue"/>
            <w:noWrap/>
            <w:vAlign w:val="center"/>
          </w:tcPr>
          <w:p>
            <w:pPr>
              <w:rPr>
                <w:rFonts w:ascii="仿宋" w:hAnsi="仿宋" w:eastAsia="仿宋"/>
                <w:color w:val="000000"/>
                <w:sz w:val="18"/>
                <w:szCs w:val="18"/>
              </w:rPr>
            </w:pP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结果信息——设置审批结果信息</w:t>
            </w:r>
          </w:p>
        </w:tc>
        <w:tc>
          <w:tcPr>
            <w:tcW w:w="1800" w:type="dxa"/>
            <w:vMerge w:val="continue"/>
            <w:noWrap/>
            <w:vAlign w:val="center"/>
          </w:tcPr>
          <w:p>
            <w:pPr>
              <w:rPr>
                <w:rFonts w:ascii="仿宋" w:hAnsi="仿宋" w:eastAsia="仿宋"/>
                <w:color w:val="000000"/>
                <w:sz w:val="18"/>
                <w:szCs w:val="18"/>
              </w:rPr>
            </w:pPr>
          </w:p>
        </w:tc>
        <w:tc>
          <w:tcPr>
            <w:tcW w:w="1440" w:type="dxa"/>
            <w:noWrap/>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noWrap/>
            <w:vAlign w:val="center"/>
          </w:tcPr>
          <w:p>
            <w:pPr>
              <w:jc w:val="center"/>
              <w:rPr>
                <w:rFonts w:ascii="仿宋" w:hAnsi="仿宋" w:eastAsia="仿宋"/>
                <w:color w:val="000000"/>
                <w:sz w:val="18"/>
                <w:szCs w:val="18"/>
              </w:rPr>
            </w:pPr>
          </w:p>
        </w:tc>
        <w:tc>
          <w:tcPr>
            <w:tcW w:w="1080" w:type="dxa"/>
            <w:noWrap/>
            <w:vAlign w:val="center"/>
          </w:tcPr>
          <w:p>
            <w:pPr>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4</w:t>
            </w:r>
          </w:p>
        </w:tc>
        <w:tc>
          <w:tcPr>
            <w:tcW w:w="720"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医疗机构执业登记（人体器官移植除外）（权限内）</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《行政许可法》、《医疗机构管理条例》、《医疗机构管理条例实施细则》、《医疗美容服务管理办法》</w:t>
            </w:r>
          </w:p>
        </w:tc>
        <w:tc>
          <w:tcPr>
            <w:tcW w:w="1440" w:type="dxa"/>
            <w:noWrap/>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jc w:val="center"/>
              <w:rPr>
                <w:rFonts w:hint="eastAsia" w:ascii="仿宋" w:hAnsi="仿宋" w:eastAsia="仿宋"/>
                <w:color w:val="000000"/>
                <w:sz w:val="18"/>
                <w:szCs w:val="18"/>
                <w:lang w:eastAsia="zh-CN"/>
              </w:rPr>
            </w:pPr>
          </w:p>
        </w:tc>
        <w:tc>
          <w:tcPr>
            <w:tcW w:w="1080" w:type="dxa"/>
            <w:noWrap/>
            <w:vAlign w:val="center"/>
          </w:tcPr>
          <w:p>
            <w:pPr>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rPr>
                <w:rFonts w:ascii="仿宋" w:hAnsi="仿宋" w:eastAsia="仿宋"/>
                <w:color w:val="000000"/>
                <w:sz w:val="18"/>
                <w:szCs w:val="18"/>
              </w:rPr>
            </w:pPr>
          </w:p>
        </w:tc>
        <w:tc>
          <w:tcPr>
            <w:tcW w:w="720" w:type="dxa"/>
            <w:vMerge w:val="continue"/>
            <w:noWrap/>
            <w:vAlign w:val="center"/>
          </w:tcPr>
          <w:p>
            <w:pPr>
              <w:rPr>
                <w:rFonts w:ascii="仿宋" w:hAnsi="仿宋" w:eastAsia="仿宋"/>
                <w:color w:val="000000"/>
                <w:sz w:val="18"/>
                <w:szCs w:val="18"/>
              </w:rPr>
            </w:pPr>
          </w:p>
        </w:tc>
        <w:tc>
          <w:tcPr>
            <w:tcW w:w="1781" w:type="dxa"/>
            <w:vMerge w:val="continue"/>
            <w:noWrap/>
            <w:vAlign w:val="center"/>
          </w:tcPr>
          <w:p>
            <w:pPr>
              <w:rPr>
                <w:rFonts w:ascii="仿宋" w:hAnsi="仿宋" w:eastAsia="仿宋"/>
                <w:color w:val="000000"/>
                <w:sz w:val="18"/>
                <w:szCs w:val="18"/>
              </w:rPr>
            </w:pP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结果信息——医疗机构名称、地址、诊疗科目、法定代表人、主要负责人、登记号、医疗机构执业许可证有效期限、审批机关</w:t>
            </w:r>
          </w:p>
        </w:tc>
        <w:tc>
          <w:tcPr>
            <w:tcW w:w="1800" w:type="dxa"/>
            <w:vMerge w:val="continue"/>
            <w:noWrap/>
            <w:vAlign w:val="center"/>
          </w:tcPr>
          <w:p>
            <w:pPr>
              <w:rPr>
                <w:rFonts w:ascii="仿宋" w:hAnsi="仿宋" w:eastAsia="仿宋"/>
                <w:color w:val="000000"/>
                <w:sz w:val="18"/>
                <w:szCs w:val="18"/>
              </w:rPr>
            </w:pPr>
          </w:p>
        </w:tc>
        <w:tc>
          <w:tcPr>
            <w:tcW w:w="1440" w:type="dxa"/>
            <w:noWrap/>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jc w:val="center"/>
              <w:rPr>
                <w:rFonts w:ascii="仿宋" w:hAnsi="仿宋" w:eastAsia="仿宋"/>
                <w:color w:val="000000"/>
                <w:sz w:val="18"/>
                <w:szCs w:val="18"/>
              </w:rPr>
            </w:pPr>
          </w:p>
        </w:tc>
        <w:tc>
          <w:tcPr>
            <w:tcW w:w="1080" w:type="dxa"/>
            <w:noWrap/>
            <w:vAlign w:val="center"/>
          </w:tcPr>
          <w:p>
            <w:pPr>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5</w:t>
            </w:r>
          </w:p>
        </w:tc>
        <w:tc>
          <w:tcPr>
            <w:tcW w:w="720"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医师执业注册（权限内）</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《行政许可法》、《执业医师法》、《医师执业注册管理办法》</w:t>
            </w:r>
          </w:p>
        </w:tc>
        <w:tc>
          <w:tcPr>
            <w:tcW w:w="1440" w:type="dxa"/>
            <w:noWrap/>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noWrap/>
            <w:vAlign w:val="center"/>
          </w:tcPr>
          <w:p>
            <w:pPr>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tc>
        <w:tc>
          <w:tcPr>
            <w:tcW w:w="108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rPr>
                <w:rFonts w:ascii="仿宋" w:hAnsi="仿宋" w:eastAsia="仿宋"/>
                <w:color w:val="000000"/>
                <w:sz w:val="18"/>
                <w:szCs w:val="18"/>
              </w:rPr>
            </w:pPr>
          </w:p>
        </w:tc>
        <w:tc>
          <w:tcPr>
            <w:tcW w:w="720" w:type="dxa"/>
            <w:vMerge w:val="continue"/>
            <w:noWrap/>
            <w:vAlign w:val="center"/>
          </w:tcPr>
          <w:p>
            <w:pPr>
              <w:rPr>
                <w:rFonts w:ascii="仿宋" w:hAnsi="仿宋" w:eastAsia="仿宋"/>
                <w:color w:val="000000"/>
                <w:sz w:val="18"/>
                <w:szCs w:val="18"/>
              </w:rPr>
            </w:pPr>
          </w:p>
        </w:tc>
        <w:tc>
          <w:tcPr>
            <w:tcW w:w="1781" w:type="dxa"/>
            <w:vMerge w:val="continue"/>
            <w:noWrap/>
            <w:vAlign w:val="center"/>
          </w:tcPr>
          <w:p>
            <w:pPr>
              <w:rPr>
                <w:rFonts w:ascii="仿宋" w:hAnsi="仿宋" w:eastAsia="仿宋"/>
                <w:color w:val="000000"/>
                <w:sz w:val="18"/>
                <w:szCs w:val="18"/>
              </w:rPr>
            </w:pP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结果信息，包括姓名、性别、类别、执业地点、证书编码、主要执业机构、发证（批准）机关等相关信息</w:t>
            </w:r>
          </w:p>
        </w:tc>
        <w:tc>
          <w:tcPr>
            <w:tcW w:w="1800" w:type="dxa"/>
            <w:vMerge w:val="continue"/>
            <w:noWrap/>
            <w:vAlign w:val="center"/>
          </w:tcPr>
          <w:p>
            <w:pPr>
              <w:jc w:val="center"/>
              <w:rPr>
                <w:rFonts w:ascii="仿宋" w:hAnsi="仿宋" w:eastAsia="仿宋"/>
                <w:color w:val="000000"/>
                <w:sz w:val="18"/>
                <w:szCs w:val="18"/>
              </w:rPr>
            </w:pPr>
          </w:p>
        </w:tc>
        <w:tc>
          <w:tcPr>
            <w:tcW w:w="1440" w:type="dxa"/>
            <w:noWrap/>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天峨县卫生健康局</w:t>
            </w:r>
          </w:p>
        </w:tc>
        <w:tc>
          <w:tcPr>
            <w:tcW w:w="1080" w:type="dxa"/>
            <w:noWrap/>
            <w:vAlign w:val="center"/>
          </w:tcPr>
          <w:p>
            <w:pPr>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6</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护士执业注册（权限内）</w:t>
            </w:r>
          </w:p>
        </w:tc>
        <w:tc>
          <w:tcPr>
            <w:tcW w:w="3548" w:type="dxa"/>
            <w:noWrap/>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1.法律法规和政策文件</w:t>
            </w:r>
          </w:p>
          <w:p>
            <w:pPr>
              <w:widowControl/>
              <w:jc w:val="left"/>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jc w:val="left"/>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noWrap/>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《行政许可法》、《护士条例》、《国务院关于取消和下放一批行政许可事项的决定》、《国家卫生健康委关于做好下放护士执业注册审批有关工作的通知》、《护士执业注册管理办法》</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tc>
        <w:tc>
          <w:tcPr>
            <w:tcW w:w="1080" w:type="dxa"/>
            <w:noWrap/>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jc w:val="left"/>
              <w:rPr>
                <w:rFonts w:ascii="仿宋" w:hAnsi="仿宋" w:eastAsia="仿宋" w:cs="宋体"/>
                <w:color w:val="000000"/>
                <w:kern w:val="0"/>
                <w:sz w:val="18"/>
                <w:szCs w:val="18"/>
              </w:rPr>
            </w:pPr>
          </w:p>
        </w:tc>
        <w:tc>
          <w:tcPr>
            <w:tcW w:w="720" w:type="dxa"/>
            <w:vMerge w:val="continue"/>
            <w:noWrap/>
            <w:vAlign w:val="center"/>
          </w:tcPr>
          <w:p>
            <w:pPr>
              <w:widowControl/>
              <w:jc w:val="left"/>
              <w:rPr>
                <w:rFonts w:ascii="仿宋" w:hAnsi="仿宋" w:eastAsia="仿宋" w:cs="宋体"/>
                <w:bCs/>
                <w:color w:val="000000"/>
                <w:kern w:val="0"/>
                <w:sz w:val="18"/>
                <w:szCs w:val="18"/>
              </w:rPr>
            </w:pPr>
          </w:p>
        </w:tc>
        <w:tc>
          <w:tcPr>
            <w:tcW w:w="1781" w:type="dxa"/>
            <w:vMerge w:val="continue"/>
            <w:noWrap/>
            <w:vAlign w:val="center"/>
          </w:tcPr>
          <w:p>
            <w:pPr>
              <w:widowControl/>
              <w:jc w:val="left"/>
              <w:rPr>
                <w:rFonts w:ascii="仿宋" w:hAnsi="仿宋" w:eastAsia="仿宋" w:cs="宋体"/>
                <w:color w:val="000000"/>
                <w:kern w:val="0"/>
                <w:sz w:val="18"/>
                <w:szCs w:val="18"/>
              </w:rPr>
            </w:pPr>
          </w:p>
        </w:tc>
        <w:tc>
          <w:tcPr>
            <w:tcW w:w="3548" w:type="dxa"/>
            <w:noWrap/>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结果信息，包括姓名、性别、类别、执业地点、证书编码、主要执业机构、发证（批准）机关等相关信息</w:t>
            </w:r>
          </w:p>
        </w:tc>
        <w:tc>
          <w:tcPr>
            <w:tcW w:w="1800" w:type="dxa"/>
            <w:vMerge w:val="continue"/>
            <w:noWrap/>
            <w:vAlign w:val="center"/>
          </w:tcPr>
          <w:p>
            <w:pPr>
              <w:widowControl/>
              <w:jc w:val="left"/>
              <w:rPr>
                <w:rFonts w:ascii="仿宋" w:hAnsi="仿宋" w:eastAsia="仿宋"/>
                <w:color w:val="000000"/>
                <w:sz w:val="18"/>
                <w:szCs w:val="18"/>
              </w:rPr>
            </w:pP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tc>
        <w:tc>
          <w:tcPr>
            <w:tcW w:w="1080" w:type="dxa"/>
            <w:noWrap/>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7</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饮用水供水单位卫生许可（权限内）</w:t>
            </w:r>
          </w:p>
        </w:tc>
        <w:tc>
          <w:tcPr>
            <w:tcW w:w="3548" w:type="dxa"/>
            <w:noWrap/>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1.法律法规和政策文件</w:t>
            </w:r>
          </w:p>
          <w:p>
            <w:pPr>
              <w:widowControl/>
              <w:jc w:val="left"/>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jc w:val="left"/>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noWrap/>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《行政许可法》、《传染病防治法》、《传染病防治法实施办法》、《国务院对确需保留的行政审批项目设定行政许可的决定》、《生活饮用水卫生监督管理办法》</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noWrap/>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jc w:val="left"/>
              <w:rPr>
                <w:rFonts w:ascii="仿宋" w:hAnsi="仿宋" w:eastAsia="仿宋"/>
                <w:color w:val="000000"/>
                <w:sz w:val="18"/>
                <w:szCs w:val="18"/>
              </w:rPr>
            </w:pPr>
          </w:p>
        </w:tc>
        <w:tc>
          <w:tcPr>
            <w:tcW w:w="720" w:type="dxa"/>
            <w:vMerge w:val="continue"/>
            <w:noWrap/>
            <w:vAlign w:val="center"/>
          </w:tcPr>
          <w:p>
            <w:pPr>
              <w:widowControl/>
              <w:jc w:val="left"/>
              <w:rPr>
                <w:rFonts w:ascii="仿宋" w:hAnsi="仿宋" w:eastAsia="仿宋"/>
                <w:color w:val="000000"/>
                <w:sz w:val="18"/>
                <w:szCs w:val="18"/>
              </w:rPr>
            </w:pPr>
          </w:p>
        </w:tc>
        <w:tc>
          <w:tcPr>
            <w:tcW w:w="1781" w:type="dxa"/>
            <w:vMerge w:val="continue"/>
            <w:noWrap/>
            <w:vAlign w:val="center"/>
          </w:tcPr>
          <w:p>
            <w:pPr>
              <w:widowControl/>
              <w:jc w:val="left"/>
              <w:rPr>
                <w:rFonts w:ascii="仿宋" w:hAnsi="仿宋" w:eastAsia="仿宋"/>
                <w:color w:val="000000"/>
                <w:sz w:val="18"/>
                <w:szCs w:val="18"/>
              </w:rPr>
            </w:pPr>
          </w:p>
        </w:tc>
        <w:tc>
          <w:tcPr>
            <w:tcW w:w="3548" w:type="dxa"/>
            <w:noWrap/>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结果信息——卫生许可证信息</w:t>
            </w:r>
          </w:p>
        </w:tc>
        <w:tc>
          <w:tcPr>
            <w:tcW w:w="1800" w:type="dxa"/>
            <w:vMerge w:val="continue"/>
            <w:noWrap/>
            <w:vAlign w:val="center"/>
          </w:tcPr>
          <w:p>
            <w:pPr>
              <w:widowControl/>
              <w:jc w:val="left"/>
              <w:rPr>
                <w:rFonts w:ascii="仿宋" w:hAnsi="仿宋" w:eastAsia="仿宋"/>
                <w:color w:val="000000"/>
                <w:sz w:val="18"/>
                <w:szCs w:val="18"/>
              </w:rPr>
            </w:pP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jc w:val="center"/>
              <w:rPr>
                <w:rFonts w:ascii="仿宋" w:hAnsi="仿宋" w:eastAsia="仿宋"/>
                <w:color w:val="000000"/>
                <w:sz w:val="18"/>
                <w:szCs w:val="18"/>
              </w:rPr>
            </w:pPr>
          </w:p>
        </w:tc>
        <w:tc>
          <w:tcPr>
            <w:tcW w:w="1080" w:type="dxa"/>
            <w:noWrap/>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8</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公共场所卫生许可</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vMerge w:val="restart"/>
            <w:noWrap/>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p>
            <w:pPr>
              <w:widowControl/>
              <w:rPr>
                <w:rFonts w:hint="eastAsia" w:ascii="仿宋" w:hAnsi="仿宋" w:eastAsia="仿宋"/>
                <w:color w:val="000000"/>
                <w:sz w:val="18"/>
                <w:szCs w:val="18"/>
              </w:rPr>
            </w:pP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结果信息——卫生许可证信息</w:t>
            </w:r>
          </w:p>
        </w:tc>
        <w:tc>
          <w:tcPr>
            <w:tcW w:w="1800" w:type="dxa"/>
            <w:vMerge w:val="continue"/>
            <w:noWrap/>
            <w:vAlign w:val="center"/>
          </w:tcPr>
          <w:p>
            <w:pPr>
              <w:widowControl/>
              <w:rPr>
                <w:rFonts w:ascii="仿宋" w:hAnsi="仿宋" w:eastAsia="仿宋"/>
                <w:color w:val="000000"/>
                <w:sz w:val="18"/>
                <w:szCs w:val="18"/>
              </w:rPr>
            </w:pP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ascii="仿宋" w:hAnsi="仿宋" w:eastAsia="仿宋"/>
                <w:color w:val="000000"/>
                <w:sz w:val="18"/>
                <w:szCs w:val="18"/>
              </w:rPr>
            </w:pPr>
          </w:p>
        </w:tc>
        <w:tc>
          <w:tcPr>
            <w:tcW w:w="720" w:type="dxa"/>
            <w:noWrap/>
            <w:vAlign w:val="center"/>
          </w:tcPr>
          <w:p>
            <w:pPr>
              <w:widowControl/>
              <w:rPr>
                <w:rFonts w:ascii="仿宋" w:hAnsi="仿宋" w:eastAsia="仿宋"/>
                <w:color w:val="000000"/>
                <w:sz w:val="18"/>
                <w:szCs w:val="18"/>
              </w:rPr>
            </w:pPr>
          </w:p>
        </w:tc>
        <w:tc>
          <w:tcPr>
            <w:tcW w:w="720" w:type="dxa"/>
            <w:noWrap/>
            <w:vAlign w:val="center"/>
          </w:tcPr>
          <w:p>
            <w:pPr>
              <w:widowControl/>
              <w:rPr>
                <w:rFonts w:ascii="仿宋" w:hAnsi="仿宋" w:eastAsia="仿宋"/>
                <w:color w:val="000000"/>
                <w:sz w:val="18"/>
                <w:szCs w:val="18"/>
              </w:rPr>
            </w:pPr>
          </w:p>
        </w:tc>
        <w:tc>
          <w:tcPr>
            <w:tcW w:w="596" w:type="dxa"/>
            <w:noWrap/>
            <w:vAlign w:val="center"/>
          </w:tcPr>
          <w:p>
            <w:pPr>
              <w:widowControl/>
              <w:rPr>
                <w:rFonts w:ascii="仿宋" w:hAnsi="仿宋" w:eastAsia="仿宋"/>
                <w:color w:val="000000"/>
                <w:sz w:val="18"/>
                <w:szCs w:val="18"/>
              </w:rPr>
            </w:pPr>
          </w:p>
        </w:tc>
        <w:tc>
          <w:tcPr>
            <w:tcW w:w="720" w:type="dxa"/>
            <w:noWrap/>
            <w:vAlign w:val="center"/>
          </w:tcPr>
          <w:p>
            <w:pPr>
              <w:widowControl/>
              <w:rPr>
                <w:rFonts w:ascii="仿宋" w:hAnsi="仿宋" w:eastAsia="仿宋"/>
                <w:color w:val="000000"/>
                <w:sz w:val="18"/>
                <w:szCs w:val="18"/>
              </w:rPr>
            </w:pPr>
          </w:p>
        </w:tc>
        <w:tc>
          <w:tcPr>
            <w:tcW w:w="540" w:type="dxa"/>
            <w:noWrap/>
            <w:vAlign w:val="center"/>
          </w:tcPr>
          <w:p>
            <w:pPr>
              <w:widowControl/>
              <w:rPr>
                <w:rFonts w:ascii="仿宋" w:hAnsi="仿宋" w:eastAsia="仿宋"/>
                <w:color w:val="000000"/>
                <w:sz w:val="18"/>
                <w:szCs w:val="18"/>
              </w:rPr>
            </w:pPr>
          </w:p>
        </w:tc>
        <w:tc>
          <w:tcPr>
            <w:tcW w:w="664" w:type="dxa"/>
            <w:noWrap/>
            <w:vAlign w:val="center"/>
          </w:tcPr>
          <w:p>
            <w:pPr>
              <w:widowControl/>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9</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放射源诊疗技术和医用辐射机构许可</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《行政许可法》、《中华人民共和国职业病防治法》、《医疗机构管理条例、《放射性同位素与射线装置安全和防护条例》等4部法律法规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vMerge w:val="restart"/>
            <w:noWrap/>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p>
            <w:pPr>
              <w:widowControl/>
              <w:rPr>
                <w:rFonts w:hint="eastAsia" w:ascii="仿宋" w:hAnsi="仿宋" w:eastAsia="仿宋"/>
                <w:color w:val="000000"/>
                <w:sz w:val="18"/>
                <w:szCs w:val="18"/>
              </w:rPr>
            </w:pP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结果信息——放射诊疗许可证信息</w:t>
            </w:r>
          </w:p>
        </w:tc>
        <w:tc>
          <w:tcPr>
            <w:tcW w:w="1800" w:type="dxa"/>
            <w:vMerge w:val="continue"/>
            <w:noWrap/>
            <w:vAlign w:val="center"/>
          </w:tcPr>
          <w:p>
            <w:pPr>
              <w:widowControl/>
              <w:rPr>
                <w:rFonts w:ascii="仿宋" w:hAnsi="仿宋" w:eastAsia="仿宋"/>
                <w:color w:val="000000"/>
                <w:sz w:val="18"/>
                <w:szCs w:val="18"/>
              </w:rPr>
            </w:pP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10</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乡村医生执业注册（包括乡村医生执业再注册）</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vMerge w:val="restart"/>
            <w:noWrap/>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p>
            <w:pPr>
              <w:widowControl/>
              <w:rPr>
                <w:rFonts w:hint="eastAsia" w:ascii="仿宋" w:hAnsi="仿宋" w:eastAsia="仿宋"/>
                <w:color w:val="000000"/>
                <w:sz w:val="18"/>
                <w:szCs w:val="18"/>
              </w:rPr>
            </w:pP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结果信息，包括姓名、性别、类别、执业地点、证书编码、主要执业机构、发证（批准）机关等相关信息</w:t>
            </w:r>
          </w:p>
        </w:tc>
        <w:tc>
          <w:tcPr>
            <w:tcW w:w="1800" w:type="dxa"/>
            <w:vMerge w:val="continue"/>
            <w:noWrap/>
            <w:vAlign w:val="center"/>
          </w:tcPr>
          <w:p>
            <w:pPr>
              <w:widowControl/>
              <w:rPr>
                <w:rFonts w:ascii="仿宋" w:hAnsi="仿宋" w:eastAsia="仿宋"/>
                <w:color w:val="000000"/>
                <w:sz w:val="18"/>
                <w:szCs w:val="18"/>
              </w:rPr>
            </w:pP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jc w:val="center"/>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11</w:t>
            </w:r>
          </w:p>
        </w:tc>
        <w:tc>
          <w:tcPr>
            <w:tcW w:w="720" w:type="dxa"/>
            <w:vMerge w:val="restart"/>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noWrap/>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rPr>
              <w:t>医疗机构放射性职业病危害建设项目竣工验收</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p>
            <w:pPr>
              <w:rPr>
                <w:rFonts w:hint="eastAsia" w:ascii="仿宋" w:hAnsi="仿宋" w:eastAsia="仿宋"/>
                <w:color w:val="000000"/>
                <w:sz w:val="18"/>
                <w:szCs w:val="18"/>
              </w:rPr>
            </w:pPr>
          </w:p>
        </w:tc>
        <w:tc>
          <w:tcPr>
            <w:tcW w:w="180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rPr>
              <w:t>《行政许可法》</w:t>
            </w:r>
            <w:r>
              <w:rPr>
                <w:rFonts w:hint="eastAsia" w:ascii="仿宋" w:hAnsi="仿宋" w:eastAsia="仿宋"/>
                <w:color w:val="000000"/>
                <w:sz w:val="18"/>
                <w:szCs w:val="18"/>
                <w:lang w:eastAsia="zh-CN"/>
              </w:rPr>
              <w:t>、</w:t>
            </w:r>
            <w:r>
              <w:rPr>
                <w:rFonts w:hint="eastAsia" w:ascii="仿宋" w:hAnsi="仿宋" w:eastAsia="仿宋"/>
                <w:color w:val="000000"/>
                <w:sz w:val="18"/>
                <w:szCs w:val="18"/>
              </w:rPr>
              <w:t>《中华人民共和国职业病防治法》</w:t>
            </w:r>
            <w:r>
              <w:rPr>
                <w:rFonts w:hint="eastAsia" w:ascii="仿宋" w:hAnsi="仿宋" w:eastAsia="仿宋"/>
                <w:color w:val="000000"/>
                <w:sz w:val="18"/>
                <w:szCs w:val="18"/>
                <w:lang w:eastAsia="zh-CN"/>
              </w:rPr>
              <w:t>、《放射诊疗管理规定》</w:t>
            </w:r>
          </w:p>
        </w:tc>
        <w:tc>
          <w:tcPr>
            <w:tcW w:w="1440" w:type="dxa"/>
            <w:noWrap/>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vMerge w:val="restart"/>
            <w:noWrap/>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p>
            <w:pPr>
              <w:widowControl/>
              <w:rPr>
                <w:rFonts w:hint="eastAsia" w:ascii="仿宋" w:hAnsi="仿宋" w:eastAsia="仿宋"/>
                <w:color w:val="000000"/>
                <w:sz w:val="18"/>
                <w:szCs w:val="18"/>
                <w:lang w:eastAsia="zh-CN"/>
              </w:rPr>
            </w:pP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olor w:val="000000"/>
                <w:sz w:val="18"/>
                <w:szCs w:val="18"/>
              </w:rPr>
            </w:pPr>
          </w:p>
        </w:tc>
        <w:tc>
          <w:tcPr>
            <w:tcW w:w="596" w:type="dxa"/>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olor w:val="000000"/>
                <w:sz w:val="18"/>
                <w:szCs w:val="18"/>
              </w:rPr>
            </w:pPr>
          </w:p>
        </w:tc>
        <w:tc>
          <w:tcPr>
            <w:tcW w:w="540" w:type="dxa"/>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hint="eastAsia"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jc w:val="center"/>
              <w:rPr>
                <w:rFonts w:hint="eastAsia" w:ascii="仿宋" w:hAnsi="仿宋" w:eastAsia="仿宋"/>
                <w:color w:val="000000"/>
                <w:sz w:val="18"/>
                <w:szCs w:val="18"/>
                <w:lang w:val="en-US" w:eastAsia="zh-CN"/>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1781" w:type="dxa"/>
            <w:vMerge w:val="continue"/>
            <w:noWrap/>
            <w:vAlign w:val="center"/>
          </w:tcPr>
          <w:p>
            <w:pPr>
              <w:widowControl/>
              <w:rPr>
                <w:rFonts w:hint="eastAsia" w:ascii="仿宋" w:hAnsi="仿宋" w:eastAsia="仿宋"/>
                <w:color w:val="000000"/>
                <w:sz w:val="18"/>
                <w:szCs w:val="18"/>
              </w:rPr>
            </w:pPr>
          </w:p>
        </w:tc>
        <w:tc>
          <w:tcPr>
            <w:tcW w:w="3548" w:type="dxa"/>
            <w:noWrap/>
            <w:vAlign w:val="center"/>
          </w:tcPr>
          <w:p>
            <w:pPr>
              <w:rPr>
                <w:rFonts w:hint="eastAsia" w:ascii="仿宋" w:hAnsi="仿宋" w:eastAsia="仿宋"/>
                <w:color w:val="000000"/>
                <w:sz w:val="18"/>
                <w:szCs w:val="18"/>
              </w:rPr>
            </w:pPr>
            <w:r>
              <w:rPr>
                <w:rFonts w:hint="eastAsia" w:ascii="仿宋" w:hAnsi="仿宋" w:eastAsia="仿宋"/>
                <w:color w:val="000000"/>
                <w:sz w:val="18"/>
                <w:szCs w:val="18"/>
              </w:rPr>
              <w:t>结果信息——放射诊疗许可证信息</w:t>
            </w:r>
          </w:p>
        </w:tc>
        <w:tc>
          <w:tcPr>
            <w:tcW w:w="1800" w:type="dxa"/>
            <w:vMerge w:val="continue"/>
            <w:noWrap/>
            <w:vAlign w:val="center"/>
          </w:tcPr>
          <w:p>
            <w:pPr>
              <w:widowControl/>
              <w:rPr>
                <w:rFonts w:hint="eastAsia" w:ascii="仿宋" w:hAnsi="仿宋" w:eastAsia="仿宋"/>
                <w:color w:val="000000"/>
                <w:sz w:val="18"/>
                <w:szCs w:val="18"/>
              </w:rPr>
            </w:pPr>
          </w:p>
        </w:tc>
        <w:tc>
          <w:tcPr>
            <w:tcW w:w="1440" w:type="dxa"/>
            <w:noWrap/>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jc w:val="center"/>
              <w:rPr>
                <w:rFonts w:hint="eastAsia" w:ascii="仿宋" w:hAnsi="仿宋" w:eastAsia="仿宋"/>
                <w:color w:val="000000"/>
                <w:sz w:val="18"/>
                <w:szCs w:val="18"/>
                <w:lang w:eastAsia="zh-CN"/>
              </w:rPr>
            </w:pPr>
          </w:p>
        </w:tc>
        <w:tc>
          <w:tcPr>
            <w:tcW w:w="1080" w:type="dxa"/>
            <w:vMerge w:val="continue"/>
            <w:noWrap/>
            <w:vAlign w:val="center"/>
          </w:tcPr>
          <w:p>
            <w:pPr>
              <w:widowControl/>
              <w:rPr>
                <w:rFonts w:hint="eastAsia" w:ascii="仿宋" w:hAnsi="仿宋" w:eastAsia="仿宋"/>
                <w:color w:val="000000"/>
                <w:sz w:val="18"/>
                <w:szCs w:val="18"/>
                <w:lang w:eastAsia="zh-CN"/>
              </w:rPr>
            </w:pPr>
          </w:p>
        </w:tc>
        <w:tc>
          <w:tcPr>
            <w:tcW w:w="720" w:type="dxa"/>
            <w:noWrap/>
            <w:vAlign w:val="center"/>
          </w:tcPr>
          <w:p>
            <w:pPr>
              <w:widowControl/>
              <w:jc w:val="center"/>
              <w:rPr>
                <w:rFonts w:hint="eastAsia" w:ascii="仿宋" w:hAnsi="仿宋" w:eastAsia="仿宋"/>
                <w:color w:val="000000"/>
                <w:sz w:val="18"/>
                <w:szCs w:val="18"/>
              </w:rPr>
            </w:pPr>
          </w:p>
        </w:tc>
        <w:tc>
          <w:tcPr>
            <w:tcW w:w="720" w:type="dxa"/>
            <w:noWrap/>
            <w:vAlign w:val="center"/>
          </w:tcPr>
          <w:p>
            <w:pPr>
              <w:widowControl/>
              <w:jc w:val="center"/>
              <w:rPr>
                <w:rFonts w:hint="eastAsia" w:ascii="仿宋" w:hAnsi="仿宋" w:eastAsia="仿宋"/>
                <w:color w:val="000000"/>
                <w:sz w:val="18"/>
                <w:szCs w:val="18"/>
              </w:rPr>
            </w:pPr>
          </w:p>
        </w:tc>
        <w:tc>
          <w:tcPr>
            <w:tcW w:w="596" w:type="dxa"/>
            <w:noWrap/>
            <w:vAlign w:val="center"/>
          </w:tcPr>
          <w:p>
            <w:pPr>
              <w:widowControl/>
              <w:jc w:val="center"/>
              <w:rPr>
                <w:rFonts w:hint="eastAsia" w:ascii="仿宋" w:hAnsi="仿宋" w:eastAsia="仿宋"/>
                <w:color w:val="000000"/>
                <w:sz w:val="18"/>
                <w:szCs w:val="18"/>
              </w:rPr>
            </w:pPr>
          </w:p>
        </w:tc>
        <w:tc>
          <w:tcPr>
            <w:tcW w:w="720" w:type="dxa"/>
            <w:noWrap/>
            <w:vAlign w:val="center"/>
          </w:tcPr>
          <w:p>
            <w:pPr>
              <w:widowControl/>
              <w:jc w:val="center"/>
              <w:rPr>
                <w:rFonts w:hint="eastAsia" w:ascii="仿宋" w:hAnsi="仿宋" w:eastAsia="仿宋"/>
                <w:color w:val="000000"/>
                <w:sz w:val="18"/>
                <w:szCs w:val="18"/>
              </w:rPr>
            </w:pPr>
          </w:p>
        </w:tc>
        <w:tc>
          <w:tcPr>
            <w:tcW w:w="540" w:type="dxa"/>
            <w:noWrap/>
            <w:vAlign w:val="center"/>
          </w:tcPr>
          <w:p>
            <w:pPr>
              <w:widowControl/>
              <w:jc w:val="center"/>
              <w:rPr>
                <w:rFonts w:hint="eastAsia" w:ascii="仿宋" w:hAnsi="仿宋" w:eastAsia="仿宋"/>
                <w:color w:val="000000"/>
                <w:sz w:val="18"/>
                <w:szCs w:val="18"/>
              </w:rPr>
            </w:pPr>
          </w:p>
        </w:tc>
        <w:tc>
          <w:tcPr>
            <w:tcW w:w="664" w:type="dxa"/>
            <w:noWrap/>
            <w:vAlign w:val="center"/>
          </w:tcPr>
          <w:p>
            <w:pPr>
              <w:widowControl/>
              <w:jc w:val="center"/>
              <w:rPr>
                <w:rFonts w:hint="eastAsia"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rPr>
              <w:t>1</w:t>
            </w:r>
            <w:r>
              <w:rPr>
                <w:rFonts w:hint="eastAsia" w:ascii="仿宋" w:hAnsi="仿宋" w:eastAsia="仿宋"/>
                <w:color w:val="000000"/>
                <w:sz w:val="18"/>
                <w:szCs w:val="18"/>
                <w:lang w:val="en-US" w:eastAsia="zh-CN"/>
              </w:rPr>
              <w:t>2</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医疗机构设置放射诊疗项目职业病危害预评价报告审核</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《行政许可法》、《中华人民共和国职业病防治法》、《医疗机构管理条例、放射性同位素与射线装置安全和防护条例》等4部法律法规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vMerge w:val="restart"/>
            <w:noWrap/>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p>
            <w:pPr>
              <w:widowControl/>
              <w:rPr>
                <w:rFonts w:hint="eastAsia" w:ascii="仿宋" w:hAnsi="仿宋" w:eastAsia="仿宋"/>
                <w:color w:val="000000"/>
                <w:sz w:val="18"/>
                <w:szCs w:val="18"/>
              </w:rPr>
            </w:pP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jc w:val="center"/>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结果信息——放射诊疗许可证信息</w:t>
            </w:r>
          </w:p>
        </w:tc>
        <w:tc>
          <w:tcPr>
            <w:tcW w:w="1800" w:type="dxa"/>
            <w:vMerge w:val="continue"/>
            <w:noWrap/>
            <w:vAlign w:val="center"/>
          </w:tcPr>
          <w:p>
            <w:pPr>
              <w:widowControl/>
              <w:rPr>
                <w:rFonts w:ascii="仿宋" w:hAnsi="仿宋" w:eastAsia="仿宋"/>
                <w:color w:val="000000"/>
                <w:sz w:val="18"/>
                <w:szCs w:val="18"/>
              </w:rPr>
            </w:pP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13</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ascii="仿宋" w:hAnsi="仿宋" w:eastAsia="仿宋" w:cs="等线"/>
                <w:color w:val="000000"/>
                <w:kern w:val="0"/>
                <w:sz w:val="18"/>
                <w:szCs w:val="18"/>
              </w:rPr>
              <w:t>医疗机构违反执业行为的处罚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rPr>
                <w:rFonts w:ascii="仿宋" w:hAnsi="仿宋" w:eastAsia="仿宋"/>
                <w:sz w:val="18"/>
                <w:szCs w:val="18"/>
              </w:rPr>
            </w:pPr>
            <w:r>
              <w:rPr>
                <w:rFonts w:hint="eastAsia" w:ascii="仿宋" w:hAnsi="仿宋" w:eastAsia="仿宋"/>
                <w:sz w:val="18"/>
                <w:szCs w:val="18"/>
              </w:rPr>
              <w:t>《行政处罚法》、《卫生行政处罚程序》、《医疗机构管理条例》、《医疗机构管理条例实施细则》、《广西壮族自治区医疗机构管理办法》等5部法律法规</w:t>
            </w:r>
          </w:p>
        </w:tc>
        <w:tc>
          <w:tcPr>
            <w:tcW w:w="144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noWrap/>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天峨县卫生健康局</w:t>
            </w:r>
          </w:p>
        </w:tc>
        <w:tc>
          <w:tcPr>
            <w:tcW w:w="108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restart"/>
            <w:tcBorders>
              <w:bottom w:val="nil"/>
            </w:tcBorders>
            <w:noWrap/>
            <w:vAlign w:val="center"/>
          </w:tcPr>
          <w:p>
            <w:pPr>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jc w:val="center"/>
              <w:rPr>
                <w:rFonts w:hint="eastAsia" w:ascii="仿宋" w:hAnsi="仿宋" w:eastAsia="仿宋"/>
                <w:color w:val="000000"/>
                <w:sz w:val="18"/>
                <w:szCs w:val="18"/>
                <w:lang w:eastAsia="zh-CN"/>
              </w:rPr>
            </w:pPr>
          </w:p>
        </w:tc>
        <w:tc>
          <w:tcPr>
            <w:tcW w:w="1080" w:type="dxa"/>
            <w:vMerge w:val="restart"/>
            <w:tcBorders>
              <w:bottom w:val="nil"/>
            </w:tcBorders>
            <w:noWrap/>
            <w:vAlign w:val="center"/>
          </w:tcPr>
          <w:p>
            <w:pPr>
              <w:rPr>
                <w:rFonts w:hint="eastAsia"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p>
            <w:pPr>
              <w:rPr>
                <w:rFonts w:hint="eastAsia" w:ascii="仿宋" w:hAnsi="仿宋" w:eastAsia="仿宋"/>
                <w:color w:val="000000"/>
                <w:sz w:val="18"/>
                <w:szCs w:val="18"/>
              </w:rPr>
            </w:pPr>
            <w:r>
              <w:rPr>
                <w:rFonts w:hint="eastAsia" w:ascii="仿宋" w:hAnsi="仿宋" w:eastAsia="仿宋"/>
                <w:color w:val="000000"/>
                <w:sz w:val="18"/>
                <w:szCs w:val="18"/>
              </w:rPr>
              <w:t xml:space="preserve"> </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olor w:val="000000"/>
                <w:sz w:val="18"/>
                <w:szCs w:val="18"/>
              </w:rPr>
            </w:pPr>
          </w:p>
        </w:tc>
        <w:tc>
          <w:tcPr>
            <w:tcW w:w="108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96"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40" w:type="dxa"/>
            <w:vMerge w:val="continue"/>
            <w:noWrap/>
            <w:vAlign w:val="center"/>
          </w:tcPr>
          <w:p>
            <w:pPr>
              <w:jc w:val="center"/>
              <w:rPr>
                <w:rFonts w:ascii="仿宋" w:hAnsi="仿宋" w:eastAsia="仿宋" w:cs="宋体"/>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olor w:val="000000"/>
                <w:sz w:val="18"/>
                <w:szCs w:val="18"/>
              </w:rPr>
            </w:pPr>
          </w:p>
        </w:tc>
        <w:tc>
          <w:tcPr>
            <w:tcW w:w="108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96"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40" w:type="dxa"/>
            <w:vMerge w:val="continue"/>
            <w:noWrap/>
            <w:vAlign w:val="center"/>
          </w:tcPr>
          <w:p>
            <w:pPr>
              <w:jc w:val="center"/>
              <w:rPr>
                <w:rFonts w:ascii="仿宋" w:hAnsi="仿宋" w:eastAsia="仿宋" w:cs="宋体"/>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olor w:val="000000"/>
                <w:sz w:val="18"/>
                <w:szCs w:val="18"/>
              </w:rPr>
            </w:pPr>
          </w:p>
        </w:tc>
        <w:tc>
          <w:tcPr>
            <w:tcW w:w="108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96"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40" w:type="dxa"/>
            <w:vMerge w:val="continue"/>
            <w:noWrap/>
            <w:vAlign w:val="center"/>
          </w:tcPr>
          <w:p>
            <w:pPr>
              <w:jc w:val="center"/>
              <w:rPr>
                <w:rFonts w:ascii="仿宋" w:hAnsi="仿宋" w:eastAsia="仿宋" w:cs="宋体"/>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olor w:val="000000"/>
                <w:sz w:val="18"/>
                <w:szCs w:val="18"/>
              </w:rPr>
            </w:pPr>
          </w:p>
        </w:tc>
        <w:tc>
          <w:tcPr>
            <w:tcW w:w="108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96"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40" w:type="dxa"/>
            <w:vMerge w:val="continue"/>
            <w:noWrap/>
            <w:vAlign w:val="center"/>
          </w:tcPr>
          <w:p>
            <w:pPr>
              <w:jc w:val="center"/>
              <w:rPr>
                <w:rFonts w:ascii="仿宋" w:hAnsi="仿宋" w:eastAsia="仿宋" w:cs="宋体"/>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olor w:val="000000"/>
                <w:sz w:val="18"/>
                <w:szCs w:val="18"/>
              </w:rPr>
            </w:pPr>
          </w:p>
        </w:tc>
        <w:tc>
          <w:tcPr>
            <w:tcW w:w="108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96"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40" w:type="dxa"/>
            <w:vMerge w:val="continue"/>
            <w:noWrap/>
            <w:vAlign w:val="center"/>
          </w:tcPr>
          <w:p>
            <w:pPr>
              <w:jc w:val="center"/>
              <w:rPr>
                <w:rFonts w:ascii="仿宋" w:hAnsi="仿宋" w:eastAsia="仿宋" w:cs="宋体"/>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jc w:val="center"/>
              <w:rPr>
                <w:rFonts w:ascii="仿宋" w:hAnsi="仿宋" w:eastAsia="仿宋"/>
                <w:color w:val="000000"/>
                <w:sz w:val="18"/>
                <w:szCs w:val="18"/>
              </w:rPr>
            </w:pPr>
          </w:p>
        </w:tc>
        <w:tc>
          <w:tcPr>
            <w:tcW w:w="720" w:type="dxa"/>
            <w:vMerge w:val="continue"/>
            <w:noWrap/>
            <w:vAlign w:val="center"/>
          </w:tcPr>
          <w:p>
            <w:pPr>
              <w:widowControl/>
              <w:jc w:val="center"/>
              <w:rPr>
                <w:rFonts w:ascii="仿宋" w:hAnsi="仿宋" w:eastAsia="仿宋"/>
                <w:color w:val="000000"/>
                <w:sz w:val="18"/>
                <w:szCs w:val="18"/>
              </w:rPr>
            </w:pPr>
          </w:p>
        </w:tc>
        <w:tc>
          <w:tcPr>
            <w:tcW w:w="596" w:type="dxa"/>
            <w:vMerge w:val="continue"/>
            <w:noWrap/>
            <w:vAlign w:val="center"/>
          </w:tcPr>
          <w:p>
            <w:pPr>
              <w:widowControl/>
              <w:jc w:val="center"/>
              <w:rPr>
                <w:rFonts w:ascii="仿宋" w:hAnsi="仿宋" w:eastAsia="仿宋"/>
                <w:color w:val="000000"/>
                <w:sz w:val="18"/>
                <w:szCs w:val="18"/>
              </w:rPr>
            </w:pPr>
          </w:p>
        </w:tc>
        <w:tc>
          <w:tcPr>
            <w:tcW w:w="720" w:type="dxa"/>
            <w:vMerge w:val="continue"/>
            <w:noWrap/>
            <w:vAlign w:val="center"/>
          </w:tcPr>
          <w:p>
            <w:pPr>
              <w:widowControl/>
              <w:jc w:val="center"/>
              <w:rPr>
                <w:rFonts w:ascii="仿宋" w:hAnsi="仿宋" w:eastAsia="仿宋"/>
                <w:color w:val="000000"/>
                <w:sz w:val="18"/>
                <w:szCs w:val="18"/>
              </w:rPr>
            </w:pPr>
          </w:p>
        </w:tc>
        <w:tc>
          <w:tcPr>
            <w:tcW w:w="540" w:type="dxa"/>
            <w:vMerge w:val="continue"/>
            <w:noWrap/>
            <w:vAlign w:val="center"/>
          </w:tcPr>
          <w:p>
            <w:pPr>
              <w:widowControl/>
              <w:jc w:val="center"/>
              <w:rPr>
                <w:rFonts w:ascii="仿宋" w:hAnsi="仿宋" w:eastAsia="仿宋"/>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auto"/>
                <w:sz w:val="18"/>
                <w:szCs w:val="18"/>
                <w:lang w:val="en-US" w:eastAsia="zh-CN"/>
              </w:rPr>
            </w:pPr>
            <w:r>
              <w:rPr>
                <w:rFonts w:hint="eastAsia" w:ascii="仿宋" w:hAnsi="仿宋" w:eastAsia="仿宋"/>
                <w:color w:val="auto"/>
                <w:sz w:val="18"/>
                <w:szCs w:val="18"/>
                <w:lang w:val="en-US" w:eastAsia="zh-CN"/>
              </w:rPr>
              <w:t>14</w:t>
            </w:r>
          </w:p>
        </w:tc>
        <w:tc>
          <w:tcPr>
            <w:tcW w:w="720" w:type="dxa"/>
            <w:vMerge w:val="restart"/>
            <w:noWrap/>
            <w:vAlign w:val="center"/>
          </w:tcPr>
          <w:p>
            <w:pPr>
              <w:widowControl/>
              <w:rPr>
                <w:rFonts w:ascii="仿宋" w:hAnsi="仿宋" w:eastAsia="仿宋"/>
                <w:color w:val="auto"/>
                <w:sz w:val="18"/>
                <w:szCs w:val="18"/>
              </w:rPr>
            </w:pPr>
            <w:r>
              <w:rPr>
                <w:rFonts w:hint="eastAsia" w:ascii="仿宋" w:hAnsi="仿宋" w:eastAsia="仿宋"/>
                <w:color w:val="auto"/>
                <w:sz w:val="18"/>
                <w:szCs w:val="18"/>
              </w:rPr>
              <w:t>行政处罚类事项</w:t>
            </w:r>
          </w:p>
        </w:tc>
        <w:tc>
          <w:tcPr>
            <w:tcW w:w="1781" w:type="dxa"/>
            <w:vMerge w:val="restart"/>
            <w:noWrap/>
            <w:vAlign w:val="center"/>
          </w:tcPr>
          <w:p>
            <w:pPr>
              <w:widowControl/>
              <w:rPr>
                <w:rFonts w:ascii="仿宋" w:hAnsi="仿宋" w:eastAsia="仿宋"/>
                <w:color w:val="auto"/>
                <w:sz w:val="18"/>
                <w:szCs w:val="18"/>
              </w:rPr>
            </w:pPr>
            <w:r>
              <w:rPr>
                <w:rFonts w:hint="eastAsia" w:ascii="仿宋" w:hAnsi="仿宋" w:eastAsia="仿宋"/>
                <w:color w:val="auto"/>
                <w:sz w:val="18"/>
                <w:szCs w:val="18"/>
              </w:rPr>
              <w:t>对非法开展非医学需要胎儿性别鉴定和选择性别人工终止妊娠的处罚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rPr>
                <w:rFonts w:ascii="仿宋" w:hAnsi="仿宋" w:eastAsia="仿宋"/>
                <w:sz w:val="18"/>
                <w:szCs w:val="18"/>
              </w:rPr>
            </w:pPr>
            <w:r>
              <w:rPr>
                <w:rFonts w:hint="eastAsia" w:ascii="仿宋" w:hAnsi="仿宋" w:eastAsia="仿宋"/>
                <w:sz w:val="18"/>
                <w:szCs w:val="18"/>
              </w:rPr>
              <w:t>《行政处罚法》、《卫生行政处罚程序》、《中华人民共和国人口与计划生育法》、《关于禁止非医学需要的胎儿性别鉴定和选择性别的人工终止妊娠的规定》、《广西壮族自治区人口和计划生育条例》、《广西壮族自治区母婴保健管理办法》等6部法律法规</w:t>
            </w:r>
          </w:p>
        </w:tc>
        <w:tc>
          <w:tcPr>
            <w:tcW w:w="144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jc w:val="center"/>
              <w:rPr>
                <w:rFonts w:hint="eastAsia" w:ascii="仿宋" w:hAnsi="仿宋" w:eastAsia="仿宋"/>
                <w:color w:val="000000"/>
                <w:sz w:val="18"/>
                <w:szCs w:val="18"/>
                <w:lang w:eastAsia="zh-CN"/>
              </w:rPr>
            </w:pPr>
          </w:p>
        </w:tc>
        <w:tc>
          <w:tcPr>
            <w:tcW w:w="108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jc w:val="center"/>
              <w:rPr>
                <w:rFonts w:ascii="仿宋" w:hAnsi="仿宋" w:eastAsia="仿宋"/>
                <w:color w:val="000000"/>
                <w:sz w:val="18"/>
                <w:szCs w:val="18"/>
              </w:rPr>
            </w:pPr>
          </w:p>
        </w:tc>
        <w:tc>
          <w:tcPr>
            <w:tcW w:w="1080" w:type="dxa"/>
            <w:vMerge w:val="restart"/>
            <w:noWrap/>
            <w:vAlign w:val="center"/>
          </w:tcPr>
          <w:p>
            <w:pPr>
              <w:rPr>
                <w:rFonts w:hint="eastAsia"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p>
            <w:pPr>
              <w:rPr>
                <w:rFonts w:hint="eastAsia" w:ascii="仿宋" w:hAnsi="仿宋" w:eastAsia="仿宋"/>
                <w:color w:val="000000"/>
                <w:sz w:val="18"/>
                <w:szCs w:val="18"/>
              </w:rPr>
            </w:pP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jc w:val="center"/>
              <w:rPr>
                <w:rFonts w:ascii="仿宋" w:hAnsi="仿宋" w:eastAsia="仿宋"/>
                <w:color w:val="000000"/>
                <w:sz w:val="18"/>
                <w:szCs w:val="18"/>
              </w:rPr>
            </w:pPr>
          </w:p>
        </w:tc>
        <w:tc>
          <w:tcPr>
            <w:tcW w:w="720" w:type="dxa"/>
            <w:vMerge w:val="continue"/>
            <w:noWrap/>
            <w:vAlign w:val="center"/>
          </w:tcPr>
          <w:p>
            <w:pPr>
              <w:widowControl/>
              <w:jc w:val="center"/>
              <w:rPr>
                <w:rFonts w:ascii="仿宋" w:hAnsi="仿宋" w:eastAsia="仿宋"/>
                <w:color w:val="000000"/>
                <w:sz w:val="18"/>
                <w:szCs w:val="18"/>
              </w:rPr>
            </w:pPr>
          </w:p>
        </w:tc>
        <w:tc>
          <w:tcPr>
            <w:tcW w:w="596" w:type="dxa"/>
            <w:vMerge w:val="continue"/>
            <w:noWrap/>
            <w:vAlign w:val="center"/>
          </w:tcPr>
          <w:p>
            <w:pPr>
              <w:widowControl/>
              <w:jc w:val="center"/>
              <w:rPr>
                <w:rFonts w:ascii="仿宋" w:hAnsi="仿宋" w:eastAsia="仿宋"/>
                <w:color w:val="000000"/>
                <w:sz w:val="18"/>
                <w:szCs w:val="18"/>
              </w:rPr>
            </w:pPr>
          </w:p>
        </w:tc>
        <w:tc>
          <w:tcPr>
            <w:tcW w:w="720" w:type="dxa"/>
            <w:vMerge w:val="continue"/>
            <w:noWrap/>
            <w:vAlign w:val="center"/>
          </w:tcPr>
          <w:p>
            <w:pPr>
              <w:widowControl/>
              <w:jc w:val="center"/>
              <w:rPr>
                <w:rFonts w:ascii="仿宋" w:hAnsi="仿宋" w:eastAsia="仿宋"/>
                <w:color w:val="000000"/>
                <w:sz w:val="18"/>
                <w:szCs w:val="18"/>
              </w:rPr>
            </w:pPr>
          </w:p>
        </w:tc>
        <w:tc>
          <w:tcPr>
            <w:tcW w:w="540" w:type="dxa"/>
            <w:vMerge w:val="continue"/>
            <w:noWrap/>
            <w:vAlign w:val="center"/>
          </w:tcPr>
          <w:p>
            <w:pPr>
              <w:widowControl/>
              <w:jc w:val="center"/>
              <w:rPr>
                <w:rFonts w:ascii="仿宋" w:hAnsi="仿宋" w:eastAsia="仿宋"/>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15</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sz w:val="18"/>
                <w:szCs w:val="18"/>
              </w:rPr>
              <w:t>单位或个人违反采供血有关法规的处罚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rPr>
                <w:rFonts w:ascii="仿宋" w:hAnsi="仿宋" w:eastAsia="仿宋"/>
                <w:sz w:val="18"/>
                <w:szCs w:val="18"/>
              </w:rPr>
            </w:pPr>
            <w:r>
              <w:rPr>
                <w:rFonts w:hint="eastAsia" w:ascii="仿宋" w:hAnsi="仿宋" w:eastAsia="仿宋"/>
                <w:sz w:val="18"/>
                <w:szCs w:val="18"/>
              </w:rPr>
              <w:t>《行政处罚法》、《卫生行政处罚程序》、《中华人民共和国献血法》、《血站管理办法》等4部法律法规</w:t>
            </w:r>
          </w:p>
        </w:tc>
        <w:tc>
          <w:tcPr>
            <w:tcW w:w="144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noWrap/>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天峨县卫生健康局</w:t>
            </w:r>
          </w:p>
        </w:tc>
        <w:tc>
          <w:tcPr>
            <w:tcW w:w="108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restart"/>
            <w:noWrap/>
            <w:vAlign w:val="center"/>
          </w:tcPr>
          <w:p>
            <w:pPr>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jc w:val="center"/>
              <w:rPr>
                <w:rFonts w:hint="eastAsia" w:ascii="仿宋" w:hAnsi="仿宋" w:eastAsia="仿宋"/>
                <w:color w:val="000000"/>
                <w:sz w:val="18"/>
                <w:szCs w:val="18"/>
                <w:lang w:eastAsia="zh-CN"/>
              </w:rPr>
            </w:pPr>
          </w:p>
        </w:tc>
        <w:tc>
          <w:tcPr>
            <w:tcW w:w="1080" w:type="dxa"/>
            <w:vMerge w:val="restart"/>
            <w:noWrap/>
            <w:vAlign w:val="center"/>
          </w:tcPr>
          <w:p>
            <w:pPr>
              <w:rPr>
                <w:rFonts w:hint="eastAsia"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p>
            <w:pPr>
              <w:rPr>
                <w:rFonts w:hint="eastAsia" w:ascii="仿宋" w:hAnsi="仿宋" w:eastAsia="仿宋"/>
                <w:color w:val="000000"/>
                <w:sz w:val="18"/>
                <w:szCs w:val="18"/>
              </w:rPr>
            </w:pPr>
            <w:r>
              <w:rPr>
                <w:rFonts w:hint="eastAsia" w:ascii="仿宋" w:hAnsi="仿宋" w:eastAsia="仿宋"/>
                <w:color w:val="000000"/>
                <w:sz w:val="18"/>
                <w:szCs w:val="18"/>
              </w:rPr>
              <w:t xml:space="preserve"> </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jc w:val="center"/>
              <w:rPr>
                <w:rFonts w:ascii="仿宋" w:hAnsi="仿宋" w:eastAsia="仿宋"/>
                <w:color w:val="000000"/>
                <w:sz w:val="18"/>
                <w:szCs w:val="18"/>
              </w:rPr>
            </w:pPr>
          </w:p>
        </w:tc>
        <w:tc>
          <w:tcPr>
            <w:tcW w:w="720" w:type="dxa"/>
            <w:vMerge w:val="continue"/>
            <w:noWrap/>
            <w:vAlign w:val="center"/>
          </w:tcPr>
          <w:p>
            <w:pPr>
              <w:widowControl/>
              <w:jc w:val="center"/>
              <w:rPr>
                <w:rFonts w:ascii="仿宋" w:hAnsi="仿宋" w:eastAsia="仿宋"/>
                <w:color w:val="000000"/>
                <w:sz w:val="18"/>
                <w:szCs w:val="18"/>
              </w:rPr>
            </w:pPr>
          </w:p>
        </w:tc>
        <w:tc>
          <w:tcPr>
            <w:tcW w:w="596" w:type="dxa"/>
            <w:vMerge w:val="continue"/>
            <w:noWrap/>
            <w:vAlign w:val="center"/>
          </w:tcPr>
          <w:p>
            <w:pPr>
              <w:widowControl/>
              <w:jc w:val="center"/>
              <w:rPr>
                <w:rFonts w:ascii="仿宋" w:hAnsi="仿宋" w:eastAsia="仿宋"/>
                <w:color w:val="000000"/>
                <w:sz w:val="18"/>
                <w:szCs w:val="18"/>
              </w:rPr>
            </w:pPr>
          </w:p>
        </w:tc>
        <w:tc>
          <w:tcPr>
            <w:tcW w:w="720" w:type="dxa"/>
            <w:vMerge w:val="continue"/>
            <w:noWrap/>
            <w:vAlign w:val="center"/>
          </w:tcPr>
          <w:p>
            <w:pPr>
              <w:widowControl/>
              <w:jc w:val="center"/>
              <w:rPr>
                <w:rFonts w:ascii="仿宋" w:hAnsi="仿宋" w:eastAsia="仿宋"/>
                <w:color w:val="000000"/>
                <w:sz w:val="18"/>
                <w:szCs w:val="18"/>
              </w:rPr>
            </w:pPr>
          </w:p>
        </w:tc>
        <w:tc>
          <w:tcPr>
            <w:tcW w:w="540" w:type="dxa"/>
            <w:vMerge w:val="continue"/>
            <w:noWrap/>
            <w:vAlign w:val="center"/>
          </w:tcPr>
          <w:p>
            <w:pPr>
              <w:widowControl/>
              <w:jc w:val="center"/>
              <w:rPr>
                <w:rFonts w:ascii="仿宋" w:hAnsi="仿宋" w:eastAsia="仿宋"/>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16</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香港、澳门特别行政区及台湾地区医师未经注册行医的处罚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rPr>
                <w:rFonts w:ascii="仿宋" w:hAnsi="仿宋" w:eastAsia="仿宋"/>
                <w:sz w:val="18"/>
                <w:szCs w:val="18"/>
              </w:rPr>
            </w:pPr>
            <w:r>
              <w:rPr>
                <w:rFonts w:hint="eastAsia" w:ascii="仿宋" w:hAnsi="仿宋" w:eastAsia="仿宋"/>
                <w:sz w:val="18"/>
                <w:szCs w:val="18"/>
              </w:rPr>
              <w:t>《行政处罚法》、《卫生行政处罚程序》、《香港、澳门特别行政区医师在内地短期行医管理规定》、《中华人民共和国执业医师法》等4部法律法规</w:t>
            </w:r>
          </w:p>
        </w:tc>
        <w:tc>
          <w:tcPr>
            <w:tcW w:w="144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jc w:val="center"/>
              <w:rPr>
                <w:rFonts w:hint="eastAsia" w:ascii="仿宋" w:hAnsi="仿宋" w:eastAsia="仿宋"/>
                <w:color w:val="000000"/>
                <w:sz w:val="18"/>
                <w:szCs w:val="18"/>
                <w:lang w:eastAsia="zh-CN"/>
              </w:rPr>
            </w:pPr>
          </w:p>
        </w:tc>
        <w:tc>
          <w:tcPr>
            <w:tcW w:w="108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jc w:val="center"/>
              <w:rPr>
                <w:rFonts w:ascii="仿宋" w:hAnsi="仿宋" w:eastAsia="仿宋"/>
                <w:color w:val="000000"/>
                <w:sz w:val="18"/>
                <w:szCs w:val="18"/>
              </w:rPr>
            </w:pPr>
          </w:p>
        </w:tc>
        <w:tc>
          <w:tcPr>
            <w:tcW w:w="108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p>
        </w:tc>
        <w:tc>
          <w:tcPr>
            <w:tcW w:w="596"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p>
        </w:tc>
        <w:tc>
          <w:tcPr>
            <w:tcW w:w="540" w:type="dxa"/>
            <w:noWrap/>
            <w:vAlign w:val="center"/>
          </w:tcPr>
          <w:p>
            <w:pPr>
              <w:widowControl/>
              <w:jc w:val="center"/>
              <w:rPr>
                <w:rFonts w:ascii="仿宋" w:hAnsi="仿宋" w:eastAsia="仿宋"/>
                <w:color w:val="000000"/>
                <w:sz w:val="18"/>
                <w:szCs w:val="18"/>
              </w:rPr>
            </w:pP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jc w:val="center"/>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17</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单位或个人违反公共场所卫生管理规定的处罚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《行政处罚法》、《卫生行政处罚程序》《公共场所卫生管理条例》等3部法律</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rPr>
                <w:rFonts w:ascii="仿宋" w:hAnsi="仿宋" w:eastAsia="仿宋"/>
                <w:sz w:val="18"/>
                <w:szCs w:val="18"/>
              </w:rPr>
            </w:pPr>
            <w:r>
              <w:rPr>
                <w:rFonts w:hint="eastAsia" w:ascii="仿宋" w:hAnsi="仿宋" w:eastAsia="仿宋"/>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18</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rPr>
                <w:rFonts w:ascii="仿宋" w:hAnsi="仿宋" w:eastAsia="仿宋"/>
                <w:sz w:val="18"/>
                <w:szCs w:val="18"/>
              </w:rPr>
            </w:pPr>
            <w:r>
              <w:rPr>
                <w:rFonts w:hint="eastAsia" w:ascii="仿宋" w:hAnsi="仿宋" w:eastAsia="仿宋"/>
                <w:sz w:val="18"/>
                <w:szCs w:val="18"/>
              </w:rPr>
              <w:t>对未取得“卫生许可证”，擅自营业的处罚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《行政处罚法》、《卫生行政处罚程序》、《公共场所卫生管理条例》共3部法律法规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19</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对公共场所经营者未按照规定进行卫生检测、消毒的处罚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《行政处罚法》、《卫生行政处罚程序》、《公共场所卫生管理条例实施细则》共3部法律法规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20</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单位或个人违反公共场所卫生管理规定的处罚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《行政处罚法》、《卫生行政处罚程序》、《公共场所卫生管理条例实施细则》共3部法律法规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21</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公共食（饮）具集中清洗消毒机构违反公共食（饮）具清洗消毒相关规定的处罚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widowControl/>
              <w:rPr>
                <w:rFonts w:hint="eastAsia"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《行政处罚法》、《卫生行政处罚程序》、《公共场所卫生管理条例实施细则》共3部法律法规</w:t>
            </w: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rPr>
                <w:rFonts w:hint="eastAsia" w:ascii="仿宋" w:hAnsi="仿宋" w:eastAsia="仿宋"/>
                <w:color w:val="000000"/>
                <w:sz w:val="18"/>
                <w:szCs w:val="18"/>
                <w:lang w:eastAsia="zh-CN"/>
              </w:rPr>
            </w:pPr>
          </w:p>
        </w:tc>
        <w:tc>
          <w:tcPr>
            <w:tcW w:w="1080" w:type="dxa"/>
            <w:vMerge w:val="restart"/>
            <w:noWrap/>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p>
            <w:pPr>
              <w:widowControl/>
              <w:rPr>
                <w:rFonts w:hint="eastAsia" w:ascii="仿宋" w:hAnsi="仿宋" w:eastAsia="仿宋"/>
                <w:color w:val="000000"/>
                <w:sz w:val="18"/>
                <w:szCs w:val="18"/>
                <w:lang w:eastAsia="zh-CN"/>
              </w:rPr>
            </w:pPr>
            <w:r>
              <w:rPr>
                <w:rFonts w:hint="eastAsia" w:ascii="仿宋" w:hAnsi="仿宋" w:eastAsia="仿宋"/>
                <w:color w:val="000000"/>
                <w:sz w:val="18"/>
                <w:szCs w:val="18"/>
              </w:rPr>
              <w:t xml:space="preserve"> </w:t>
            </w:r>
          </w:p>
        </w:tc>
        <w:tc>
          <w:tcPr>
            <w:tcW w:w="720" w:type="dxa"/>
            <w:vMerge w:val="restart"/>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720" w:type="dxa"/>
            <w:vMerge w:val="restart"/>
            <w:noWrap/>
            <w:vAlign w:val="center"/>
          </w:tcPr>
          <w:p>
            <w:pPr>
              <w:widowControl/>
              <w:jc w:val="center"/>
              <w:rPr>
                <w:rFonts w:hint="eastAsia" w:ascii="仿宋" w:hAnsi="仿宋" w:eastAsia="仿宋"/>
                <w:color w:val="000000"/>
                <w:sz w:val="18"/>
                <w:szCs w:val="18"/>
              </w:rPr>
            </w:pPr>
          </w:p>
        </w:tc>
        <w:tc>
          <w:tcPr>
            <w:tcW w:w="596" w:type="dxa"/>
            <w:vMerge w:val="restart"/>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720" w:type="dxa"/>
            <w:vMerge w:val="restart"/>
            <w:noWrap/>
            <w:vAlign w:val="center"/>
          </w:tcPr>
          <w:p>
            <w:pPr>
              <w:widowControl/>
              <w:jc w:val="center"/>
              <w:rPr>
                <w:rFonts w:hint="eastAsia" w:ascii="仿宋" w:hAnsi="仿宋" w:eastAsia="仿宋"/>
                <w:color w:val="000000"/>
                <w:sz w:val="18"/>
                <w:szCs w:val="18"/>
              </w:rPr>
            </w:pPr>
          </w:p>
        </w:tc>
        <w:tc>
          <w:tcPr>
            <w:tcW w:w="540" w:type="dxa"/>
            <w:vMerge w:val="restart"/>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664" w:type="dxa"/>
            <w:vMerge w:val="restart"/>
            <w:noWrap/>
            <w:vAlign w:val="center"/>
          </w:tcPr>
          <w:p>
            <w:pPr>
              <w:widowControl/>
              <w:jc w:val="center"/>
              <w:rPr>
                <w:rFonts w:hint="eastAsia"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 w:hAnsi="仿宋" w:eastAsia="仿宋"/>
                <w:color w:val="000000"/>
                <w:sz w:val="18"/>
                <w:szCs w:val="18"/>
                <w:lang w:val="en-US" w:eastAsia="zh-CN"/>
              </w:rPr>
            </w:pPr>
          </w:p>
        </w:tc>
        <w:tc>
          <w:tcPr>
            <w:tcW w:w="720" w:type="dxa"/>
            <w:vMerge w:val="continue"/>
            <w:noWrap/>
            <w:vAlign w:val="center"/>
          </w:tcPr>
          <w:p>
            <w:pPr>
              <w:widowControl/>
              <w:rPr>
                <w:rFonts w:hint="eastAsia" w:ascii="仿宋" w:hAnsi="仿宋" w:eastAsia="仿宋"/>
                <w:color w:val="000000"/>
                <w:sz w:val="18"/>
                <w:szCs w:val="18"/>
              </w:rPr>
            </w:pPr>
          </w:p>
        </w:tc>
        <w:tc>
          <w:tcPr>
            <w:tcW w:w="1781" w:type="dxa"/>
            <w:vMerge w:val="continue"/>
            <w:noWrap/>
            <w:vAlign w:val="center"/>
          </w:tcPr>
          <w:p>
            <w:pPr>
              <w:widowControl/>
              <w:rPr>
                <w:rFonts w:hint="eastAsia"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hint="eastAsia" w:ascii="仿宋" w:hAnsi="仿宋" w:eastAsia="仿宋"/>
                <w:color w:val="000000"/>
                <w:sz w:val="18"/>
                <w:szCs w:val="18"/>
                <w:lang w:eastAsia="zh-CN"/>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596"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540" w:type="dxa"/>
            <w:vMerge w:val="continue"/>
            <w:noWrap/>
            <w:vAlign w:val="center"/>
          </w:tcPr>
          <w:p>
            <w:pPr>
              <w:widowControl/>
              <w:jc w:val="center"/>
              <w:rPr>
                <w:rFonts w:hint="eastAsia" w:ascii="仿宋" w:hAnsi="仿宋" w:eastAsia="仿宋"/>
                <w:color w:val="000000"/>
                <w:sz w:val="18"/>
                <w:szCs w:val="18"/>
              </w:rPr>
            </w:pPr>
          </w:p>
        </w:tc>
        <w:tc>
          <w:tcPr>
            <w:tcW w:w="664" w:type="dxa"/>
            <w:vMerge w:val="continue"/>
            <w:noWrap/>
            <w:vAlign w:val="center"/>
          </w:tcPr>
          <w:p>
            <w:pPr>
              <w:widowControl/>
              <w:jc w:val="center"/>
              <w:rPr>
                <w:rFonts w:hint="eastAsia"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 w:hAnsi="仿宋" w:eastAsia="仿宋"/>
                <w:color w:val="000000"/>
                <w:sz w:val="18"/>
                <w:szCs w:val="18"/>
                <w:lang w:val="en-US" w:eastAsia="zh-CN"/>
              </w:rPr>
            </w:pPr>
          </w:p>
        </w:tc>
        <w:tc>
          <w:tcPr>
            <w:tcW w:w="720" w:type="dxa"/>
            <w:vMerge w:val="continue"/>
            <w:noWrap/>
            <w:vAlign w:val="center"/>
          </w:tcPr>
          <w:p>
            <w:pPr>
              <w:widowControl/>
              <w:rPr>
                <w:rFonts w:hint="eastAsia" w:ascii="仿宋" w:hAnsi="仿宋" w:eastAsia="仿宋"/>
                <w:color w:val="000000"/>
                <w:sz w:val="18"/>
                <w:szCs w:val="18"/>
              </w:rPr>
            </w:pPr>
          </w:p>
        </w:tc>
        <w:tc>
          <w:tcPr>
            <w:tcW w:w="1781" w:type="dxa"/>
            <w:vMerge w:val="continue"/>
            <w:noWrap/>
            <w:vAlign w:val="center"/>
          </w:tcPr>
          <w:p>
            <w:pPr>
              <w:widowControl/>
              <w:rPr>
                <w:rFonts w:hint="eastAsia" w:ascii="仿宋" w:hAnsi="仿宋" w:eastAsia="仿宋"/>
                <w:color w:val="000000"/>
                <w:sz w:val="18"/>
                <w:szCs w:val="18"/>
              </w:rPr>
            </w:pPr>
          </w:p>
        </w:tc>
        <w:tc>
          <w:tcPr>
            <w:tcW w:w="3548"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596"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540" w:type="dxa"/>
            <w:vMerge w:val="continue"/>
            <w:noWrap/>
            <w:vAlign w:val="center"/>
          </w:tcPr>
          <w:p>
            <w:pPr>
              <w:widowControl/>
              <w:jc w:val="center"/>
              <w:rPr>
                <w:rFonts w:hint="eastAsia" w:ascii="仿宋" w:hAnsi="仿宋" w:eastAsia="仿宋"/>
                <w:color w:val="000000"/>
                <w:sz w:val="18"/>
                <w:szCs w:val="18"/>
              </w:rPr>
            </w:pPr>
          </w:p>
        </w:tc>
        <w:tc>
          <w:tcPr>
            <w:tcW w:w="664" w:type="dxa"/>
            <w:vMerge w:val="continue"/>
            <w:noWrap/>
            <w:vAlign w:val="center"/>
          </w:tcPr>
          <w:p>
            <w:pPr>
              <w:widowControl/>
              <w:jc w:val="center"/>
              <w:rPr>
                <w:rFonts w:hint="eastAsia"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22</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饮用水供水单位、涉及饮用水卫生安全产品等不符合国家卫生要求的处罚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《行政处罚法》、《卫生行政处罚程序》、《中华人民共和国传染病防治法》共3部法律法规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23</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违反消毒管理规定的处罚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《行政处罚法》、《卫生行政处罚程序》、《中华人民共和国传染病防治法》共3部法律法规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vMerge w:val="restart"/>
            <w:noWrap/>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p>
            <w:pPr>
              <w:widowControl/>
              <w:rPr>
                <w:rFonts w:hint="eastAsia"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24</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单位或个人未依法履行传染病防治职责的处罚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《行政处罚法》、《卫生行政处罚程序》、《中华人民共和国传染病防治法》共3部法律法规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vMerge w:val="restart"/>
            <w:noWrap/>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p>
            <w:pPr>
              <w:widowControl/>
              <w:rPr>
                <w:rFonts w:hint="eastAsia" w:ascii="仿宋" w:hAnsi="仿宋" w:eastAsia="仿宋"/>
                <w:color w:val="000000"/>
                <w:sz w:val="18"/>
                <w:szCs w:val="18"/>
              </w:rPr>
            </w:pP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sz w:val="18"/>
                <w:szCs w:val="18"/>
                <w:lang w:val="en-US" w:eastAsia="zh-CN"/>
              </w:rPr>
            </w:pPr>
            <w:r>
              <w:rPr>
                <w:rFonts w:hint="eastAsia" w:ascii="仿宋" w:hAnsi="仿宋" w:eastAsia="仿宋"/>
                <w:sz w:val="18"/>
                <w:szCs w:val="18"/>
                <w:lang w:val="en-US" w:eastAsia="zh-CN"/>
              </w:rPr>
              <w:t>25</w:t>
            </w:r>
          </w:p>
        </w:tc>
        <w:tc>
          <w:tcPr>
            <w:tcW w:w="720" w:type="dxa"/>
            <w:vMerge w:val="restart"/>
            <w:noWrap/>
            <w:vAlign w:val="center"/>
          </w:tcPr>
          <w:p>
            <w:pPr>
              <w:widowControl/>
              <w:jc w:val="center"/>
              <w:rPr>
                <w:rFonts w:ascii="仿宋" w:hAnsi="仿宋" w:eastAsia="仿宋"/>
                <w:sz w:val="18"/>
                <w:szCs w:val="18"/>
              </w:rPr>
            </w:pPr>
            <w:r>
              <w:rPr>
                <w:rFonts w:hint="eastAsia" w:ascii="仿宋" w:hAnsi="仿宋" w:eastAsia="仿宋"/>
                <w:sz w:val="18"/>
                <w:szCs w:val="18"/>
              </w:rPr>
              <w:t>行政处罚类事项</w:t>
            </w:r>
          </w:p>
        </w:tc>
        <w:tc>
          <w:tcPr>
            <w:tcW w:w="1781" w:type="dxa"/>
            <w:vMerge w:val="restart"/>
            <w:noWrap/>
            <w:vAlign w:val="center"/>
          </w:tcPr>
          <w:p>
            <w:pPr>
              <w:widowControl/>
              <w:rPr>
                <w:rFonts w:ascii="仿宋" w:hAnsi="仿宋" w:eastAsia="仿宋"/>
                <w:sz w:val="18"/>
                <w:szCs w:val="18"/>
              </w:rPr>
            </w:pPr>
            <w:r>
              <w:rPr>
                <w:rFonts w:hint="eastAsia" w:ascii="仿宋" w:hAnsi="仿宋" w:eastAsia="仿宋"/>
                <w:sz w:val="18"/>
                <w:szCs w:val="18"/>
              </w:rPr>
              <w:t>对医疗卫生机构未依法履行艾滋病防治职责的处罚</w:t>
            </w:r>
          </w:p>
        </w:tc>
        <w:tc>
          <w:tcPr>
            <w:tcW w:w="3548" w:type="dxa"/>
            <w:noWrap/>
            <w:vAlign w:val="center"/>
          </w:tcPr>
          <w:p>
            <w:pPr>
              <w:rPr>
                <w:rFonts w:ascii="仿宋" w:hAnsi="仿宋" w:eastAsia="仿宋"/>
                <w:sz w:val="18"/>
                <w:szCs w:val="18"/>
              </w:rPr>
            </w:pPr>
            <w:r>
              <w:rPr>
                <w:rFonts w:hint="eastAsia" w:ascii="仿宋" w:hAnsi="仿宋" w:eastAsia="仿宋"/>
                <w:sz w:val="18"/>
                <w:szCs w:val="18"/>
              </w:rPr>
              <w:t>法律法规和政策文件；</w:t>
            </w:r>
          </w:p>
          <w:p>
            <w:pPr>
              <w:rPr>
                <w:rFonts w:ascii="仿宋" w:hAnsi="仿宋" w:eastAsia="仿宋"/>
                <w:sz w:val="18"/>
                <w:szCs w:val="18"/>
              </w:rPr>
            </w:pPr>
            <w:r>
              <w:rPr>
                <w:rFonts w:hint="eastAsia" w:ascii="仿宋" w:hAnsi="仿宋" w:eastAsia="仿宋"/>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《行政处罚法》、《卫生行政处罚程序》、《艾滋病防治条例》共3部法律法规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sz w:val="18"/>
                <w:szCs w:val="18"/>
              </w:rPr>
            </w:pPr>
          </w:p>
        </w:tc>
        <w:tc>
          <w:tcPr>
            <w:tcW w:w="720" w:type="dxa"/>
            <w:vMerge w:val="continue"/>
            <w:noWrap/>
            <w:vAlign w:val="center"/>
          </w:tcPr>
          <w:p>
            <w:pPr>
              <w:widowControl/>
              <w:rPr>
                <w:rFonts w:ascii="仿宋" w:hAnsi="仿宋" w:eastAsia="仿宋"/>
                <w:sz w:val="18"/>
                <w:szCs w:val="18"/>
              </w:rPr>
            </w:pPr>
          </w:p>
        </w:tc>
        <w:tc>
          <w:tcPr>
            <w:tcW w:w="1781" w:type="dxa"/>
            <w:vMerge w:val="continue"/>
            <w:noWrap/>
            <w:vAlign w:val="center"/>
          </w:tcPr>
          <w:p>
            <w:pPr>
              <w:widowControl/>
              <w:rPr>
                <w:rFonts w:ascii="仿宋" w:hAnsi="仿宋" w:eastAsia="仿宋"/>
                <w:sz w:val="18"/>
                <w:szCs w:val="18"/>
              </w:rPr>
            </w:pPr>
          </w:p>
        </w:tc>
        <w:tc>
          <w:tcPr>
            <w:tcW w:w="3548" w:type="dxa"/>
            <w:noWrap/>
            <w:vAlign w:val="center"/>
          </w:tcPr>
          <w:p>
            <w:pPr>
              <w:widowControl/>
              <w:rPr>
                <w:rFonts w:ascii="仿宋" w:hAnsi="仿宋" w:eastAsia="仿宋"/>
                <w:sz w:val="18"/>
                <w:szCs w:val="18"/>
              </w:rPr>
            </w:pPr>
            <w:r>
              <w:rPr>
                <w:rFonts w:hint="eastAsia" w:ascii="仿宋" w:hAnsi="仿宋" w:eastAsia="仿宋"/>
                <w:sz w:val="18"/>
                <w:szCs w:val="18"/>
              </w:rPr>
              <w:t>受理和立案信息，包括：案件受理记录、立案报告；</w:t>
            </w:r>
          </w:p>
          <w:p>
            <w:pPr>
              <w:widowControl/>
              <w:rPr>
                <w:rFonts w:ascii="仿宋" w:hAnsi="仿宋" w:eastAsia="仿宋"/>
                <w:sz w:val="18"/>
                <w:szCs w:val="18"/>
              </w:rPr>
            </w:pPr>
            <w:r>
              <w:rPr>
                <w:rFonts w:hint="eastAsia" w:ascii="仿宋" w:hAnsi="仿宋" w:eastAsia="仿宋"/>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26</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单位或个人未依法履行传染病防治职责的处罚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《行政处罚法》、《卫生行政处罚程序》、《艾滋病防治条例》共3部法律法规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val="en-US" w:eastAsia="zh-CN"/>
              </w:rPr>
              <w:t>27</w:t>
            </w:r>
          </w:p>
        </w:tc>
        <w:tc>
          <w:tcPr>
            <w:tcW w:w="720" w:type="dxa"/>
            <w:vMerge w:val="restart"/>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w:t>
            </w:r>
            <w:r>
              <w:rPr>
                <w:rFonts w:hint="eastAsia" w:ascii="仿宋" w:hAnsi="仿宋" w:eastAsia="仿宋"/>
                <w:color w:val="000000"/>
                <w:sz w:val="18"/>
                <w:szCs w:val="18"/>
                <w:lang w:eastAsia="zh-CN"/>
              </w:rPr>
              <w:t>处罚</w:t>
            </w:r>
            <w:r>
              <w:rPr>
                <w:rFonts w:hint="eastAsia" w:ascii="仿宋" w:hAnsi="仿宋" w:eastAsia="仿宋"/>
                <w:color w:val="000000"/>
                <w:sz w:val="18"/>
                <w:szCs w:val="18"/>
              </w:rPr>
              <w:t>类事项</w:t>
            </w:r>
          </w:p>
        </w:tc>
        <w:tc>
          <w:tcPr>
            <w:tcW w:w="1781" w:type="dxa"/>
            <w:vMerge w:val="restart"/>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对考核不合格医师的处罚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《中华人民共和国行政</w:t>
            </w:r>
            <w:r>
              <w:rPr>
                <w:rFonts w:hint="eastAsia" w:ascii="仿宋" w:hAnsi="仿宋" w:eastAsia="仿宋"/>
                <w:color w:val="000000"/>
                <w:sz w:val="18"/>
                <w:szCs w:val="18"/>
                <w:lang w:eastAsia="zh-CN"/>
              </w:rPr>
              <w:t>处罚</w:t>
            </w:r>
            <w:r>
              <w:rPr>
                <w:rFonts w:hint="eastAsia" w:ascii="仿宋" w:hAnsi="仿宋" w:eastAsia="仿宋"/>
                <w:color w:val="000000"/>
                <w:sz w:val="18"/>
                <w:szCs w:val="18"/>
              </w:rPr>
              <w:t>法》</w:t>
            </w:r>
            <w:r>
              <w:rPr>
                <w:rFonts w:hint="eastAsia" w:ascii="仿宋" w:hAnsi="仿宋" w:eastAsia="仿宋"/>
                <w:color w:val="000000"/>
                <w:sz w:val="18"/>
                <w:szCs w:val="18"/>
                <w:lang w:eastAsia="zh-CN"/>
              </w:rPr>
              <w:t>、《中华人民共和国执业医师法》</w:t>
            </w:r>
            <w:r>
              <w:rPr>
                <w:rFonts w:hint="eastAsia" w:ascii="仿宋" w:hAnsi="仿宋" w:eastAsia="仿宋"/>
                <w:color w:val="000000"/>
                <w:sz w:val="18"/>
                <w:szCs w:val="18"/>
              </w:rPr>
              <w:t>2部法律法规</w:t>
            </w:r>
          </w:p>
        </w:tc>
        <w:tc>
          <w:tcPr>
            <w:tcW w:w="144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val="en-US" w:eastAsia="zh-CN"/>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vMerge w:val="restart"/>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vMerge w:val="restart"/>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596" w:type="dxa"/>
            <w:vMerge w:val="restart"/>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vMerge w:val="restart"/>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540" w:type="dxa"/>
            <w:vMerge w:val="restart"/>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vMerge w:val="restart"/>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1781" w:type="dxa"/>
            <w:vMerge w:val="continue"/>
            <w:noWrap/>
            <w:vAlign w:val="center"/>
          </w:tcPr>
          <w:p>
            <w:pPr>
              <w:widowControl/>
              <w:rPr>
                <w:rFonts w:hint="eastAsia"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hint="eastAsia" w:ascii="仿宋" w:hAnsi="仿宋" w:eastAsia="仿宋"/>
                <w:color w:val="000000"/>
                <w:sz w:val="18"/>
                <w:szCs w:val="18"/>
              </w:rPr>
            </w:pPr>
          </w:p>
        </w:tc>
        <w:tc>
          <w:tcPr>
            <w:tcW w:w="1440" w:type="dxa"/>
            <w:vMerge w:val="restart"/>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jc w:val="center"/>
              <w:rPr>
                <w:rFonts w:hint="eastAsia" w:ascii="仿宋" w:hAnsi="仿宋" w:eastAsia="仿宋"/>
                <w:color w:val="000000"/>
                <w:sz w:val="18"/>
                <w:szCs w:val="18"/>
                <w:lang w:eastAsia="zh-CN"/>
              </w:rPr>
            </w:pPr>
          </w:p>
        </w:tc>
        <w:tc>
          <w:tcPr>
            <w:tcW w:w="1080" w:type="dxa"/>
            <w:vMerge w:val="restart"/>
            <w:noWrap/>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rPr>
              <w:t xml:space="preserve"> </w:t>
            </w:r>
          </w:p>
        </w:tc>
        <w:tc>
          <w:tcPr>
            <w:tcW w:w="720"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596" w:type="dxa"/>
            <w:vMerge w:val="continue"/>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vMerge w:val="continue"/>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540" w:type="dxa"/>
            <w:vMerge w:val="continue"/>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664" w:type="dxa"/>
            <w:vMerge w:val="continue"/>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1781" w:type="dxa"/>
            <w:vMerge w:val="continue"/>
            <w:noWrap/>
            <w:vAlign w:val="center"/>
          </w:tcPr>
          <w:p>
            <w:pPr>
              <w:widowControl/>
              <w:rPr>
                <w:rFonts w:hint="eastAsia" w:ascii="仿宋" w:hAnsi="仿宋" w:eastAsia="仿宋"/>
                <w:color w:val="000000"/>
                <w:sz w:val="18"/>
                <w:szCs w:val="18"/>
              </w:rPr>
            </w:pPr>
          </w:p>
        </w:tc>
        <w:tc>
          <w:tcPr>
            <w:tcW w:w="3548"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hint="eastAsia" w:ascii="仿宋" w:hAnsi="仿宋" w:eastAsia="仿宋"/>
                <w:color w:val="000000"/>
                <w:sz w:val="18"/>
                <w:szCs w:val="18"/>
              </w:rPr>
            </w:pPr>
          </w:p>
        </w:tc>
        <w:tc>
          <w:tcPr>
            <w:tcW w:w="1440" w:type="dxa"/>
            <w:vMerge w:val="continue"/>
            <w:noWrap/>
            <w:vAlign w:val="center"/>
          </w:tcPr>
          <w:p>
            <w:pPr>
              <w:widowControl/>
              <w:rPr>
                <w:rFonts w:hint="eastAsia" w:ascii="仿宋" w:hAnsi="仿宋" w:eastAsia="仿宋" w:cs="Times New Roman"/>
                <w:color w:val="000000"/>
                <w:kern w:val="2"/>
                <w:sz w:val="18"/>
                <w:szCs w:val="18"/>
                <w:lang w:val="en-US" w:eastAsia="zh-CN" w:bidi="ar-SA"/>
              </w:rPr>
            </w:pPr>
          </w:p>
        </w:tc>
        <w:tc>
          <w:tcPr>
            <w:tcW w:w="720" w:type="dxa"/>
            <w:vMerge w:val="continue"/>
            <w:noWrap/>
            <w:vAlign w:val="center"/>
          </w:tcPr>
          <w:p>
            <w:pPr>
              <w:widowControl/>
              <w:jc w:val="center"/>
              <w:rPr>
                <w:rFonts w:hint="eastAsia" w:ascii="仿宋" w:hAnsi="仿宋" w:eastAsia="仿宋"/>
                <w:color w:val="000000"/>
                <w:sz w:val="18"/>
                <w:szCs w:val="18"/>
                <w:lang w:eastAsia="zh-CN"/>
              </w:rPr>
            </w:pPr>
          </w:p>
        </w:tc>
        <w:tc>
          <w:tcPr>
            <w:tcW w:w="1080" w:type="dxa"/>
            <w:vMerge w:val="continue"/>
            <w:noWrap/>
            <w:vAlign w:val="center"/>
          </w:tcPr>
          <w:p>
            <w:pPr>
              <w:widowControl/>
              <w:rPr>
                <w:rFonts w:hint="eastAsia" w:ascii="仿宋" w:hAnsi="仿宋" w:eastAsia="仿宋"/>
                <w:color w:val="000000"/>
                <w:sz w:val="18"/>
                <w:szCs w:val="18"/>
                <w:lang w:eastAsia="zh-CN"/>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596" w:type="dxa"/>
            <w:vMerge w:val="continue"/>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vMerge w:val="continue"/>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540" w:type="dxa"/>
            <w:vMerge w:val="continue"/>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664" w:type="dxa"/>
            <w:vMerge w:val="continue"/>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28</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w:t>
            </w:r>
            <w:r>
              <w:rPr>
                <w:rFonts w:hint="eastAsia" w:ascii="仿宋" w:hAnsi="仿宋" w:eastAsia="仿宋"/>
                <w:color w:val="000000"/>
                <w:sz w:val="18"/>
                <w:szCs w:val="18"/>
                <w:lang w:eastAsia="zh-CN"/>
              </w:rPr>
              <w:t>强制</w:t>
            </w:r>
            <w:r>
              <w:rPr>
                <w:rFonts w:hint="eastAsia" w:ascii="仿宋" w:hAnsi="仿宋" w:eastAsia="仿宋"/>
                <w:color w:val="000000"/>
                <w:sz w:val="18"/>
                <w:szCs w:val="18"/>
              </w:rPr>
              <w:t>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对被传染病病原体污染的污水、污物、场所和物品的强制消毒</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《中华人民共和国行政强制法》、《中华人民共和国传染病防治法》共2部法律法规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29</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w:t>
            </w:r>
            <w:r>
              <w:rPr>
                <w:rFonts w:hint="eastAsia" w:ascii="仿宋" w:hAnsi="仿宋" w:eastAsia="仿宋"/>
                <w:color w:val="000000"/>
                <w:sz w:val="18"/>
                <w:szCs w:val="18"/>
                <w:lang w:eastAsia="zh-CN"/>
              </w:rPr>
              <w:t>强制</w:t>
            </w:r>
            <w:r>
              <w:rPr>
                <w:rFonts w:hint="eastAsia" w:ascii="仿宋" w:hAnsi="仿宋" w:eastAsia="仿宋"/>
                <w:color w:val="000000"/>
                <w:sz w:val="18"/>
                <w:szCs w:val="18"/>
              </w:rPr>
              <w:t>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对被传染病病原体污染的公共饮用水源等采取的临时控制措施</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《突发公共卫生事件应急条例》、《中华人民共和国行政强制法》共2部法律法规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30</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行政强制类事项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因医疗废物管理不当导致传染病传播或者环境污染事故或者有证据证明传染病传播或者环境污染的事故有可能发生时采取的控制措施</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《中华人民共和国行政强制法》、《医疗废物管理条例》共2部法律法规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31</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行政强制类事项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突发公共卫生事件发生后对人员、疫区、食物、水源等控制措施</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《中华人民共和国行政强制法》、《突发公共卫生事件应急条例》2部法律法规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rPr>
                <w:rFonts w:hint="eastAsia" w:ascii="仿宋" w:hAnsi="仿宋" w:eastAsia="仿宋"/>
                <w:color w:val="000000"/>
                <w:sz w:val="18"/>
                <w:szCs w:val="18"/>
                <w:lang w:eastAsia="zh-CN"/>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restart"/>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32</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对职业病诊断机构和鉴定办事机构的监督检查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《职业病诊断与鉴定管理办法》共1部法律法规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33</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对疾病预防控制工作的监督检查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《中华人民共和国传染病防治法》、《行政许可法》共2部法律法规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34</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对医疗卫生工作的监督检查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《医疗机构管理条例》共1部法律法规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35</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对医疗机构医疗质量管理情况的检查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rPr>
              <w:t>《医疗质量管理办法》</w:t>
            </w:r>
            <w:r>
              <w:rPr>
                <w:rFonts w:hint="eastAsia" w:ascii="仿宋" w:hAnsi="仿宋" w:eastAsia="仿宋"/>
                <w:color w:val="000000"/>
                <w:sz w:val="18"/>
                <w:szCs w:val="18"/>
                <w:lang w:eastAsia="zh-CN"/>
              </w:rPr>
              <w:t>、《行政许可法》、《行政处罚法》</w:t>
            </w:r>
            <w:r>
              <w:rPr>
                <w:rFonts w:hint="eastAsia" w:ascii="仿宋" w:hAnsi="仿宋" w:eastAsia="仿宋"/>
                <w:color w:val="000000"/>
                <w:sz w:val="18"/>
                <w:szCs w:val="18"/>
              </w:rPr>
              <w:t>共</w:t>
            </w:r>
            <w:r>
              <w:rPr>
                <w:rFonts w:hint="eastAsia" w:ascii="仿宋" w:hAnsi="仿宋" w:eastAsia="仿宋"/>
                <w:color w:val="000000"/>
                <w:sz w:val="18"/>
                <w:szCs w:val="18"/>
                <w:lang w:val="en-US" w:eastAsia="zh-CN"/>
              </w:rPr>
              <w:t>3</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rPr>
                <w:rFonts w:hint="eastAsia" w:ascii="仿宋" w:hAnsi="仿宋" w:eastAsia="仿宋"/>
                <w:color w:val="000000"/>
                <w:sz w:val="18"/>
                <w:szCs w:val="18"/>
                <w:lang w:eastAsia="zh-CN"/>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36</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对中医药服务的监督检查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《中华人民共和国中医药法》</w:t>
            </w:r>
            <w:r>
              <w:rPr>
                <w:rFonts w:hint="eastAsia" w:ascii="仿宋" w:hAnsi="仿宋" w:eastAsia="仿宋"/>
                <w:color w:val="000000"/>
                <w:sz w:val="18"/>
                <w:szCs w:val="18"/>
                <w:lang w:eastAsia="zh-CN"/>
              </w:rPr>
              <w:t>、《行政许可法》、《行政处罚法》</w:t>
            </w:r>
            <w:r>
              <w:rPr>
                <w:rFonts w:hint="eastAsia" w:ascii="仿宋" w:hAnsi="仿宋" w:eastAsia="仿宋"/>
                <w:color w:val="000000"/>
                <w:sz w:val="18"/>
                <w:szCs w:val="18"/>
              </w:rPr>
              <w:t>共</w:t>
            </w:r>
            <w:r>
              <w:rPr>
                <w:rFonts w:hint="eastAsia" w:ascii="仿宋" w:hAnsi="仿宋" w:eastAsia="仿宋"/>
                <w:color w:val="000000"/>
                <w:sz w:val="18"/>
                <w:szCs w:val="18"/>
                <w:lang w:val="en-US" w:eastAsia="zh-CN"/>
              </w:rPr>
              <w:t>3</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rPr>
                <w:rFonts w:hint="eastAsia" w:ascii="仿宋" w:hAnsi="仿宋" w:eastAsia="仿宋"/>
                <w:color w:val="000000"/>
                <w:sz w:val="18"/>
                <w:szCs w:val="18"/>
                <w:lang w:eastAsia="zh-CN"/>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37</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生活饮用水卫生监督</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《中华人民共和国传染病防治法》《生活饮用水卫生监督管理办法》共</w:t>
            </w:r>
            <w:r>
              <w:rPr>
                <w:rFonts w:hint="eastAsia" w:ascii="仿宋" w:hAnsi="仿宋" w:eastAsia="仿宋"/>
                <w:color w:val="000000"/>
                <w:sz w:val="18"/>
                <w:szCs w:val="18"/>
                <w:lang w:val="en-US" w:eastAsia="zh-CN"/>
              </w:rPr>
              <w:t>2</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rPr>
                <w:rFonts w:hint="eastAsia" w:ascii="仿宋" w:hAnsi="仿宋" w:eastAsia="仿宋"/>
                <w:color w:val="000000"/>
                <w:sz w:val="18"/>
                <w:szCs w:val="18"/>
                <w:lang w:eastAsia="zh-CN"/>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38</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对乡村医生从业管理的检查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《乡村医生从业管理条例》</w:t>
            </w:r>
            <w:r>
              <w:rPr>
                <w:rFonts w:hint="eastAsia" w:ascii="仿宋" w:hAnsi="仿宋" w:eastAsia="仿宋"/>
                <w:color w:val="000000"/>
                <w:sz w:val="18"/>
                <w:szCs w:val="18"/>
                <w:lang w:val="en-US" w:eastAsia="zh-CN"/>
              </w:rPr>
              <w:t>1</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rPr>
                <w:rFonts w:hint="eastAsia" w:ascii="仿宋" w:hAnsi="仿宋" w:eastAsia="仿宋"/>
                <w:color w:val="000000"/>
                <w:sz w:val="18"/>
                <w:szCs w:val="18"/>
                <w:lang w:eastAsia="zh-CN"/>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39</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对医疗机构医疗质量管理情况的检查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《医疗质量管理办法》</w:t>
            </w:r>
            <w:r>
              <w:rPr>
                <w:rFonts w:hint="eastAsia" w:ascii="仿宋" w:hAnsi="仿宋" w:eastAsia="仿宋"/>
                <w:color w:val="000000"/>
                <w:sz w:val="18"/>
                <w:szCs w:val="18"/>
                <w:lang w:eastAsia="zh-CN"/>
              </w:rPr>
              <w:t>《行政许可法》、《行政处罚法》</w:t>
            </w:r>
            <w:r>
              <w:rPr>
                <w:rFonts w:hint="eastAsia" w:ascii="仿宋" w:hAnsi="仿宋" w:eastAsia="仿宋"/>
                <w:color w:val="000000"/>
                <w:sz w:val="18"/>
                <w:szCs w:val="18"/>
              </w:rPr>
              <w:t>共</w:t>
            </w:r>
            <w:r>
              <w:rPr>
                <w:rFonts w:hint="eastAsia" w:ascii="仿宋" w:hAnsi="仿宋" w:eastAsia="仿宋"/>
                <w:color w:val="000000"/>
                <w:sz w:val="18"/>
                <w:szCs w:val="18"/>
                <w:lang w:val="en-US" w:eastAsia="zh-CN"/>
              </w:rPr>
              <w:t>3</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rPr>
                <w:rFonts w:hint="eastAsia" w:ascii="仿宋" w:hAnsi="仿宋" w:eastAsia="仿宋"/>
                <w:color w:val="000000"/>
                <w:sz w:val="18"/>
                <w:szCs w:val="18"/>
                <w:lang w:eastAsia="zh-CN"/>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hint="eastAsia"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40</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母婴保健技术服务质量监督</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《中华人民共和国母婴保健法》、《中华人民共和国母婴保健法实施办法》、《新生儿疾病筛查管理办法》共3部法律法规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41</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对获得工商营业执照的餐饮具集中消毒单位实施卫生监督检查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《消毒管理办法》共1部法律法规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42</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w:t>
            </w:r>
            <w:r>
              <w:rPr>
                <w:rFonts w:hint="eastAsia" w:ascii="仿宋" w:hAnsi="仿宋" w:eastAsia="仿宋"/>
                <w:color w:val="000000"/>
                <w:sz w:val="18"/>
                <w:szCs w:val="18"/>
                <w:lang w:eastAsia="zh-CN"/>
              </w:rPr>
              <w:t>检查</w:t>
            </w:r>
            <w:r>
              <w:rPr>
                <w:rFonts w:hint="eastAsia" w:ascii="仿宋" w:hAnsi="仿宋" w:eastAsia="仿宋"/>
                <w:color w:val="000000"/>
                <w:sz w:val="18"/>
                <w:szCs w:val="18"/>
              </w:rPr>
              <w:t>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对消毒服务机构的消毒服务质量进行监督检查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《消毒管理办法》共1部法律法规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43</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对公共场所卫生的监督检查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《公共场所卫生管理条例》1部法律法规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44</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防艾工作督导考核</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《艾滋病防治条例》《广西壮族自治区艾滋病防治条例》《自治区党委办公厅 自治区人民政府办公厅关于印发&lt;广西壮族自治区防治艾滋病攻坚工程目标管理责任制考核评估办法&gt;的通知》（桂办发〔2010〕41号）共</w:t>
            </w:r>
            <w:r>
              <w:rPr>
                <w:rFonts w:hint="eastAsia" w:ascii="仿宋" w:hAnsi="仿宋" w:eastAsia="仿宋"/>
                <w:color w:val="000000"/>
                <w:sz w:val="18"/>
                <w:szCs w:val="18"/>
                <w:lang w:val="en-US" w:eastAsia="zh-CN"/>
              </w:rPr>
              <w:t>3</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rPr>
                <w:rFonts w:hint="eastAsia" w:ascii="仿宋" w:hAnsi="仿宋" w:eastAsia="仿宋"/>
                <w:color w:val="000000"/>
                <w:sz w:val="18"/>
                <w:szCs w:val="18"/>
                <w:lang w:eastAsia="zh-CN"/>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45</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行政征收事项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社会抚养费征收</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rPr>
              <w:t>《中华人民共和国人口与计划生育法》</w:t>
            </w:r>
            <w:r>
              <w:rPr>
                <w:rFonts w:hint="eastAsia" w:ascii="仿宋" w:hAnsi="仿宋" w:eastAsia="仿宋"/>
                <w:color w:val="000000"/>
                <w:sz w:val="18"/>
                <w:szCs w:val="18"/>
                <w:lang w:eastAsia="zh-CN"/>
              </w:rPr>
              <w:t>、《社会抚养费征收管理办法》</w:t>
            </w:r>
            <w:r>
              <w:rPr>
                <w:rFonts w:hint="eastAsia" w:ascii="仿宋" w:hAnsi="仿宋" w:eastAsia="仿宋"/>
                <w:color w:val="000000"/>
                <w:sz w:val="18"/>
                <w:szCs w:val="18"/>
              </w:rPr>
              <w:t>共</w:t>
            </w:r>
            <w:r>
              <w:rPr>
                <w:rFonts w:hint="eastAsia" w:ascii="仿宋" w:hAnsi="仿宋" w:eastAsia="仿宋"/>
                <w:color w:val="000000"/>
                <w:sz w:val="18"/>
                <w:szCs w:val="18"/>
                <w:lang w:val="en-US" w:eastAsia="zh-CN"/>
              </w:rPr>
              <w:t>2</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rPr>
                <w:rFonts w:hint="eastAsia" w:ascii="仿宋" w:hAnsi="仿宋" w:eastAsia="仿宋"/>
                <w:color w:val="000000"/>
                <w:sz w:val="18"/>
                <w:szCs w:val="18"/>
                <w:lang w:eastAsia="zh-CN"/>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46</w:t>
            </w:r>
          </w:p>
        </w:tc>
        <w:tc>
          <w:tcPr>
            <w:tcW w:w="720" w:type="dxa"/>
            <w:vMerge w:val="restart"/>
            <w:noWrap/>
            <w:vAlign w:val="center"/>
          </w:tcPr>
          <w:p>
            <w:pPr>
              <w:widowControl/>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行政奖励</w:t>
            </w:r>
            <w:r>
              <w:rPr>
                <w:rFonts w:hint="eastAsia" w:ascii="仿宋_GB2312" w:hAnsi="仿宋_GB2312" w:eastAsia="仿宋_GB2312" w:cs="仿宋_GB2312"/>
                <w:color w:val="auto"/>
                <w:sz w:val="18"/>
                <w:szCs w:val="18"/>
                <w:lang w:eastAsia="zh-CN"/>
              </w:rPr>
              <w:t>事项</w:t>
            </w:r>
          </w:p>
        </w:tc>
        <w:tc>
          <w:tcPr>
            <w:tcW w:w="1781"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snapToGrid w:val="0"/>
                <w:color w:val="auto"/>
                <w:kern w:val="0"/>
                <w:sz w:val="18"/>
                <w:szCs w:val="18"/>
              </w:rPr>
              <w:t>对在突发事件应急处理、突发公共卫生事件与传染病疫情监测信息报告管理工作中做出贡献的人员给予表彰和奖励</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方正书宋_GBK" w:hAnsi="宋体" w:eastAsia="方正书宋_GBK" w:cs="宋体"/>
                <w:snapToGrid w:val="0"/>
                <w:kern w:val="0"/>
                <w:sz w:val="13"/>
                <w:szCs w:val="13"/>
              </w:rPr>
              <w:t>《突发公共卫生事件应急条例》</w:t>
            </w:r>
            <w:r>
              <w:rPr>
                <w:rFonts w:hint="eastAsia" w:ascii="仿宋" w:hAnsi="仿宋" w:eastAsia="仿宋"/>
                <w:color w:val="000000"/>
                <w:sz w:val="18"/>
                <w:szCs w:val="18"/>
                <w:lang w:val="en-US" w:eastAsia="zh-CN"/>
              </w:rPr>
              <w:t>1</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rPr>
                <w:rFonts w:hint="eastAsia" w:ascii="仿宋" w:hAnsi="仿宋" w:eastAsia="仿宋"/>
                <w:color w:val="000000"/>
                <w:sz w:val="18"/>
                <w:szCs w:val="18"/>
                <w:lang w:eastAsia="zh-CN"/>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781" w:type="dxa"/>
            <w:vMerge w:val="continue"/>
            <w:noWrap/>
            <w:vAlign w:val="center"/>
          </w:tcPr>
          <w:p>
            <w:pPr>
              <w:widowControl/>
              <w:rPr>
                <w:rFonts w:hint="eastAsia" w:ascii="仿宋_GB2312" w:hAnsi="仿宋_GB2312" w:eastAsia="仿宋_GB2312" w:cs="仿宋_GB2312"/>
                <w:color w:val="auto"/>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781" w:type="dxa"/>
            <w:vMerge w:val="continue"/>
            <w:noWrap/>
            <w:vAlign w:val="center"/>
          </w:tcPr>
          <w:p>
            <w:pPr>
              <w:widowControl/>
              <w:rPr>
                <w:rFonts w:hint="eastAsia" w:ascii="仿宋_GB2312" w:hAnsi="仿宋_GB2312" w:eastAsia="仿宋_GB2312" w:cs="仿宋_GB2312"/>
                <w:color w:val="auto"/>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47</w:t>
            </w:r>
          </w:p>
        </w:tc>
        <w:tc>
          <w:tcPr>
            <w:tcW w:w="720"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行政奖励</w:t>
            </w:r>
            <w:r>
              <w:rPr>
                <w:rFonts w:hint="eastAsia" w:ascii="仿宋_GB2312" w:hAnsi="仿宋_GB2312" w:eastAsia="仿宋_GB2312" w:cs="仿宋_GB2312"/>
                <w:color w:val="auto"/>
                <w:sz w:val="18"/>
                <w:szCs w:val="18"/>
                <w:lang w:eastAsia="zh-CN"/>
              </w:rPr>
              <w:t>事项</w:t>
            </w:r>
          </w:p>
        </w:tc>
        <w:tc>
          <w:tcPr>
            <w:tcW w:w="1781"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snapToGrid w:val="0"/>
                <w:color w:val="auto"/>
                <w:kern w:val="0"/>
                <w:sz w:val="18"/>
                <w:szCs w:val="18"/>
              </w:rPr>
              <w:t>对在传染病防治工作中做出显著成绩和贡献的单位和个人给予表彰和奖励</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《中华人民共和国传染病防治法》</w:t>
            </w:r>
            <w:r>
              <w:rPr>
                <w:rFonts w:hint="eastAsia" w:ascii="仿宋" w:hAnsi="仿宋" w:eastAsia="仿宋"/>
                <w:color w:val="000000"/>
                <w:sz w:val="18"/>
                <w:szCs w:val="18"/>
                <w:lang w:val="en-US" w:eastAsia="zh-CN"/>
              </w:rPr>
              <w:t>1</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rPr>
                <w:rFonts w:hint="eastAsia" w:ascii="仿宋" w:hAnsi="仿宋" w:eastAsia="仿宋"/>
                <w:color w:val="000000"/>
                <w:sz w:val="18"/>
                <w:szCs w:val="18"/>
                <w:lang w:eastAsia="zh-CN"/>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781" w:type="dxa"/>
            <w:vMerge w:val="continue"/>
            <w:noWrap/>
            <w:vAlign w:val="center"/>
          </w:tcPr>
          <w:p>
            <w:pPr>
              <w:widowControl/>
              <w:rPr>
                <w:rFonts w:hint="eastAsia" w:ascii="仿宋_GB2312" w:hAnsi="仿宋_GB2312" w:eastAsia="仿宋_GB2312" w:cs="仿宋_GB2312"/>
                <w:color w:val="auto"/>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781" w:type="dxa"/>
            <w:vMerge w:val="continue"/>
            <w:noWrap/>
            <w:vAlign w:val="center"/>
          </w:tcPr>
          <w:p>
            <w:pPr>
              <w:widowControl/>
              <w:rPr>
                <w:rFonts w:hint="eastAsia" w:ascii="仿宋_GB2312" w:hAnsi="仿宋_GB2312" w:eastAsia="仿宋_GB2312" w:cs="仿宋_GB2312"/>
                <w:color w:val="auto"/>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48</w:t>
            </w:r>
          </w:p>
        </w:tc>
        <w:tc>
          <w:tcPr>
            <w:tcW w:w="720"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行政奖励</w:t>
            </w:r>
            <w:r>
              <w:rPr>
                <w:rFonts w:hint="eastAsia" w:ascii="仿宋_GB2312" w:hAnsi="仿宋_GB2312" w:eastAsia="仿宋_GB2312" w:cs="仿宋_GB2312"/>
                <w:color w:val="auto"/>
                <w:sz w:val="18"/>
                <w:szCs w:val="18"/>
                <w:lang w:eastAsia="zh-CN"/>
              </w:rPr>
              <w:t>事项</w:t>
            </w:r>
          </w:p>
        </w:tc>
        <w:tc>
          <w:tcPr>
            <w:tcW w:w="1781"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snapToGrid w:val="0"/>
                <w:color w:val="auto"/>
                <w:kern w:val="0"/>
                <w:sz w:val="18"/>
                <w:szCs w:val="18"/>
              </w:rPr>
              <w:t>对医师的表彰奖励</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rPr>
              <w:t>《中华人民共和国执业医师法》</w:t>
            </w:r>
            <w:r>
              <w:rPr>
                <w:rFonts w:hint="eastAsia" w:ascii="仿宋" w:hAnsi="仿宋" w:eastAsia="仿宋"/>
                <w:color w:val="000000"/>
                <w:sz w:val="18"/>
                <w:szCs w:val="18"/>
                <w:lang w:val="en-US" w:eastAsia="zh-CN"/>
              </w:rPr>
              <w:t>1</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rPr>
                <w:rFonts w:hint="eastAsia" w:ascii="仿宋" w:hAnsi="仿宋" w:eastAsia="仿宋"/>
                <w:color w:val="000000"/>
                <w:sz w:val="18"/>
                <w:szCs w:val="18"/>
                <w:lang w:eastAsia="zh-CN"/>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781" w:type="dxa"/>
            <w:vMerge w:val="continue"/>
            <w:noWrap/>
            <w:vAlign w:val="center"/>
          </w:tcPr>
          <w:p>
            <w:pPr>
              <w:widowControl/>
              <w:rPr>
                <w:rFonts w:hint="eastAsia" w:ascii="仿宋_GB2312" w:hAnsi="仿宋_GB2312" w:eastAsia="仿宋_GB2312" w:cs="仿宋_GB2312"/>
                <w:color w:val="auto"/>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0" w:hRule="atLeast"/>
        </w:trPr>
        <w:tc>
          <w:tcPr>
            <w:tcW w:w="539"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781" w:type="dxa"/>
            <w:vMerge w:val="continue"/>
            <w:noWrap/>
            <w:vAlign w:val="center"/>
          </w:tcPr>
          <w:p>
            <w:pPr>
              <w:widowControl/>
              <w:rPr>
                <w:rFonts w:hint="eastAsia" w:ascii="仿宋_GB2312" w:hAnsi="仿宋_GB2312" w:eastAsia="仿宋_GB2312" w:cs="仿宋_GB2312"/>
                <w:color w:val="auto"/>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49</w:t>
            </w:r>
          </w:p>
        </w:tc>
        <w:tc>
          <w:tcPr>
            <w:tcW w:w="720"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行政奖励</w:t>
            </w:r>
            <w:r>
              <w:rPr>
                <w:rFonts w:hint="eastAsia" w:ascii="仿宋_GB2312" w:hAnsi="仿宋_GB2312" w:eastAsia="仿宋_GB2312" w:cs="仿宋_GB2312"/>
                <w:color w:val="auto"/>
                <w:sz w:val="18"/>
                <w:szCs w:val="18"/>
                <w:lang w:eastAsia="zh-CN"/>
              </w:rPr>
              <w:t>事项</w:t>
            </w:r>
          </w:p>
        </w:tc>
        <w:tc>
          <w:tcPr>
            <w:tcW w:w="1781"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snapToGrid w:val="0"/>
                <w:color w:val="auto"/>
                <w:kern w:val="0"/>
                <w:sz w:val="18"/>
                <w:szCs w:val="18"/>
              </w:rPr>
              <w:t>无偿献血奖励、先进表彰</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《中华人民共和国献血法》</w:t>
            </w:r>
            <w:r>
              <w:rPr>
                <w:rFonts w:hint="eastAsia" w:ascii="仿宋" w:hAnsi="仿宋" w:eastAsia="仿宋"/>
                <w:color w:val="000000"/>
                <w:sz w:val="18"/>
                <w:szCs w:val="18"/>
                <w:lang w:val="en-US" w:eastAsia="zh-CN"/>
              </w:rPr>
              <w:t>1</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rPr>
                <w:rFonts w:hint="eastAsia" w:ascii="仿宋" w:hAnsi="仿宋" w:eastAsia="仿宋"/>
                <w:color w:val="000000"/>
                <w:sz w:val="18"/>
                <w:szCs w:val="18"/>
                <w:lang w:eastAsia="zh-CN"/>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50</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其他行政权力类事项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医疗事故赔偿调解</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《医疗事故处理条例》1部法律法规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51</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其他行政权力类事项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药用植物资源迁地保护基地备案</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《广西壮族自治区药用野生植物资源保护办法》共1部法律法规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52</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其他行政权力类事项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疑似输液、输血、注射、药物等引起不良后果若需检验的而医患双方无法共同指定检验结构时的指定</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《医疗事故处理条例》共1部法律法规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天峨县卫生健康局</w:t>
            </w:r>
          </w:p>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天峨县人民政府门户网站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53</w:t>
            </w:r>
          </w:p>
        </w:tc>
        <w:tc>
          <w:tcPr>
            <w:tcW w:w="720" w:type="dxa"/>
            <w:vMerge w:val="restart"/>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其他行政权力类事项</w:t>
            </w:r>
          </w:p>
        </w:tc>
        <w:tc>
          <w:tcPr>
            <w:tcW w:w="1781"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snapToGrid w:val="0"/>
                <w:color w:val="auto"/>
                <w:sz w:val="18"/>
                <w:szCs w:val="18"/>
              </w:rPr>
              <w:t>传统医学师承和确有专长人员考核县级推荐</w:t>
            </w:r>
          </w:p>
        </w:tc>
        <w:tc>
          <w:tcPr>
            <w:tcW w:w="3548" w:type="dxa"/>
            <w:vMerge w:val="restart"/>
            <w:noWrap/>
            <w:vAlign w:val="center"/>
          </w:tcPr>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法律法规和政策文件；</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办理材料</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办理时限</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办理流程</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投诉举报电话以及网上投诉渠道</w:t>
            </w:r>
          </w:p>
        </w:tc>
        <w:tc>
          <w:tcPr>
            <w:tcW w:w="1800"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snapToGrid w:val="0"/>
                <w:color w:val="auto"/>
                <w:sz w:val="18"/>
                <w:szCs w:val="18"/>
              </w:rPr>
              <w:t>《中华人民共和国执业医师法》</w:t>
            </w:r>
            <w:r>
              <w:rPr>
                <w:rFonts w:hint="eastAsia" w:ascii="仿宋_GB2312" w:hAnsi="仿宋_GB2312" w:eastAsia="仿宋_GB2312" w:cs="仿宋_GB2312"/>
                <w:snapToGrid w:val="0"/>
                <w:color w:val="auto"/>
                <w:sz w:val="18"/>
                <w:szCs w:val="18"/>
                <w:lang w:eastAsia="zh-CN"/>
              </w:rPr>
              <w:t>、</w:t>
            </w:r>
            <w:r>
              <w:rPr>
                <w:rFonts w:hint="eastAsia" w:ascii="仿宋_GB2312" w:hAnsi="仿宋_GB2312" w:eastAsia="仿宋_GB2312" w:cs="仿宋_GB2312"/>
                <w:snapToGrid w:val="0"/>
                <w:color w:val="auto"/>
                <w:sz w:val="18"/>
                <w:szCs w:val="18"/>
              </w:rPr>
              <w:t>《传统医学师承和确有专长人员医师资格考核考试办法》</w:t>
            </w:r>
            <w:r>
              <w:rPr>
                <w:rFonts w:hint="eastAsia" w:ascii="仿宋_GB2312" w:hAnsi="仿宋_GB2312" w:eastAsia="仿宋_GB2312" w:cs="仿宋_GB2312"/>
                <w:color w:val="auto"/>
                <w:sz w:val="18"/>
                <w:szCs w:val="18"/>
              </w:rPr>
              <w:t>共</w:t>
            </w:r>
            <w:r>
              <w:rPr>
                <w:rFonts w:hint="eastAsia" w:ascii="仿宋_GB2312" w:hAnsi="仿宋_GB2312" w:eastAsia="仿宋_GB2312" w:cs="仿宋_GB2312"/>
                <w:color w:val="auto"/>
                <w:sz w:val="18"/>
                <w:szCs w:val="18"/>
                <w:lang w:val="en-US" w:eastAsia="zh-CN"/>
              </w:rPr>
              <w:t>2</w:t>
            </w:r>
            <w:r>
              <w:rPr>
                <w:rFonts w:hint="eastAsia" w:ascii="仿宋_GB2312" w:hAnsi="仿宋_GB2312" w:eastAsia="仿宋_GB2312" w:cs="仿宋_GB2312"/>
                <w:color w:val="auto"/>
                <w:sz w:val="18"/>
                <w:szCs w:val="18"/>
              </w:rPr>
              <w:t>部规范性文件</w:t>
            </w:r>
          </w:p>
        </w:tc>
        <w:tc>
          <w:tcPr>
            <w:tcW w:w="1440" w:type="dxa"/>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自信息形成或者变更之日起20个工作日内予以公开</w:t>
            </w:r>
          </w:p>
        </w:tc>
        <w:tc>
          <w:tcPr>
            <w:tcW w:w="720" w:type="dxa"/>
            <w:vMerge w:val="restart"/>
            <w:noWrap/>
            <w:vAlign w:val="center"/>
          </w:tcPr>
          <w:p>
            <w:pPr>
              <w:widowControl/>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天峨县卫生健康局</w:t>
            </w:r>
          </w:p>
          <w:p>
            <w:pPr>
              <w:widowControl/>
              <w:jc w:val="center"/>
              <w:rPr>
                <w:rFonts w:hint="eastAsia" w:ascii="仿宋_GB2312" w:hAnsi="仿宋_GB2312" w:eastAsia="仿宋_GB2312" w:cs="仿宋_GB2312"/>
                <w:color w:val="auto"/>
                <w:sz w:val="18"/>
                <w:szCs w:val="18"/>
                <w:lang w:eastAsia="zh-CN"/>
              </w:rPr>
            </w:pPr>
          </w:p>
        </w:tc>
        <w:tc>
          <w:tcPr>
            <w:tcW w:w="1080" w:type="dxa"/>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天峨县人民政府门户网站</w:t>
            </w:r>
            <w:r>
              <w:rPr>
                <w:rFonts w:hint="eastAsia" w:ascii="仿宋_GB2312" w:hAnsi="仿宋_GB2312" w:eastAsia="仿宋_GB2312" w:cs="仿宋_GB2312"/>
                <w:color w:val="auto"/>
                <w:sz w:val="18"/>
                <w:szCs w:val="18"/>
              </w:rPr>
              <w:t xml:space="preserve"> </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96"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4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664" w:type="dxa"/>
            <w:noWrap/>
            <w:vAlign w:val="center"/>
          </w:tcPr>
          <w:p>
            <w:pPr>
              <w:widowControl/>
              <w:jc w:val="center"/>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781" w:type="dxa"/>
            <w:vMerge w:val="continue"/>
            <w:noWrap/>
            <w:vAlign w:val="center"/>
          </w:tcPr>
          <w:p>
            <w:pPr>
              <w:widowControl/>
              <w:rPr>
                <w:rFonts w:hint="eastAsia" w:ascii="仿宋_GB2312" w:hAnsi="仿宋_GB2312" w:eastAsia="仿宋_GB2312" w:cs="仿宋_GB2312"/>
                <w:color w:val="auto"/>
                <w:sz w:val="18"/>
                <w:szCs w:val="18"/>
              </w:rPr>
            </w:pPr>
          </w:p>
        </w:tc>
        <w:tc>
          <w:tcPr>
            <w:tcW w:w="3548" w:type="dxa"/>
            <w:vMerge w:val="continue"/>
            <w:noWrap/>
            <w:vAlign w:val="center"/>
          </w:tcPr>
          <w:p>
            <w:pPr>
              <w:widowControl/>
              <w:rPr>
                <w:rFonts w:hint="eastAsia" w:ascii="仿宋_GB2312" w:hAnsi="仿宋_GB2312" w:eastAsia="仿宋_GB2312" w:cs="仿宋_GB2312"/>
                <w:color w:val="auto"/>
                <w:sz w:val="18"/>
                <w:szCs w:val="18"/>
              </w:rPr>
            </w:pPr>
          </w:p>
        </w:tc>
        <w:tc>
          <w:tcPr>
            <w:tcW w:w="1800" w:type="dxa"/>
            <w:vMerge w:val="continue"/>
            <w:noWrap/>
            <w:vAlign w:val="center"/>
          </w:tcPr>
          <w:p>
            <w:pPr>
              <w:widowControl/>
              <w:rPr>
                <w:rFonts w:hint="eastAsia" w:ascii="仿宋_GB2312" w:hAnsi="仿宋_GB2312" w:eastAsia="仿宋_GB2312" w:cs="仿宋_GB2312"/>
                <w:color w:val="auto"/>
                <w:sz w:val="18"/>
                <w:szCs w:val="18"/>
              </w:rPr>
            </w:pPr>
          </w:p>
        </w:tc>
        <w:tc>
          <w:tcPr>
            <w:tcW w:w="1440"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自信息形成或者变更之日起7个工作日内予以公开</w:t>
            </w: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080" w:type="dxa"/>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■精准推送        </w:t>
            </w:r>
          </w:p>
        </w:tc>
        <w:tc>
          <w:tcPr>
            <w:tcW w:w="720" w:type="dxa"/>
            <w:noWrap/>
            <w:vAlign w:val="center"/>
          </w:tcPr>
          <w:p>
            <w:pPr>
              <w:widowControl/>
              <w:jc w:val="center"/>
              <w:rPr>
                <w:rFonts w:hint="eastAsia" w:ascii="仿宋_GB2312" w:hAnsi="仿宋_GB2312" w:eastAsia="仿宋_GB2312" w:cs="仿宋_GB2312"/>
                <w:color w:val="auto"/>
                <w:sz w:val="18"/>
                <w:szCs w:val="18"/>
              </w:rPr>
            </w:pP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行政相对人　</w:t>
            </w:r>
          </w:p>
        </w:tc>
        <w:tc>
          <w:tcPr>
            <w:tcW w:w="596"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4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664" w:type="dxa"/>
            <w:noWrap/>
            <w:vAlign w:val="center"/>
          </w:tcPr>
          <w:p>
            <w:pPr>
              <w:widowControl/>
              <w:jc w:val="center"/>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781" w:type="dxa"/>
            <w:vMerge w:val="continue"/>
            <w:noWrap/>
            <w:vAlign w:val="center"/>
          </w:tcPr>
          <w:p>
            <w:pPr>
              <w:widowControl/>
              <w:rPr>
                <w:rFonts w:hint="eastAsia" w:ascii="仿宋_GB2312" w:hAnsi="仿宋_GB2312" w:eastAsia="仿宋_GB2312" w:cs="仿宋_GB2312"/>
                <w:color w:val="auto"/>
                <w:sz w:val="18"/>
                <w:szCs w:val="18"/>
              </w:rPr>
            </w:pPr>
          </w:p>
        </w:tc>
        <w:tc>
          <w:tcPr>
            <w:tcW w:w="3548" w:type="dxa"/>
            <w:vMerge w:val="continue"/>
            <w:noWrap/>
            <w:vAlign w:val="center"/>
          </w:tcPr>
          <w:p>
            <w:pPr>
              <w:widowControl/>
              <w:rPr>
                <w:rFonts w:hint="eastAsia" w:ascii="仿宋_GB2312" w:hAnsi="仿宋_GB2312" w:eastAsia="仿宋_GB2312" w:cs="仿宋_GB2312"/>
                <w:color w:val="auto"/>
                <w:sz w:val="18"/>
                <w:szCs w:val="18"/>
              </w:rPr>
            </w:pPr>
          </w:p>
        </w:tc>
        <w:tc>
          <w:tcPr>
            <w:tcW w:w="1800" w:type="dxa"/>
            <w:vMerge w:val="continue"/>
            <w:noWrap/>
            <w:vAlign w:val="center"/>
          </w:tcPr>
          <w:p>
            <w:pPr>
              <w:widowControl/>
              <w:rPr>
                <w:rFonts w:hint="eastAsia" w:ascii="仿宋_GB2312" w:hAnsi="仿宋_GB2312" w:eastAsia="仿宋_GB2312" w:cs="仿宋_GB2312"/>
                <w:color w:val="auto"/>
                <w:sz w:val="18"/>
                <w:szCs w:val="18"/>
              </w:rPr>
            </w:pPr>
          </w:p>
        </w:tc>
        <w:tc>
          <w:tcPr>
            <w:tcW w:w="1440"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080" w:type="dxa"/>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天峨县人民政府门户网站</w:t>
            </w:r>
            <w:r>
              <w:rPr>
                <w:rFonts w:hint="eastAsia" w:ascii="仿宋_GB2312" w:hAnsi="仿宋_GB2312" w:eastAsia="仿宋_GB2312" w:cs="仿宋_GB2312"/>
                <w:color w:val="auto"/>
                <w:sz w:val="18"/>
                <w:szCs w:val="18"/>
              </w:rPr>
              <w:t xml:space="preserve"> </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96"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4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664" w:type="dxa"/>
            <w:noWrap/>
            <w:vAlign w:val="center"/>
          </w:tcPr>
          <w:p>
            <w:pPr>
              <w:widowControl/>
              <w:jc w:val="center"/>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54</w:t>
            </w:r>
          </w:p>
        </w:tc>
        <w:tc>
          <w:tcPr>
            <w:tcW w:w="720"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其他行政权力类事项</w:t>
            </w:r>
          </w:p>
        </w:tc>
        <w:tc>
          <w:tcPr>
            <w:tcW w:w="1781"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中医诊所备案</w:t>
            </w:r>
          </w:p>
        </w:tc>
        <w:tc>
          <w:tcPr>
            <w:tcW w:w="3548" w:type="dxa"/>
            <w:vMerge w:val="restart"/>
            <w:noWrap/>
            <w:vAlign w:val="center"/>
          </w:tcPr>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法律法规和政策文件；</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办理材料</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办理时限</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办理流程</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投诉举报电话以及网上投诉渠道</w:t>
            </w:r>
          </w:p>
        </w:tc>
        <w:tc>
          <w:tcPr>
            <w:tcW w:w="1800"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《中华人民共和国中医药法》</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《行政许可法》《行政处罚法》</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共</w:t>
            </w:r>
            <w:r>
              <w:rPr>
                <w:rFonts w:hint="eastAsia" w:ascii="仿宋_GB2312" w:hAnsi="仿宋_GB2312" w:eastAsia="仿宋_GB2312" w:cs="仿宋_GB2312"/>
                <w:color w:val="auto"/>
                <w:sz w:val="18"/>
                <w:szCs w:val="18"/>
                <w:lang w:val="en-US" w:eastAsia="zh-CN"/>
              </w:rPr>
              <w:t>3</w:t>
            </w:r>
            <w:r>
              <w:rPr>
                <w:rFonts w:hint="eastAsia" w:ascii="仿宋_GB2312" w:hAnsi="仿宋_GB2312" w:eastAsia="仿宋_GB2312" w:cs="仿宋_GB2312"/>
                <w:color w:val="auto"/>
                <w:sz w:val="18"/>
                <w:szCs w:val="18"/>
              </w:rPr>
              <w:t>部法律法规</w:t>
            </w:r>
          </w:p>
        </w:tc>
        <w:tc>
          <w:tcPr>
            <w:tcW w:w="1440" w:type="dxa"/>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自信息形成或者变更之日起20个工作日内予以公开</w:t>
            </w:r>
          </w:p>
        </w:tc>
        <w:tc>
          <w:tcPr>
            <w:tcW w:w="720" w:type="dxa"/>
            <w:vMerge w:val="restart"/>
            <w:noWrap/>
            <w:vAlign w:val="center"/>
          </w:tcPr>
          <w:p>
            <w:pPr>
              <w:widowControl/>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天峨县卫生健康局</w:t>
            </w:r>
          </w:p>
        </w:tc>
        <w:tc>
          <w:tcPr>
            <w:tcW w:w="1080" w:type="dxa"/>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天峨县人民政府门户网站</w:t>
            </w:r>
            <w:r>
              <w:rPr>
                <w:rFonts w:hint="eastAsia" w:ascii="仿宋_GB2312" w:hAnsi="仿宋_GB2312" w:eastAsia="仿宋_GB2312" w:cs="仿宋_GB2312"/>
                <w:color w:val="auto"/>
                <w:sz w:val="18"/>
                <w:szCs w:val="18"/>
              </w:rPr>
              <w:t xml:space="preserve"> </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96"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4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664" w:type="dxa"/>
            <w:noWrap/>
            <w:vAlign w:val="center"/>
          </w:tcPr>
          <w:p>
            <w:pPr>
              <w:widowControl/>
              <w:jc w:val="center"/>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781" w:type="dxa"/>
            <w:vMerge w:val="continue"/>
            <w:noWrap/>
            <w:vAlign w:val="center"/>
          </w:tcPr>
          <w:p>
            <w:pPr>
              <w:widowControl/>
              <w:rPr>
                <w:rFonts w:hint="eastAsia" w:ascii="仿宋_GB2312" w:hAnsi="仿宋_GB2312" w:eastAsia="仿宋_GB2312" w:cs="仿宋_GB2312"/>
                <w:color w:val="auto"/>
                <w:sz w:val="18"/>
                <w:szCs w:val="18"/>
              </w:rPr>
            </w:pPr>
          </w:p>
        </w:tc>
        <w:tc>
          <w:tcPr>
            <w:tcW w:w="3548" w:type="dxa"/>
            <w:vMerge w:val="continue"/>
            <w:noWrap/>
            <w:vAlign w:val="center"/>
          </w:tcPr>
          <w:p>
            <w:pPr>
              <w:widowControl/>
              <w:rPr>
                <w:rFonts w:hint="eastAsia" w:ascii="仿宋_GB2312" w:hAnsi="仿宋_GB2312" w:eastAsia="仿宋_GB2312" w:cs="仿宋_GB2312"/>
                <w:color w:val="auto"/>
                <w:sz w:val="18"/>
                <w:szCs w:val="18"/>
              </w:rPr>
            </w:pPr>
          </w:p>
        </w:tc>
        <w:tc>
          <w:tcPr>
            <w:tcW w:w="1800" w:type="dxa"/>
            <w:vMerge w:val="continue"/>
            <w:noWrap/>
            <w:vAlign w:val="center"/>
          </w:tcPr>
          <w:p>
            <w:pPr>
              <w:widowControl/>
              <w:rPr>
                <w:rFonts w:hint="eastAsia" w:ascii="仿宋_GB2312" w:hAnsi="仿宋_GB2312" w:eastAsia="仿宋_GB2312" w:cs="仿宋_GB2312"/>
                <w:color w:val="auto"/>
                <w:sz w:val="18"/>
                <w:szCs w:val="18"/>
              </w:rPr>
            </w:pPr>
          </w:p>
        </w:tc>
        <w:tc>
          <w:tcPr>
            <w:tcW w:w="1440"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自信息形成或者变更之日起7个工作日内予以公开</w:t>
            </w: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080" w:type="dxa"/>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■精准推送        </w:t>
            </w:r>
          </w:p>
        </w:tc>
        <w:tc>
          <w:tcPr>
            <w:tcW w:w="720" w:type="dxa"/>
            <w:noWrap/>
            <w:vAlign w:val="center"/>
          </w:tcPr>
          <w:p>
            <w:pPr>
              <w:widowControl/>
              <w:jc w:val="center"/>
              <w:rPr>
                <w:rFonts w:hint="eastAsia" w:ascii="仿宋_GB2312" w:hAnsi="仿宋_GB2312" w:eastAsia="仿宋_GB2312" w:cs="仿宋_GB2312"/>
                <w:color w:val="auto"/>
                <w:sz w:val="18"/>
                <w:szCs w:val="18"/>
              </w:rPr>
            </w:pP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行政相对人　</w:t>
            </w:r>
          </w:p>
        </w:tc>
        <w:tc>
          <w:tcPr>
            <w:tcW w:w="596"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4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664" w:type="dxa"/>
            <w:noWrap/>
            <w:vAlign w:val="center"/>
          </w:tcPr>
          <w:p>
            <w:pPr>
              <w:widowControl/>
              <w:jc w:val="center"/>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781" w:type="dxa"/>
            <w:vMerge w:val="continue"/>
            <w:noWrap/>
            <w:vAlign w:val="center"/>
          </w:tcPr>
          <w:p>
            <w:pPr>
              <w:widowControl/>
              <w:rPr>
                <w:rFonts w:hint="eastAsia" w:ascii="仿宋_GB2312" w:hAnsi="仿宋_GB2312" w:eastAsia="仿宋_GB2312" w:cs="仿宋_GB2312"/>
                <w:color w:val="auto"/>
                <w:sz w:val="18"/>
                <w:szCs w:val="18"/>
              </w:rPr>
            </w:pPr>
          </w:p>
        </w:tc>
        <w:tc>
          <w:tcPr>
            <w:tcW w:w="3548" w:type="dxa"/>
            <w:vMerge w:val="continue"/>
            <w:noWrap/>
            <w:vAlign w:val="center"/>
          </w:tcPr>
          <w:p>
            <w:pPr>
              <w:widowControl/>
              <w:rPr>
                <w:rFonts w:hint="eastAsia" w:ascii="仿宋_GB2312" w:hAnsi="仿宋_GB2312" w:eastAsia="仿宋_GB2312" w:cs="仿宋_GB2312"/>
                <w:color w:val="auto"/>
                <w:sz w:val="18"/>
                <w:szCs w:val="18"/>
              </w:rPr>
            </w:pPr>
          </w:p>
        </w:tc>
        <w:tc>
          <w:tcPr>
            <w:tcW w:w="1800" w:type="dxa"/>
            <w:vMerge w:val="continue"/>
            <w:noWrap/>
            <w:vAlign w:val="center"/>
          </w:tcPr>
          <w:p>
            <w:pPr>
              <w:widowControl/>
              <w:rPr>
                <w:rFonts w:hint="eastAsia" w:ascii="仿宋_GB2312" w:hAnsi="仿宋_GB2312" w:eastAsia="仿宋_GB2312" w:cs="仿宋_GB2312"/>
                <w:color w:val="auto"/>
                <w:sz w:val="18"/>
                <w:szCs w:val="18"/>
              </w:rPr>
            </w:pPr>
          </w:p>
        </w:tc>
        <w:tc>
          <w:tcPr>
            <w:tcW w:w="1440"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080" w:type="dxa"/>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天峨县人民政府门户网站</w:t>
            </w:r>
            <w:r>
              <w:rPr>
                <w:rFonts w:hint="eastAsia" w:ascii="仿宋_GB2312" w:hAnsi="仿宋_GB2312" w:eastAsia="仿宋_GB2312" w:cs="仿宋_GB2312"/>
                <w:color w:val="auto"/>
                <w:sz w:val="18"/>
                <w:szCs w:val="18"/>
              </w:rPr>
              <w:t xml:space="preserve">    </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96"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4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664" w:type="dxa"/>
            <w:noWrap/>
            <w:vAlign w:val="center"/>
          </w:tcPr>
          <w:p>
            <w:pPr>
              <w:widowControl/>
              <w:jc w:val="center"/>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55</w:t>
            </w:r>
          </w:p>
        </w:tc>
        <w:tc>
          <w:tcPr>
            <w:tcW w:w="720" w:type="dxa"/>
            <w:vMerge w:val="restart"/>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其他行政权力类事项</w:t>
            </w:r>
          </w:p>
        </w:tc>
        <w:tc>
          <w:tcPr>
            <w:tcW w:w="1781"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医疗事故争议处理</w:t>
            </w:r>
          </w:p>
        </w:tc>
        <w:tc>
          <w:tcPr>
            <w:tcW w:w="3548" w:type="dxa"/>
            <w:vMerge w:val="restart"/>
            <w:noWrap/>
            <w:vAlign w:val="center"/>
          </w:tcPr>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法律法规和政策文件；</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办理材料</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办理时限</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办理流程</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投诉举报电话以及网上投诉渠道</w:t>
            </w:r>
          </w:p>
        </w:tc>
        <w:tc>
          <w:tcPr>
            <w:tcW w:w="1800"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《医疗事故处理条例》</w:t>
            </w:r>
            <w:r>
              <w:rPr>
                <w:rFonts w:hint="eastAsia" w:ascii="仿宋_GB2312" w:hAnsi="仿宋_GB2312" w:eastAsia="仿宋_GB2312" w:cs="仿宋_GB2312"/>
                <w:color w:val="auto"/>
                <w:sz w:val="18"/>
                <w:szCs w:val="18"/>
                <w:lang w:eastAsia="zh-CN"/>
              </w:rPr>
              <w:t>、《医疗事故技术鉴定暂行办法》</w:t>
            </w:r>
            <w:r>
              <w:rPr>
                <w:rFonts w:hint="eastAsia" w:ascii="仿宋_GB2312" w:hAnsi="仿宋_GB2312" w:eastAsia="仿宋_GB2312" w:cs="仿宋_GB2312"/>
                <w:color w:val="auto"/>
                <w:sz w:val="18"/>
                <w:szCs w:val="18"/>
              </w:rPr>
              <w:t>共</w:t>
            </w:r>
            <w:r>
              <w:rPr>
                <w:rFonts w:hint="eastAsia" w:ascii="仿宋_GB2312" w:hAnsi="仿宋_GB2312" w:eastAsia="仿宋_GB2312" w:cs="仿宋_GB2312"/>
                <w:color w:val="auto"/>
                <w:sz w:val="18"/>
                <w:szCs w:val="18"/>
                <w:lang w:val="en-US" w:eastAsia="zh-CN"/>
              </w:rPr>
              <w:t>2</w:t>
            </w:r>
            <w:r>
              <w:rPr>
                <w:rFonts w:hint="eastAsia" w:ascii="仿宋_GB2312" w:hAnsi="仿宋_GB2312" w:eastAsia="仿宋_GB2312" w:cs="仿宋_GB2312"/>
                <w:color w:val="auto"/>
                <w:sz w:val="18"/>
                <w:szCs w:val="18"/>
              </w:rPr>
              <w:t>部法律法规</w:t>
            </w:r>
          </w:p>
        </w:tc>
        <w:tc>
          <w:tcPr>
            <w:tcW w:w="1440" w:type="dxa"/>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自信息形成或者变更之日起20个工作日内予以公开</w:t>
            </w:r>
          </w:p>
        </w:tc>
        <w:tc>
          <w:tcPr>
            <w:tcW w:w="720" w:type="dxa"/>
            <w:vMerge w:val="restart"/>
            <w:noWrap/>
            <w:vAlign w:val="center"/>
          </w:tcPr>
          <w:p>
            <w:pPr>
              <w:widowControl/>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天峨县卫生健康局</w:t>
            </w:r>
          </w:p>
          <w:p>
            <w:pPr>
              <w:widowControl/>
              <w:jc w:val="center"/>
              <w:rPr>
                <w:rFonts w:hint="eastAsia" w:ascii="仿宋_GB2312" w:hAnsi="仿宋_GB2312" w:eastAsia="仿宋_GB2312" w:cs="仿宋_GB2312"/>
                <w:color w:val="auto"/>
                <w:sz w:val="18"/>
                <w:szCs w:val="18"/>
                <w:lang w:eastAsia="zh-CN"/>
              </w:rPr>
            </w:pPr>
          </w:p>
        </w:tc>
        <w:tc>
          <w:tcPr>
            <w:tcW w:w="1080" w:type="dxa"/>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天峨县人民政府门户网站</w:t>
            </w:r>
            <w:r>
              <w:rPr>
                <w:rFonts w:hint="eastAsia" w:ascii="仿宋_GB2312" w:hAnsi="仿宋_GB2312" w:eastAsia="仿宋_GB2312" w:cs="仿宋_GB2312"/>
                <w:color w:val="auto"/>
                <w:sz w:val="18"/>
                <w:szCs w:val="18"/>
              </w:rPr>
              <w:t xml:space="preserve"> </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96"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4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664" w:type="dxa"/>
            <w:noWrap/>
            <w:vAlign w:val="center"/>
          </w:tcPr>
          <w:p>
            <w:pPr>
              <w:widowControl/>
              <w:jc w:val="center"/>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781" w:type="dxa"/>
            <w:vMerge w:val="continue"/>
            <w:noWrap/>
            <w:vAlign w:val="center"/>
          </w:tcPr>
          <w:p>
            <w:pPr>
              <w:widowControl/>
              <w:rPr>
                <w:rFonts w:hint="eastAsia" w:ascii="仿宋_GB2312" w:hAnsi="仿宋_GB2312" w:eastAsia="仿宋_GB2312" w:cs="仿宋_GB2312"/>
                <w:color w:val="auto"/>
                <w:sz w:val="18"/>
                <w:szCs w:val="18"/>
              </w:rPr>
            </w:pPr>
          </w:p>
        </w:tc>
        <w:tc>
          <w:tcPr>
            <w:tcW w:w="3548" w:type="dxa"/>
            <w:vMerge w:val="continue"/>
            <w:noWrap/>
            <w:vAlign w:val="center"/>
          </w:tcPr>
          <w:p>
            <w:pPr>
              <w:widowControl/>
              <w:rPr>
                <w:rFonts w:hint="eastAsia" w:ascii="仿宋_GB2312" w:hAnsi="仿宋_GB2312" w:eastAsia="仿宋_GB2312" w:cs="仿宋_GB2312"/>
                <w:color w:val="auto"/>
                <w:sz w:val="18"/>
                <w:szCs w:val="18"/>
              </w:rPr>
            </w:pPr>
          </w:p>
        </w:tc>
        <w:tc>
          <w:tcPr>
            <w:tcW w:w="1800" w:type="dxa"/>
            <w:vMerge w:val="continue"/>
            <w:noWrap/>
            <w:vAlign w:val="center"/>
          </w:tcPr>
          <w:p>
            <w:pPr>
              <w:widowControl/>
              <w:rPr>
                <w:rFonts w:hint="eastAsia" w:ascii="仿宋_GB2312" w:hAnsi="仿宋_GB2312" w:eastAsia="仿宋_GB2312" w:cs="仿宋_GB2312"/>
                <w:color w:val="auto"/>
                <w:sz w:val="18"/>
                <w:szCs w:val="18"/>
              </w:rPr>
            </w:pPr>
          </w:p>
        </w:tc>
        <w:tc>
          <w:tcPr>
            <w:tcW w:w="1440"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自信息形成或者变更之日起7个工作日内予以公开</w:t>
            </w: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080" w:type="dxa"/>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■精准推送        </w:t>
            </w:r>
          </w:p>
        </w:tc>
        <w:tc>
          <w:tcPr>
            <w:tcW w:w="720" w:type="dxa"/>
            <w:noWrap/>
            <w:vAlign w:val="center"/>
          </w:tcPr>
          <w:p>
            <w:pPr>
              <w:widowControl/>
              <w:jc w:val="center"/>
              <w:rPr>
                <w:rFonts w:hint="eastAsia" w:ascii="仿宋_GB2312" w:hAnsi="仿宋_GB2312" w:eastAsia="仿宋_GB2312" w:cs="仿宋_GB2312"/>
                <w:color w:val="auto"/>
                <w:sz w:val="18"/>
                <w:szCs w:val="18"/>
              </w:rPr>
            </w:pP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行政相对人　</w:t>
            </w:r>
          </w:p>
        </w:tc>
        <w:tc>
          <w:tcPr>
            <w:tcW w:w="596"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4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664" w:type="dxa"/>
            <w:noWrap/>
            <w:vAlign w:val="center"/>
          </w:tcPr>
          <w:p>
            <w:pPr>
              <w:widowControl/>
              <w:jc w:val="center"/>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781" w:type="dxa"/>
            <w:vMerge w:val="continue"/>
            <w:noWrap/>
            <w:vAlign w:val="center"/>
          </w:tcPr>
          <w:p>
            <w:pPr>
              <w:widowControl/>
              <w:rPr>
                <w:rFonts w:hint="eastAsia" w:ascii="仿宋_GB2312" w:hAnsi="仿宋_GB2312" w:eastAsia="仿宋_GB2312" w:cs="仿宋_GB2312"/>
                <w:color w:val="auto"/>
                <w:sz w:val="18"/>
                <w:szCs w:val="18"/>
              </w:rPr>
            </w:pPr>
          </w:p>
        </w:tc>
        <w:tc>
          <w:tcPr>
            <w:tcW w:w="3548" w:type="dxa"/>
            <w:vMerge w:val="continue"/>
            <w:noWrap/>
            <w:vAlign w:val="center"/>
          </w:tcPr>
          <w:p>
            <w:pPr>
              <w:widowControl/>
              <w:rPr>
                <w:rFonts w:hint="eastAsia" w:ascii="仿宋_GB2312" w:hAnsi="仿宋_GB2312" w:eastAsia="仿宋_GB2312" w:cs="仿宋_GB2312"/>
                <w:color w:val="auto"/>
                <w:sz w:val="18"/>
                <w:szCs w:val="18"/>
              </w:rPr>
            </w:pPr>
          </w:p>
        </w:tc>
        <w:tc>
          <w:tcPr>
            <w:tcW w:w="1800" w:type="dxa"/>
            <w:vMerge w:val="continue"/>
            <w:noWrap/>
            <w:vAlign w:val="center"/>
          </w:tcPr>
          <w:p>
            <w:pPr>
              <w:widowControl/>
              <w:rPr>
                <w:rFonts w:hint="eastAsia" w:ascii="仿宋_GB2312" w:hAnsi="仿宋_GB2312" w:eastAsia="仿宋_GB2312" w:cs="仿宋_GB2312"/>
                <w:color w:val="auto"/>
                <w:sz w:val="18"/>
                <w:szCs w:val="18"/>
              </w:rPr>
            </w:pPr>
          </w:p>
        </w:tc>
        <w:tc>
          <w:tcPr>
            <w:tcW w:w="1440"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080" w:type="dxa"/>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天峨县人民政府门户网站</w:t>
            </w:r>
            <w:r>
              <w:rPr>
                <w:rFonts w:hint="eastAsia" w:ascii="仿宋_GB2312" w:hAnsi="仿宋_GB2312" w:eastAsia="仿宋_GB2312" w:cs="仿宋_GB2312"/>
                <w:color w:val="auto"/>
                <w:sz w:val="18"/>
                <w:szCs w:val="18"/>
              </w:rPr>
              <w:t xml:space="preserve"> </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96"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4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664" w:type="dxa"/>
            <w:noWrap/>
            <w:vAlign w:val="center"/>
          </w:tcPr>
          <w:p>
            <w:pPr>
              <w:widowControl/>
              <w:jc w:val="center"/>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781" w:type="dxa"/>
            <w:vMerge w:val="continue"/>
            <w:noWrap/>
            <w:vAlign w:val="center"/>
          </w:tcPr>
          <w:p>
            <w:pPr>
              <w:widowControl/>
              <w:rPr>
                <w:rFonts w:hint="eastAsia" w:ascii="仿宋_GB2312" w:hAnsi="仿宋_GB2312" w:eastAsia="仿宋_GB2312" w:cs="仿宋_GB2312"/>
                <w:color w:val="auto"/>
                <w:sz w:val="18"/>
                <w:szCs w:val="18"/>
              </w:rPr>
            </w:pPr>
          </w:p>
        </w:tc>
        <w:tc>
          <w:tcPr>
            <w:tcW w:w="3548" w:type="dxa"/>
            <w:vMerge w:val="continue"/>
            <w:noWrap/>
            <w:vAlign w:val="center"/>
          </w:tcPr>
          <w:p>
            <w:pPr>
              <w:widowControl/>
              <w:rPr>
                <w:rFonts w:hint="eastAsia" w:ascii="仿宋_GB2312" w:hAnsi="仿宋_GB2312" w:eastAsia="仿宋_GB2312" w:cs="仿宋_GB2312"/>
                <w:color w:val="auto"/>
                <w:sz w:val="18"/>
                <w:szCs w:val="18"/>
              </w:rPr>
            </w:pPr>
          </w:p>
        </w:tc>
        <w:tc>
          <w:tcPr>
            <w:tcW w:w="1800" w:type="dxa"/>
            <w:vMerge w:val="continue"/>
            <w:noWrap/>
            <w:vAlign w:val="center"/>
          </w:tcPr>
          <w:p>
            <w:pPr>
              <w:widowControl/>
              <w:rPr>
                <w:rFonts w:hint="eastAsia" w:ascii="仿宋_GB2312" w:hAnsi="仿宋_GB2312" w:eastAsia="仿宋_GB2312" w:cs="仿宋_GB2312"/>
                <w:color w:val="auto"/>
                <w:sz w:val="18"/>
                <w:szCs w:val="18"/>
              </w:rPr>
            </w:pPr>
          </w:p>
        </w:tc>
        <w:tc>
          <w:tcPr>
            <w:tcW w:w="1440"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自信息形成或者变更之日起7个工作日内予以公开</w:t>
            </w: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080" w:type="dxa"/>
            <w:noWrap/>
            <w:vAlign w:val="center"/>
          </w:tcPr>
          <w:p>
            <w:pPr>
              <w:widowControl/>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 xml:space="preserve">■精准推送        </w:t>
            </w:r>
          </w:p>
        </w:tc>
        <w:tc>
          <w:tcPr>
            <w:tcW w:w="720" w:type="dxa"/>
            <w:noWrap/>
            <w:vAlign w:val="center"/>
          </w:tcPr>
          <w:p>
            <w:pPr>
              <w:widowControl/>
              <w:jc w:val="center"/>
              <w:rPr>
                <w:rFonts w:hint="eastAsia" w:ascii="仿宋_GB2312" w:hAnsi="仿宋_GB2312" w:eastAsia="仿宋_GB2312" w:cs="仿宋_GB2312"/>
                <w:color w:val="auto"/>
                <w:sz w:val="18"/>
                <w:szCs w:val="18"/>
              </w:rPr>
            </w:pP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行政相对人　</w:t>
            </w:r>
          </w:p>
        </w:tc>
        <w:tc>
          <w:tcPr>
            <w:tcW w:w="596"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4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664" w:type="dxa"/>
            <w:noWrap/>
            <w:vAlign w:val="center"/>
          </w:tcPr>
          <w:p>
            <w:pPr>
              <w:widowControl/>
              <w:jc w:val="center"/>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781" w:type="dxa"/>
            <w:vMerge w:val="continue"/>
            <w:noWrap/>
            <w:vAlign w:val="center"/>
          </w:tcPr>
          <w:p>
            <w:pPr>
              <w:widowControl/>
              <w:rPr>
                <w:rFonts w:hint="eastAsia" w:ascii="仿宋_GB2312" w:hAnsi="仿宋_GB2312" w:eastAsia="仿宋_GB2312" w:cs="仿宋_GB2312"/>
                <w:color w:val="auto"/>
                <w:sz w:val="18"/>
                <w:szCs w:val="18"/>
              </w:rPr>
            </w:pPr>
          </w:p>
        </w:tc>
        <w:tc>
          <w:tcPr>
            <w:tcW w:w="3548" w:type="dxa"/>
            <w:vMerge w:val="continue"/>
            <w:noWrap/>
            <w:vAlign w:val="center"/>
          </w:tcPr>
          <w:p>
            <w:pPr>
              <w:widowControl/>
              <w:rPr>
                <w:rFonts w:hint="eastAsia" w:ascii="仿宋_GB2312" w:hAnsi="仿宋_GB2312" w:eastAsia="仿宋_GB2312" w:cs="仿宋_GB2312"/>
                <w:color w:val="auto"/>
                <w:sz w:val="18"/>
                <w:szCs w:val="18"/>
              </w:rPr>
            </w:pPr>
          </w:p>
        </w:tc>
        <w:tc>
          <w:tcPr>
            <w:tcW w:w="1800" w:type="dxa"/>
            <w:vMerge w:val="continue"/>
            <w:noWrap/>
            <w:vAlign w:val="center"/>
          </w:tcPr>
          <w:p>
            <w:pPr>
              <w:widowControl/>
              <w:rPr>
                <w:rFonts w:hint="eastAsia" w:ascii="仿宋_GB2312" w:hAnsi="仿宋_GB2312" w:eastAsia="仿宋_GB2312" w:cs="仿宋_GB2312"/>
                <w:color w:val="auto"/>
                <w:sz w:val="18"/>
                <w:szCs w:val="18"/>
              </w:rPr>
            </w:pPr>
          </w:p>
        </w:tc>
        <w:tc>
          <w:tcPr>
            <w:tcW w:w="1440"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080" w:type="dxa"/>
            <w:noWrap/>
            <w:vAlign w:val="center"/>
          </w:tcPr>
          <w:p>
            <w:pPr>
              <w:widowControl/>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天峨县人民政府门户网站</w:t>
            </w:r>
            <w:r>
              <w:rPr>
                <w:rFonts w:hint="eastAsia" w:ascii="仿宋_GB2312" w:hAnsi="仿宋_GB2312" w:eastAsia="仿宋_GB2312" w:cs="仿宋_GB2312"/>
                <w:color w:val="auto"/>
                <w:sz w:val="18"/>
                <w:szCs w:val="18"/>
              </w:rPr>
              <w:t xml:space="preserve"> </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96"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4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664" w:type="dxa"/>
            <w:noWrap/>
            <w:vAlign w:val="center"/>
          </w:tcPr>
          <w:p>
            <w:pPr>
              <w:widowControl/>
              <w:jc w:val="center"/>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eastAsia" w:ascii="仿宋_GB2312" w:hAnsi="仿宋_GB2312" w:eastAsia="仿宋_GB2312" w:cs="仿宋_GB2312"/>
                <w:color w:val="auto"/>
                <w:sz w:val="18"/>
                <w:szCs w:val="18"/>
                <w:lang w:val="en-US"/>
              </w:rPr>
            </w:pPr>
            <w:r>
              <w:rPr>
                <w:rFonts w:hint="eastAsia" w:ascii="仿宋_GB2312" w:hAnsi="仿宋_GB2312" w:eastAsia="仿宋_GB2312" w:cs="仿宋_GB2312"/>
                <w:color w:val="auto"/>
                <w:sz w:val="18"/>
                <w:szCs w:val="18"/>
                <w:lang w:val="en-US" w:eastAsia="zh-CN"/>
              </w:rPr>
              <w:t>56</w:t>
            </w:r>
          </w:p>
        </w:tc>
        <w:tc>
          <w:tcPr>
            <w:tcW w:w="720" w:type="dxa"/>
            <w:vMerge w:val="restart"/>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其他行政权力类事项</w:t>
            </w:r>
          </w:p>
        </w:tc>
        <w:tc>
          <w:tcPr>
            <w:tcW w:w="1781"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snapToGrid w:val="0"/>
                <w:color w:val="auto"/>
                <w:sz w:val="18"/>
                <w:szCs w:val="18"/>
              </w:rPr>
              <w:t>医师定期考核</w:t>
            </w:r>
          </w:p>
        </w:tc>
        <w:tc>
          <w:tcPr>
            <w:tcW w:w="3548" w:type="dxa"/>
            <w:vMerge w:val="restart"/>
            <w:noWrap/>
            <w:vAlign w:val="center"/>
          </w:tcPr>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法律法规和政策文件；</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办理材料</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办理时限</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办理流程</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投诉举报电话以及网上投诉渠道</w:t>
            </w:r>
          </w:p>
        </w:tc>
        <w:tc>
          <w:tcPr>
            <w:tcW w:w="1800"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snapToGrid w:val="0"/>
                <w:color w:val="auto"/>
                <w:sz w:val="18"/>
                <w:szCs w:val="18"/>
              </w:rPr>
              <w:t>《中华人民共和国执业医师法》</w:t>
            </w:r>
            <w:r>
              <w:rPr>
                <w:rFonts w:hint="eastAsia" w:ascii="仿宋_GB2312" w:hAnsi="仿宋_GB2312" w:eastAsia="仿宋_GB2312" w:cs="仿宋_GB2312"/>
                <w:snapToGrid w:val="0"/>
                <w:color w:val="auto"/>
                <w:sz w:val="18"/>
                <w:szCs w:val="18"/>
                <w:lang w:val="en-US" w:eastAsia="zh-CN"/>
              </w:rPr>
              <w:t>1</w:t>
            </w:r>
            <w:r>
              <w:rPr>
                <w:rFonts w:hint="eastAsia" w:ascii="仿宋_GB2312" w:hAnsi="仿宋_GB2312" w:eastAsia="仿宋_GB2312" w:cs="仿宋_GB2312"/>
                <w:color w:val="auto"/>
                <w:sz w:val="18"/>
                <w:szCs w:val="18"/>
              </w:rPr>
              <w:t>部法律法规</w:t>
            </w:r>
          </w:p>
        </w:tc>
        <w:tc>
          <w:tcPr>
            <w:tcW w:w="1440" w:type="dxa"/>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自信息形成或者变更之日起20个工作日内予以公开</w:t>
            </w:r>
          </w:p>
        </w:tc>
        <w:tc>
          <w:tcPr>
            <w:tcW w:w="720" w:type="dxa"/>
            <w:vMerge w:val="restart"/>
            <w:noWrap/>
            <w:vAlign w:val="center"/>
          </w:tcPr>
          <w:p>
            <w:pPr>
              <w:widowControl/>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天峨县卫生健康局</w:t>
            </w:r>
          </w:p>
          <w:p>
            <w:pPr>
              <w:widowControl/>
              <w:jc w:val="center"/>
              <w:rPr>
                <w:rFonts w:hint="eastAsia" w:ascii="仿宋_GB2312" w:hAnsi="仿宋_GB2312" w:eastAsia="仿宋_GB2312" w:cs="仿宋_GB2312"/>
                <w:color w:val="auto"/>
                <w:sz w:val="18"/>
                <w:szCs w:val="18"/>
              </w:rPr>
            </w:pPr>
          </w:p>
        </w:tc>
        <w:tc>
          <w:tcPr>
            <w:tcW w:w="1080" w:type="dxa"/>
            <w:noWrap/>
            <w:vAlign w:val="center"/>
          </w:tcPr>
          <w:p>
            <w:pPr>
              <w:widowControl/>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天峨县人民政府门户网站</w:t>
            </w:r>
            <w:r>
              <w:rPr>
                <w:rFonts w:hint="eastAsia" w:ascii="仿宋_GB2312" w:hAnsi="仿宋_GB2312" w:eastAsia="仿宋_GB2312" w:cs="仿宋_GB2312"/>
                <w:color w:val="auto"/>
                <w:sz w:val="18"/>
                <w:szCs w:val="18"/>
              </w:rPr>
              <w:t xml:space="preserve"> </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96"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4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664" w:type="dxa"/>
            <w:noWrap/>
            <w:vAlign w:val="center"/>
          </w:tcPr>
          <w:p>
            <w:pPr>
              <w:widowControl/>
              <w:jc w:val="center"/>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781" w:type="dxa"/>
            <w:vMerge w:val="continue"/>
            <w:noWrap/>
            <w:vAlign w:val="center"/>
          </w:tcPr>
          <w:p>
            <w:pPr>
              <w:widowControl/>
              <w:rPr>
                <w:rFonts w:hint="eastAsia" w:ascii="仿宋_GB2312" w:hAnsi="仿宋_GB2312" w:eastAsia="仿宋_GB2312" w:cs="仿宋_GB2312"/>
                <w:color w:val="auto"/>
                <w:sz w:val="18"/>
                <w:szCs w:val="18"/>
              </w:rPr>
            </w:pPr>
          </w:p>
        </w:tc>
        <w:tc>
          <w:tcPr>
            <w:tcW w:w="3548" w:type="dxa"/>
            <w:vMerge w:val="continue"/>
            <w:noWrap/>
            <w:vAlign w:val="center"/>
          </w:tcPr>
          <w:p>
            <w:pPr>
              <w:widowControl/>
              <w:rPr>
                <w:rFonts w:hint="eastAsia" w:ascii="仿宋_GB2312" w:hAnsi="仿宋_GB2312" w:eastAsia="仿宋_GB2312" w:cs="仿宋_GB2312"/>
                <w:color w:val="auto"/>
                <w:sz w:val="18"/>
                <w:szCs w:val="18"/>
              </w:rPr>
            </w:pPr>
          </w:p>
        </w:tc>
        <w:tc>
          <w:tcPr>
            <w:tcW w:w="1800" w:type="dxa"/>
            <w:vMerge w:val="continue"/>
            <w:noWrap/>
            <w:vAlign w:val="center"/>
          </w:tcPr>
          <w:p>
            <w:pPr>
              <w:widowControl/>
              <w:rPr>
                <w:rFonts w:hint="eastAsia" w:ascii="仿宋_GB2312" w:hAnsi="仿宋_GB2312" w:eastAsia="仿宋_GB2312" w:cs="仿宋_GB2312"/>
                <w:color w:val="auto"/>
                <w:sz w:val="18"/>
                <w:szCs w:val="18"/>
              </w:rPr>
            </w:pPr>
          </w:p>
        </w:tc>
        <w:tc>
          <w:tcPr>
            <w:tcW w:w="1440"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自信息形成或者变更之日起7个工作日内予以公开</w:t>
            </w: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080" w:type="dxa"/>
            <w:noWrap/>
            <w:vAlign w:val="center"/>
          </w:tcPr>
          <w:p>
            <w:pPr>
              <w:widowControl/>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 xml:space="preserve">■精准推送        </w:t>
            </w:r>
          </w:p>
        </w:tc>
        <w:tc>
          <w:tcPr>
            <w:tcW w:w="720" w:type="dxa"/>
            <w:noWrap/>
            <w:vAlign w:val="center"/>
          </w:tcPr>
          <w:p>
            <w:pPr>
              <w:widowControl/>
              <w:jc w:val="center"/>
              <w:rPr>
                <w:rFonts w:hint="eastAsia" w:ascii="仿宋_GB2312" w:hAnsi="仿宋_GB2312" w:eastAsia="仿宋_GB2312" w:cs="仿宋_GB2312"/>
                <w:color w:val="auto"/>
                <w:sz w:val="18"/>
                <w:szCs w:val="18"/>
              </w:rPr>
            </w:pP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行政相对人　</w:t>
            </w:r>
          </w:p>
        </w:tc>
        <w:tc>
          <w:tcPr>
            <w:tcW w:w="596"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4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664" w:type="dxa"/>
            <w:noWrap/>
            <w:vAlign w:val="center"/>
          </w:tcPr>
          <w:p>
            <w:pPr>
              <w:widowControl/>
              <w:jc w:val="center"/>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781" w:type="dxa"/>
            <w:vMerge w:val="continue"/>
            <w:noWrap/>
            <w:vAlign w:val="center"/>
          </w:tcPr>
          <w:p>
            <w:pPr>
              <w:widowControl/>
              <w:rPr>
                <w:rFonts w:hint="eastAsia" w:ascii="仿宋_GB2312" w:hAnsi="仿宋_GB2312" w:eastAsia="仿宋_GB2312" w:cs="仿宋_GB2312"/>
                <w:color w:val="auto"/>
                <w:sz w:val="18"/>
                <w:szCs w:val="18"/>
              </w:rPr>
            </w:pPr>
          </w:p>
        </w:tc>
        <w:tc>
          <w:tcPr>
            <w:tcW w:w="3548" w:type="dxa"/>
            <w:vMerge w:val="continue"/>
            <w:noWrap/>
            <w:vAlign w:val="center"/>
          </w:tcPr>
          <w:p>
            <w:pPr>
              <w:widowControl/>
              <w:rPr>
                <w:rFonts w:hint="eastAsia" w:ascii="仿宋_GB2312" w:hAnsi="仿宋_GB2312" w:eastAsia="仿宋_GB2312" w:cs="仿宋_GB2312"/>
                <w:color w:val="auto"/>
                <w:sz w:val="18"/>
                <w:szCs w:val="18"/>
              </w:rPr>
            </w:pPr>
          </w:p>
        </w:tc>
        <w:tc>
          <w:tcPr>
            <w:tcW w:w="1800" w:type="dxa"/>
            <w:vMerge w:val="continue"/>
            <w:noWrap/>
            <w:vAlign w:val="center"/>
          </w:tcPr>
          <w:p>
            <w:pPr>
              <w:widowControl/>
              <w:rPr>
                <w:rFonts w:hint="eastAsia" w:ascii="仿宋_GB2312" w:hAnsi="仿宋_GB2312" w:eastAsia="仿宋_GB2312" w:cs="仿宋_GB2312"/>
                <w:color w:val="auto"/>
                <w:sz w:val="18"/>
                <w:szCs w:val="18"/>
              </w:rPr>
            </w:pPr>
          </w:p>
        </w:tc>
        <w:tc>
          <w:tcPr>
            <w:tcW w:w="1440"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080" w:type="dxa"/>
            <w:noWrap/>
            <w:vAlign w:val="center"/>
          </w:tcPr>
          <w:p>
            <w:pPr>
              <w:widowControl/>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天峨县人民政府门户网站</w:t>
            </w:r>
            <w:r>
              <w:rPr>
                <w:rFonts w:hint="eastAsia" w:ascii="仿宋_GB2312" w:hAnsi="仿宋_GB2312" w:eastAsia="仿宋_GB2312" w:cs="仿宋_GB2312"/>
                <w:color w:val="auto"/>
                <w:sz w:val="18"/>
                <w:szCs w:val="18"/>
              </w:rPr>
              <w:t xml:space="preserve"> </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96"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4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664" w:type="dxa"/>
            <w:noWrap/>
            <w:vAlign w:val="center"/>
          </w:tcPr>
          <w:p>
            <w:pPr>
              <w:widowControl/>
              <w:jc w:val="center"/>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restart"/>
            <w:noWrap/>
            <w:vAlign w:val="center"/>
          </w:tcPr>
          <w:p>
            <w:pPr>
              <w:widowControl/>
              <w:rPr>
                <w:rFonts w:hint="eastAsia" w:ascii="仿宋_GB2312" w:hAnsi="仿宋_GB2312" w:eastAsia="仿宋_GB2312" w:cs="仿宋_GB2312"/>
                <w:color w:val="auto"/>
                <w:sz w:val="18"/>
                <w:szCs w:val="18"/>
                <w:lang w:val="en-US"/>
              </w:rPr>
            </w:pPr>
            <w:r>
              <w:rPr>
                <w:rFonts w:hint="eastAsia" w:ascii="仿宋_GB2312" w:hAnsi="仿宋_GB2312" w:eastAsia="仿宋_GB2312" w:cs="仿宋_GB2312"/>
                <w:color w:val="auto"/>
                <w:sz w:val="18"/>
                <w:szCs w:val="18"/>
                <w:lang w:val="en-US" w:eastAsia="zh-CN"/>
              </w:rPr>
              <w:t>57</w:t>
            </w:r>
          </w:p>
        </w:tc>
        <w:tc>
          <w:tcPr>
            <w:tcW w:w="720" w:type="dxa"/>
            <w:vMerge w:val="restart"/>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其他行政权力类事项</w:t>
            </w:r>
          </w:p>
        </w:tc>
        <w:tc>
          <w:tcPr>
            <w:tcW w:w="1781"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snapToGrid w:val="0"/>
                <w:color w:val="auto"/>
                <w:sz w:val="18"/>
                <w:szCs w:val="18"/>
              </w:rPr>
              <w:t>绝育复通手术批准</w:t>
            </w:r>
          </w:p>
        </w:tc>
        <w:tc>
          <w:tcPr>
            <w:tcW w:w="3548" w:type="dxa"/>
            <w:vMerge w:val="restart"/>
            <w:noWrap/>
            <w:vAlign w:val="center"/>
          </w:tcPr>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法律法规和政策文件；</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办理材料</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办理时限</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办理流程</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投诉举报电话以及网上投诉渠道</w:t>
            </w:r>
          </w:p>
        </w:tc>
        <w:tc>
          <w:tcPr>
            <w:tcW w:w="1800"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snapToGrid w:val="0"/>
                <w:color w:val="auto"/>
                <w:sz w:val="18"/>
                <w:szCs w:val="18"/>
              </w:rPr>
              <w:t>《广西壮族自治区人口和计划生育条例》</w:t>
            </w:r>
            <w:r>
              <w:rPr>
                <w:rFonts w:hint="eastAsia" w:ascii="仿宋_GB2312" w:hAnsi="仿宋_GB2312" w:eastAsia="仿宋_GB2312" w:cs="仿宋_GB2312"/>
                <w:snapToGrid w:val="0"/>
                <w:color w:val="auto"/>
                <w:sz w:val="18"/>
                <w:szCs w:val="18"/>
                <w:lang w:val="en-US" w:eastAsia="zh-CN"/>
              </w:rPr>
              <w:t>1</w:t>
            </w:r>
            <w:r>
              <w:rPr>
                <w:rFonts w:hint="eastAsia" w:ascii="仿宋_GB2312" w:hAnsi="仿宋_GB2312" w:eastAsia="仿宋_GB2312" w:cs="仿宋_GB2312"/>
                <w:color w:val="auto"/>
                <w:sz w:val="18"/>
                <w:szCs w:val="18"/>
              </w:rPr>
              <w:t>部法律法规</w:t>
            </w:r>
          </w:p>
        </w:tc>
        <w:tc>
          <w:tcPr>
            <w:tcW w:w="1440" w:type="dxa"/>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自信息形成或者变更之日起20个工作日内予以公开</w:t>
            </w:r>
          </w:p>
        </w:tc>
        <w:tc>
          <w:tcPr>
            <w:tcW w:w="720" w:type="dxa"/>
            <w:vMerge w:val="restart"/>
            <w:noWrap/>
            <w:vAlign w:val="center"/>
          </w:tcPr>
          <w:p>
            <w:pPr>
              <w:widowControl/>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天峨县卫生健康局</w:t>
            </w:r>
          </w:p>
          <w:p>
            <w:pPr>
              <w:widowControl/>
              <w:jc w:val="center"/>
              <w:rPr>
                <w:rFonts w:hint="eastAsia" w:ascii="仿宋_GB2312" w:hAnsi="仿宋_GB2312" w:eastAsia="仿宋_GB2312" w:cs="仿宋_GB2312"/>
                <w:color w:val="auto"/>
                <w:sz w:val="18"/>
                <w:szCs w:val="18"/>
              </w:rPr>
            </w:pPr>
          </w:p>
        </w:tc>
        <w:tc>
          <w:tcPr>
            <w:tcW w:w="1080" w:type="dxa"/>
            <w:noWrap/>
            <w:vAlign w:val="center"/>
          </w:tcPr>
          <w:p>
            <w:pPr>
              <w:widowControl/>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天峨县人民政府门户网站</w:t>
            </w:r>
            <w:r>
              <w:rPr>
                <w:rFonts w:hint="eastAsia" w:ascii="仿宋_GB2312" w:hAnsi="仿宋_GB2312" w:eastAsia="仿宋_GB2312" w:cs="仿宋_GB2312"/>
                <w:color w:val="auto"/>
                <w:sz w:val="18"/>
                <w:szCs w:val="18"/>
              </w:rPr>
              <w:t xml:space="preserve"> </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96"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4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664" w:type="dxa"/>
            <w:noWrap/>
            <w:vAlign w:val="center"/>
          </w:tcPr>
          <w:p>
            <w:pPr>
              <w:widowControl/>
              <w:jc w:val="center"/>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781" w:type="dxa"/>
            <w:vMerge w:val="continue"/>
            <w:noWrap/>
            <w:vAlign w:val="center"/>
          </w:tcPr>
          <w:p>
            <w:pPr>
              <w:widowControl/>
              <w:rPr>
                <w:rFonts w:hint="eastAsia" w:ascii="仿宋_GB2312" w:hAnsi="仿宋_GB2312" w:eastAsia="仿宋_GB2312" w:cs="仿宋_GB2312"/>
                <w:color w:val="auto"/>
                <w:sz w:val="18"/>
                <w:szCs w:val="18"/>
              </w:rPr>
            </w:pPr>
          </w:p>
        </w:tc>
        <w:tc>
          <w:tcPr>
            <w:tcW w:w="3548" w:type="dxa"/>
            <w:vMerge w:val="continue"/>
            <w:noWrap/>
            <w:vAlign w:val="center"/>
          </w:tcPr>
          <w:p>
            <w:pPr>
              <w:widowControl/>
              <w:rPr>
                <w:rFonts w:hint="eastAsia" w:ascii="仿宋_GB2312" w:hAnsi="仿宋_GB2312" w:eastAsia="仿宋_GB2312" w:cs="仿宋_GB2312"/>
                <w:color w:val="auto"/>
                <w:sz w:val="18"/>
                <w:szCs w:val="18"/>
              </w:rPr>
            </w:pPr>
          </w:p>
        </w:tc>
        <w:tc>
          <w:tcPr>
            <w:tcW w:w="1800" w:type="dxa"/>
            <w:vMerge w:val="continue"/>
            <w:noWrap/>
            <w:vAlign w:val="center"/>
          </w:tcPr>
          <w:p>
            <w:pPr>
              <w:widowControl/>
              <w:rPr>
                <w:rFonts w:hint="eastAsia" w:ascii="仿宋_GB2312" w:hAnsi="仿宋_GB2312" w:eastAsia="仿宋_GB2312" w:cs="仿宋_GB2312"/>
                <w:color w:val="auto"/>
                <w:sz w:val="18"/>
                <w:szCs w:val="18"/>
              </w:rPr>
            </w:pPr>
          </w:p>
        </w:tc>
        <w:tc>
          <w:tcPr>
            <w:tcW w:w="1440" w:type="dxa"/>
            <w:vMerge w:val="restart"/>
            <w:noWrap/>
            <w:vAlign w:val="center"/>
          </w:tcPr>
          <w:p>
            <w:pPr>
              <w:widowControl/>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自信息形成或者变更之日起7个工作日内予以公开</w:t>
            </w: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080" w:type="dxa"/>
            <w:noWrap/>
            <w:vAlign w:val="center"/>
          </w:tcPr>
          <w:p>
            <w:pPr>
              <w:widowControl/>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 xml:space="preserve">■精准推送        </w:t>
            </w:r>
          </w:p>
        </w:tc>
        <w:tc>
          <w:tcPr>
            <w:tcW w:w="720" w:type="dxa"/>
            <w:noWrap/>
            <w:vAlign w:val="center"/>
          </w:tcPr>
          <w:p>
            <w:pPr>
              <w:widowControl/>
              <w:jc w:val="center"/>
              <w:rPr>
                <w:rFonts w:hint="eastAsia" w:ascii="仿宋_GB2312" w:hAnsi="仿宋_GB2312" w:eastAsia="仿宋_GB2312" w:cs="仿宋_GB2312"/>
                <w:color w:val="auto"/>
                <w:sz w:val="18"/>
                <w:szCs w:val="18"/>
              </w:rPr>
            </w:pP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行政相对人　</w:t>
            </w:r>
          </w:p>
        </w:tc>
        <w:tc>
          <w:tcPr>
            <w:tcW w:w="596"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4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664" w:type="dxa"/>
            <w:noWrap/>
            <w:vAlign w:val="center"/>
          </w:tcPr>
          <w:p>
            <w:pPr>
              <w:widowControl/>
              <w:jc w:val="center"/>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781" w:type="dxa"/>
            <w:vMerge w:val="continue"/>
            <w:noWrap/>
            <w:vAlign w:val="center"/>
          </w:tcPr>
          <w:p>
            <w:pPr>
              <w:widowControl/>
              <w:rPr>
                <w:rFonts w:hint="eastAsia" w:ascii="仿宋_GB2312" w:hAnsi="仿宋_GB2312" w:eastAsia="仿宋_GB2312" w:cs="仿宋_GB2312"/>
                <w:color w:val="auto"/>
                <w:sz w:val="18"/>
                <w:szCs w:val="18"/>
              </w:rPr>
            </w:pPr>
          </w:p>
        </w:tc>
        <w:tc>
          <w:tcPr>
            <w:tcW w:w="3548" w:type="dxa"/>
            <w:vMerge w:val="continue"/>
            <w:noWrap/>
            <w:vAlign w:val="center"/>
          </w:tcPr>
          <w:p>
            <w:pPr>
              <w:widowControl/>
              <w:rPr>
                <w:rFonts w:hint="eastAsia" w:ascii="仿宋_GB2312" w:hAnsi="仿宋_GB2312" w:eastAsia="仿宋_GB2312" w:cs="仿宋_GB2312"/>
                <w:color w:val="auto"/>
                <w:sz w:val="18"/>
                <w:szCs w:val="18"/>
              </w:rPr>
            </w:pPr>
          </w:p>
        </w:tc>
        <w:tc>
          <w:tcPr>
            <w:tcW w:w="1800" w:type="dxa"/>
            <w:vMerge w:val="continue"/>
            <w:noWrap/>
            <w:vAlign w:val="center"/>
          </w:tcPr>
          <w:p>
            <w:pPr>
              <w:widowControl/>
              <w:rPr>
                <w:rFonts w:hint="eastAsia" w:ascii="仿宋_GB2312" w:hAnsi="仿宋_GB2312" w:eastAsia="仿宋_GB2312" w:cs="仿宋_GB2312"/>
                <w:color w:val="auto"/>
                <w:sz w:val="18"/>
                <w:szCs w:val="18"/>
              </w:rPr>
            </w:pPr>
          </w:p>
        </w:tc>
        <w:tc>
          <w:tcPr>
            <w:tcW w:w="1440" w:type="dxa"/>
            <w:vMerge w:val="continue"/>
            <w:noWrap/>
            <w:vAlign w:val="center"/>
          </w:tcPr>
          <w:p>
            <w:pPr>
              <w:widowControl/>
              <w:rPr>
                <w:rFonts w:hint="eastAsia" w:ascii="仿宋_GB2312" w:hAnsi="仿宋_GB2312" w:eastAsia="仿宋_GB2312" w:cs="仿宋_GB2312"/>
                <w:color w:val="auto"/>
                <w:sz w:val="18"/>
                <w:szCs w:val="18"/>
              </w:rPr>
            </w:pPr>
          </w:p>
        </w:tc>
        <w:tc>
          <w:tcPr>
            <w:tcW w:w="720" w:type="dxa"/>
            <w:vMerge w:val="continue"/>
            <w:noWrap/>
            <w:vAlign w:val="center"/>
          </w:tcPr>
          <w:p>
            <w:pPr>
              <w:widowControl/>
              <w:rPr>
                <w:rFonts w:hint="eastAsia" w:ascii="仿宋_GB2312" w:hAnsi="仿宋_GB2312" w:eastAsia="仿宋_GB2312" w:cs="仿宋_GB2312"/>
                <w:color w:val="auto"/>
                <w:sz w:val="18"/>
                <w:szCs w:val="18"/>
              </w:rPr>
            </w:pPr>
          </w:p>
        </w:tc>
        <w:tc>
          <w:tcPr>
            <w:tcW w:w="1080" w:type="dxa"/>
            <w:noWrap/>
            <w:vAlign w:val="center"/>
          </w:tcPr>
          <w:p>
            <w:pPr>
              <w:widowControl/>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天峨县人民政府门户网站</w:t>
            </w:r>
            <w:r>
              <w:rPr>
                <w:rFonts w:hint="eastAsia" w:ascii="仿宋_GB2312" w:hAnsi="仿宋_GB2312" w:eastAsia="仿宋_GB2312" w:cs="仿宋_GB2312"/>
                <w:color w:val="auto"/>
                <w:sz w:val="18"/>
                <w:szCs w:val="18"/>
              </w:rPr>
              <w:t xml:space="preserve"> </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96"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72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540" w:type="dxa"/>
            <w:noWrap/>
            <w:vAlign w:val="center"/>
          </w:tcPr>
          <w:p>
            <w:pPr>
              <w:widowControl/>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664" w:type="dxa"/>
            <w:noWrap/>
            <w:vAlign w:val="center"/>
          </w:tcPr>
          <w:p>
            <w:pPr>
              <w:widowControl/>
              <w:jc w:val="center"/>
              <w:rPr>
                <w:rFonts w:hint="eastAsia" w:ascii="仿宋_GB2312" w:hAnsi="仿宋_GB2312" w:eastAsia="仿宋_GB2312" w:cs="仿宋_GB2312"/>
                <w:color w:val="auto"/>
                <w:sz w:val="18"/>
                <w:szCs w:val="18"/>
              </w:rPr>
            </w:pPr>
          </w:p>
        </w:tc>
      </w:tr>
    </w:tbl>
    <w:p>
      <w:pPr>
        <w:rPr>
          <w:rFonts w:hint="eastAsia" w:ascii="仿宋_GB2312" w:hAnsi="仿宋_GB2312" w:eastAsia="仿宋_GB2312" w:cs="仿宋_GB2312"/>
          <w:color w:val="auto"/>
          <w:sz w:val="18"/>
          <w:szCs w:val="18"/>
        </w:rPr>
      </w:pPr>
    </w:p>
    <w:sectPr>
      <w:pgSz w:w="16838" w:h="11906" w:orient="landscape"/>
      <w:pgMar w:top="1230" w:right="1440" w:bottom="123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Kalinga">
    <w:panose1 w:val="020B0502040204020203"/>
    <w:charset w:val="00"/>
    <w:family w:val="auto"/>
    <w:pitch w:val="default"/>
    <w:sig w:usb0="00080003" w:usb1="00000000" w:usb2="00000000" w:usb3="00000000" w:csb0="00000001" w:csb1="00000000"/>
  </w:font>
  <w:font w:name="Khmer UI">
    <w:panose1 w:val="020B0502040204020203"/>
    <w:charset w:val="00"/>
    <w:family w:val="auto"/>
    <w:pitch w:val="default"/>
    <w:sig w:usb0="8000002F" w:usb1="0000204A" w:usb2="00010000" w:usb3="00000000" w:csb0="00000001" w:csb1="00000000"/>
  </w:font>
  <w:font w:name="FrankRuehl">
    <w:panose1 w:val="020E0503060101010101"/>
    <w:charset w:val="00"/>
    <w:family w:val="auto"/>
    <w:pitch w:val="default"/>
    <w:sig w:usb0="00000801" w:usb1="00000000" w:usb2="00000000" w:usb3="00000000" w:csb0="00000020" w:csb1="002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82536D"/>
    <w:rsid w:val="00001999"/>
    <w:rsid w:val="000575EC"/>
    <w:rsid w:val="00067E84"/>
    <w:rsid w:val="000B6670"/>
    <w:rsid w:val="00106E3C"/>
    <w:rsid w:val="00193C4E"/>
    <w:rsid w:val="00273FE5"/>
    <w:rsid w:val="002A77DC"/>
    <w:rsid w:val="002D0D18"/>
    <w:rsid w:val="0031060C"/>
    <w:rsid w:val="003113DA"/>
    <w:rsid w:val="003725E3"/>
    <w:rsid w:val="003E6A49"/>
    <w:rsid w:val="00460E7F"/>
    <w:rsid w:val="00525561"/>
    <w:rsid w:val="00540C5E"/>
    <w:rsid w:val="00567E61"/>
    <w:rsid w:val="005E7D46"/>
    <w:rsid w:val="00656844"/>
    <w:rsid w:val="00685254"/>
    <w:rsid w:val="006D35B1"/>
    <w:rsid w:val="00732B2F"/>
    <w:rsid w:val="0073385C"/>
    <w:rsid w:val="00776217"/>
    <w:rsid w:val="007C174C"/>
    <w:rsid w:val="007E5106"/>
    <w:rsid w:val="0081372B"/>
    <w:rsid w:val="00A24B2A"/>
    <w:rsid w:val="00A46236"/>
    <w:rsid w:val="00A677C9"/>
    <w:rsid w:val="00A67873"/>
    <w:rsid w:val="00A859C8"/>
    <w:rsid w:val="00B4413E"/>
    <w:rsid w:val="00B714CD"/>
    <w:rsid w:val="00B80EA6"/>
    <w:rsid w:val="00B852CE"/>
    <w:rsid w:val="00BA0A1B"/>
    <w:rsid w:val="00BE2C22"/>
    <w:rsid w:val="00C04C7C"/>
    <w:rsid w:val="00C05263"/>
    <w:rsid w:val="00C13115"/>
    <w:rsid w:val="00C62A36"/>
    <w:rsid w:val="00CE1EEF"/>
    <w:rsid w:val="00D034EE"/>
    <w:rsid w:val="00D27AB4"/>
    <w:rsid w:val="00DC7553"/>
    <w:rsid w:val="00E80A99"/>
    <w:rsid w:val="00E85B9A"/>
    <w:rsid w:val="00F1503C"/>
    <w:rsid w:val="00F22225"/>
    <w:rsid w:val="00F23151"/>
    <w:rsid w:val="00F76601"/>
    <w:rsid w:val="00FD38F9"/>
    <w:rsid w:val="017B43A6"/>
    <w:rsid w:val="036F0BC0"/>
    <w:rsid w:val="03A76973"/>
    <w:rsid w:val="07DE4569"/>
    <w:rsid w:val="08E92C08"/>
    <w:rsid w:val="0901526C"/>
    <w:rsid w:val="09D123AF"/>
    <w:rsid w:val="0A420997"/>
    <w:rsid w:val="0A950E17"/>
    <w:rsid w:val="0C2E229E"/>
    <w:rsid w:val="0CD5736A"/>
    <w:rsid w:val="0DDD7634"/>
    <w:rsid w:val="0E3A1246"/>
    <w:rsid w:val="10D5611C"/>
    <w:rsid w:val="12C11315"/>
    <w:rsid w:val="12E55358"/>
    <w:rsid w:val="132061A6"/>
    <w:rsid w:val="1A2D5CDE"/>
    <w:rsid w:val="1BC34377"/>
    <w:rsid w:val="1DDE47AD"/>
    <w:rsid w:val="1F7A293B"/>
    <w:rsid w:val="202A22DB"/>
    <w:rsid w:val="207237F5"/>
    <w:rsid w:val="211446E8"/>
    <w:rsid w:val="24944E16"/>
    <w:rsid w:val="298D33EA"/>
    <w:rsid w:val="2C7B29F1"/>
    <w:rsid w:val="2D2766A0"/>
    <w:rsid w:val="2E1A2BAA"/>
    <w:rsid w:val="2E250E03"/>
    <w:rsid w:val="2F7C69D4"/>
    <w:rsid w:val="302A7635"/>
    <w:rsid w:val="340F4B33"/>
    <w:rsid w:val="342858CC"/>
    <w:rsid w:val="34780431"/>
    <w:rsid w:val="34FD71BB"/>
    <w:rsid w:val="35B044A5"/>
    <w:rsid w:val="37705CF6"/>
    <w:rsid w:val="390F4C7E"/>
    <w:rsid w:val="3C400E39"/>
    <w:rsid w:val="3CBC1B83"/>
    <w:rsid w:val="3DB44BD5"/>
    <w:rsid w:val="3E102877"/>
    <w:rsid w:val="3E2D2EED"/>
    <w:rsid w:val="3E484FD3"/>
    <w:rsid w:val="40C22472"/>
    <w:rsid w:val="4182536D"/>
    <w:rsid w:val="427715CF"/>
    <w:rsid w:val="42EC26F5"/>
    <w:rsid w:val="435B3CB1"/>
    <w:rsid w:val="43C51A64"/>
    <w:rsid w:val="4715563D"/>
    <w:rsid w:val="4A971BE0"/>
    <w:rsid w:val="4C021DD7"/>
    <w:rsid w:val="4C7740C4"/>
    <w:rsid w:val="4D062073"/>
    <w:rsid w:val="4E69702C"/>
    <w:rsid w:val="4FD50FA5"/>
    <w:rsid w:val="510622AE"/>
    <w:rsid w:val="51AC1B72"/>
    <w:rsid w:val="523E266A"/>
    <w:rsid w:val="543D3325"/>
    <w:rsid w:val="545104AD"/>
    <w:rsid w:val="56C716A7"/>
    <w:rsid w:val="57890CC0"/>
    <w:rsid w:val="58A041E8"/>
    <w:rsid w:val="59632AF1"/>
    <w:rsid w:val="5D1258DC"/>
    <w:rsid w:val="61E57F60"/>
    <w:rsid w:val="63301556"/>
    <w:rsid w:val="652A2C05"/>
    <w:rsid w:val="6BDF4B79"/>
    <w:rsid w:val="6EB8790D"/>
    <w:rsid w:val="721E602B"/>
    <w:rsid w:val="730124B7"/>
    <w:rsid w:val="7366663D"/>
    <w:rsid w:val="76EF60FD"/>
    <w:rsid w:val="77FC3E5E"/>
    <w:rsid w:val="793E22AD"/>
    <w:rsid w:val="7974542D"/>
    <w:rsid w:val="7BEF6E49"/>
    <w:rsid w:val="7D0F4B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Calibri" w:hAnsi="Calibri"/>
      <w:kern w:val="2"/>
      <w:sz w:val="18"/>
      <w:szCs w:val="18"/>
    </w:rPr>
  </w:style>
  <w:style w:type="character" w:customStyle="1" w:styleId="8">
    <w:name w:val="页脚 Char"/>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C68466-69F5-4E70-8BE9-2F16EA4DE0C1}">
  <ds:schemaRefs/>
</ds:datastoreItem>
</file>

<file path=docProps/app.xml><?xml version="1.0" encoding="utf-8"?>
<Properties xmlns="http://schemas.openxmlformats.org/officeDocument/2006/extended-properties" xmlns:vt="http://schemas.openxmlformats.org/officeDocument/2006/docPropsVTypes">
  <Template>Normal</Template>
  <Pages>31</Pages>
  <Words>3871</Words>
  <Characters>22071</Characters>
  <Lines>183</Lines>
  <Paragraphs>51</Paragraphs>
  <TotalTime>72</TotalTime>
  <ScaleCrop>false</ScaleCrop>
  <LinksUpToDate>false</LinksUpToDate>
  <CharactersWithSpaces>25891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2020-10-21T03:10:00Z</dcterms:created>
  <dc:creator>NTKO</dc:creator>
  <cp:lastModifiedBy>Administrator</cp:lastModifiedBy>
  <cp:lastPrinted>2020-10-21T07:39:00Z</cp:lastPrinted>
  <dcterms:modified xsi:type="dcterms:W3CDTF">2020-12-07T03:01:20Z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