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_GBK" w:hAnsi="方正小标宋_GBK" w:eastAsia="方正小标宋_GBK" w:cs="Times New Roman"/>
          <w:b w:val="0"/>
          <w:bCs w:val="0"/>
          <w:sz w:val="30"/>
          <w:lang w:val="en-US" w:eastAsia="zh-CN"/>
        </w:rPr>
      </w:pPr>
      <w:bookmarkStart w:id="1" w:name="_GoBack"/>
      <w:bookmarkEnd w:id="1"/>
      <w:bookmarkStart w:id="0" w:name="_Toc24724704"/>
      <w:r>
        <w:rPr>
          <w:rFonts w:hint="eastAsia" w:ascii="方正小标宋_GBK" w:hAnsi="方正小标宋_GBK" w:eastAsia="方正小标宋_GBK" w:cs="Times New Roman"/>
          <w:b w:val="0"/>
          <w:bCs w:val="0"/>
          <w:sz w:val="30"/>
          <w:lang w:val="en-US" w:eastAsia="zh-CN"/>
        </w:rPr>
        <w:t>那坡县卫生健康领域基层政务公开标准目录</w:t>
      </w:r>
    </w:p>
    <w:p>
      <w:pPr>
        <w:widowControl/>
        <w:ind w:firstLine="440" w:firstLineChars="200"/>
        <w:jc w:val="left"/>
        <w:rPr>
          <w:rFonts w:hint="eastAsia" w:ascii="黑体" w:hAnsi="宋体" w:eastAsia="黑体" w:cs="宋体"/>
          <w:b w:val="0"/>
          <w:bCs w:val="0"/>
          <w:color w:val="000000"/>
          <w:kern w:val="0"/>
          <w:sz w:val="22"/>
          <w:lang w:val="en-US" w:eastAsia="zh-CN"/>
        </w:rPr>
      </w:pPr>
    </w:p>
    <w:bookmarkEnd w:id="0"/>
    <w:tbl>
      <w:tblPr>
        <w:tblStyle w:val="7"/>
        <w:tblW w:w="15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93"/>
        <w:gridCol w:w="1569"/>
        <w:gridCol w:w="3889"/>
        <w:gridCol w:w="611"/>
        <w:gridCol w:w="1724"/>
        <w:gridCol w:w="1491"/>
        <w:gridCol w:w="1154"/>
        <w:gridCol w:w="681"/>
        <w:gridCol w:w="796"/>
        <w:gridCol w:w="565"/>
        <w:gridCol w:w="912"/>
        <w:gridCol w:w="450"/>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83" w:type="dxa"/>
            <w:vMerge w:val="restart"/>
            <w:noWrap w:val="0"/>
            <w:vAlign w:val="center"/>
          </w:tcPr>
          <w:p>
            <w:pPr>
              <w:widowControl/>
              <w:jc w:val="center"/>
              <w:rPr>
                <w:rFonts w:ascii="Times New Roman" w:hAnsi="Times New Roman" w:eastAsia="黑体"/>
                <w:color w:val="000000"/>
                <w:kern w:val="0"/>
                <w:sz w:val="21"/>
                <w:szCs w:val="22"/>
              </w:rPr>
            </w:pPr>
            <w:r>
              <w:rPr>
                <w:rFonts w:ascii="Times New Roman" w:hAnsi="Times New Roman" w:eastAsia="黑体"/>
                <w:color w:val="000000"/>
                <w:kern w:val="0"/>
                <w:sz w:val="21"/>
                <w:szCs w:val="22"/>
              </w:rPr>
              <w:t>序号</w:t>
            </w:r>
          </w:p>
        </w:tc>
        <w:tc>
          <w:tcPr>
            <w:tcW w:w="2162" w:type="dxa"/>
            <w:gridSpan w:val="2"/>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公开事项</w:t>
            </w:r>
          </w:p>
        </w:tc>
        <w:tc>
          <w:tcPr>
            <w:tcW w:w="3889" w:type="dxa"/>
            <w:vMerge w:val="restart"/>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公开内容</w:t>
            </w:r>
          </w:p>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（要素）</w:t>
            </w:r>
          </w:p>
        </w:tc>
        <w:tc>
          <w:tcPr>
            <w:tcW w:w="611" w:type="dxa"/>
            <w:vMerge w:val="restart"/>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公开主体</w:t>
            </w:r>
          </w:p>
        </w:tc>
        <w:tc>
          <w:tcPr>
            <w:tcW w:w="1724" w:type="dxa"/>
            <w:vMerge w:val="restart"/>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公开依据</w:t>
            </w:r>
          </w:p>
        </w:tc>
        <w:tc>
          <w:tcPr>
            <w:tcW w:w="1491" w:type="dxa"/>
            <w:vMerge w:val="restart"/>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公开时限</w:t>
            </w:r>
          </w:p>
        </w:tc>
        <w:tc>
          <w:tcPr>
            <w:tcW w:w="1154" w:type="dxa"/>
            <w:vMerge w:val="restart"/>
            <w:noWrap w:val="0"/>
            <w:vAlign w:val="center"/>
          </w:tcPr>
          <w:p>
            <w:pPr>
              <w:widowControl/>
              <w:jc w:val="center"/>
              <w:rPr>
                <w:rFonts w:hint="eastAsia" w:ascii="黑体" w:hAnsi="宋体" w:eastAsia="黑体" w:cs="宋体"/>
                <w:kern w:val="0"/>
                <w:sz w:val="21"/>
                <w:szCs w:val="22"/>
              </w:rPr>
            </w:pPr>
            <w:r>
              <w:rPr>
                <w:rFonts w:hint="eastAsia" w:ascii="黑体" w:hAnsi="宋体" w:eastAsia="黑体" w:cs="宋体"/>
                <w:kern w:val="0"/>
                <w:sz w:val="21"/>
                <w:szCs w:val="22"/>
              </w:rPr>
              <w:t>公开渠道和载体</w:t>
            </w:r>
          </w:p>
        </w:tc>
        <w:tc>
          <w:tcPr>
            <w:tcW w:w="1477" w:type="dxa"/>
            <w:gridSpan w:val="2"/>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公开对象</w:t>
            </w:r>
          </w:p>
        </w:tc>
        <w:tc>
          <w:tcPr>
            <w:tcW w:w="1477" w:type="dxa"/>
            <w:gridSpan w:val="2"/>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公开方式</w:t>
            </w:r>
          </w:p>
        </w:tc>
        <w:tc>
          <w:tcPr>
            <w:tcW w:w="1128" w:type="dxa"/>
            <w:gridSpan w:val="2"/>
            <w:noWrap w:val="0"/>
            <w:vAlign w:val="center"/>
          </w:tcPr>
          <w:p>
            <w:pPr>
              <w:widowControl/>
              <w:jc w:val="center"/>
              <w:rPr>
                <w:rFonts w:hint="eastAsia" w:ascii="黑体" w:hAnsi="宋体" w:eastAsia="黑体" w:cs="宋体"/>
                <w:color w:val="000000"/>
                <w:kern w:val="0"/>
                <w:sz w:val="21"/>
                <w:szCs w:val="22"/>
                <w:lang w:eastAsia="zh-CN"/>
              </w:rPr>
            </w:pPr>
            <w:r>
              <w:rPr>
                <w:rFonts w:hint="eastAsia" w:ascii="黑体" w:hAnsi="宋体" w:eastAsia="黑体" w:cs="宋体"/>
                <w:color w:val="000000"/>
                <w:kern w:val="0"/>
                <w:sz w:val="21"/>
                <w:szCs w:val="22"/>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83" w:type="dxa"/>
            <w:vMerge w:val="continue"/>
            <w:noWrap w:val="0"/>
            <w:vAlign w:val="center"/>
          </w:tcPr>
          <w:p>
            <w:pPr>
              <w:widowControl/>
              <w:jc w:val="left"/>
              <w:rPr>
                <w:rFonts w:ascii="Times New Roman" w:hAnsi="Times New Roman" w:eastAsia="黑体"/>
                <w:color w:val="000000"/>
                <w:kern w:val="0"/>
                <w:sz w:val="13"/>
                <w:szCs w:val="13"/>
              </w:rPr>
            </w:pPr>
          </w:p>
        </w:tc>
        <w:tc>
          <w:tcPr>
            <w:tcW w:w="593"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一级事项</w:t>
            </w:r>
          </w:p>
        </w:tc>
        <w:tc>
          <w:tcPr>
            <w:tcW w:w="1569"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二级事项</w:t>
            </w:r>
          </w:p>
        </w:tc>
        <w:tc>
          <w:tcPr>
            <w:tcW w:w="3889" w:type="dxa"/>
            <w:vMerge w:val="continue"/>
            <w:noWrap w:val="0"/>
            <w:vAlign w:val="center"/>
          </w:tcPr>
          <w:p>
            <w:pPr>
              <w:widowControl/>
              <w:jc w:val="left"/>
              <w:rPr>
                <w:rFonts w:hint="eastAsia" w:ascii="黑体" w:hAnsi="宋体" w:eastAsia="黑体" w:cs="宋体"/>
                <w:color w:val="000000"/>
                <w:kern w:val="0"/>
                <w:sz w:val="21"/>
                <w:szCs w:val="22"/>
              </w:rPr>
            </w:pPr>
          </w:p>
        </w:tc>
        <w:tc>
          <w:tcPr>
            <w:tcW w:w="611" w:type="dxa"/>
            <w:vMerge w:val="continue"/>
            <w:noWrap w:val="0"/>
            <w:vAlign w:val="center"/>
          </w:tcPr>
          <w:p>
            <w:pPr>
              <w:widowControl/>
              <w:jc w:val="left"/>
              <w:rPr>
                <w:rFonts w:hint="eastAsia" w:ascii="黑体" w:hAnsi="宋体" w:eastAsia="黑体" w:cs="宋体"/>
                <w:color w:val="000000"/>
                <w:kern w:val="0"/>
                <w:sz w:val="21"/>
                <w:szCs w:val="22"/>
              </w:rPr>
            </w:pPr>
          </w:p>
        </w:tc>
        <w:tc>
          <w:tcPr>
            <w:tcW w:w="1724" w:type="dxa"/>
            <w:vMerge w:val="continue"/>
            <w:noWrap w:val="0"/>
            <w:vAlign w:val="center"/>
          </w:tcPr>
          <w:p>
            <w:pPr>
              <w:widowControl/>
              <w:jc w:val="left"/>
              <w:rPr>
                <w:rFonts w:hint="eastAsia" w:ascii="黑体" w:hAnsi="宋体" w:eastAsia="黑体" w:cs="宋体"/>
                <w:color w:val="000000"/>
                <w:kern w:val="0"/>
                <w:sz w:val="21"/>
                <w:szCs w:val="22"/>
              </w:rPr>
            </w:pPr>
          </w:p>
        </w:tc>
        <w:tc>
          <w:tcPr>
            <w:tcW w:w="1491" w:type="dxa"/>
            <w:vMerge w:val="continue"/>
            <w:noWrap w:val="0"/>
            <w:vAlign w:val="center"/>
          </w:tcPr>
          <w:p>
            <w:pPr>
              <w:widowControl/>
              <w:jc w:val="left"/>
              <w:rPr>
                <w:rFonts w:hint="eastAsia" w:ascii="黑体" w:hAnsi="宋体" w:eastAsia="黑体" w:cs="宋体"/>
                <w:color w:val="000000"/>
                <w:kern w:val="0"/>
                <w:sz w:val="21"/>
                <w:szCs w:val="22"/>
              </w:rPr>
            </w:pPr>
          </w:p>
        </w:tc>
        <w:tc>
          <w:tcPr>
            <w:tcW w:w="1154" w:type="dxa"/>
            <w:vMerge w:val="continue"/>
            <w:noWrap w:val="0"/>
            <w:vAlign w:val="center"/>
          </w:tcPr>
          <w:p>
            <w:pPr>
              <w:widowControl/>
              <w:jc w:val="left"/>
              <w:rPr>
                <w:rFonts w:hint="eastAsia" w:ascii="黑体" w:hAnsi="宋体" w:eastAsia="黑体" w:cs="宋体"/>
                <w:kern w:val="0"/>
                <w:sz w:val="21"/>
                <w:szCs w:val="22"/>
              </w:rPr>
            </w:pPr>
          </w:p>
        </w:tc>
        <w:tc>
          <w:tcPr>
            <w:tcW w:w="681"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全社会</w:t>
            </w:r>
          </w:p>
        </w:tc>
        <w:tc>
          <w:tcPr>
            <w:tcW w:w="796"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特定群众</w:t>
            </w:r>
          </w:p>
        </w:tc>
        <w:tc>
          <w:tcPr>
            <w:tcW w:w="565"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主动</w:t>
            </w:r>
          </w:p>
        </w:tc>
        <w:tc>
          <w:tcPr>
            <w:tcW w:w="912" w:type="dxa"/>
            <w:noWrap w:val="0"/>
            <w:vAlign w:val="center"/>
          </w:tcPr>
          <w:p>
            <w:pPr>
              <w:widowControl/>
              <w:jc w:val="center"/>
              <w:rPr>
                <w:rFonts w:hint="eastAsia" w:ascii="黑体" w:hAnsi="宋体" w:eastAsia="黑体" w:cs="宋体"/>
                <w:color w:val="000000"/>
                <w:kern w:val="0"/>
                <w:sz w:val="21"/>
                <w:szCs w:val="22"/>
              </w:rPr>
            </w:pPr>
            <w:r>
              <w:rPr>
                <w:rFonts w:hint="eastAsia" w:ascii="黑体" w:hAnsi="宋体" w:eastAsia="黑体" w:cs="宋体"/>
                <w:color w:val="000000"/>
                <w:kern w:val="0"/>
                <w:sz w:val="21"/>
                <w:szCs w:val="22"/>
              </w:rPr>
              <w:t>依申请公开</w:t>
            </w:r>
          </w:p>
        </w:tc>
        <w:tc>
          <w:tcPr>
            <w:tcW w:w="450" w:type="dxa"/>
            <w:noWrap w:val="0"/>
            <w:vAlign w:val="center"/>
          </w:tcPr>
          <w:p>
            <w:pPr>
              <w:widowControl/>
              <w:jc w:val="center"/>
              <w:rPr>
                <w:rFonts w:hint="eastAsia" w:ascii="黑体" w:hAnsi="宋体" w:eastAsia="黑体" w:cs="宋体"/>
                <w:color w:val="000000"/>
                <w:kern w:val="0"/>
                <w:sz w:val="21"/>
                <w:szCs w:val="22"/>
                <w:lang w:eastAsia="zh-CN"/>
              </w:rPr>
            </w:pPr>
            <w:r>
              <w:rPr>
                <w:rFonts w:hint="eastAsia" w:ascii="黑体" w:hAnsi="宋体" w:eastAsia="黑体" w:cs="宋体"/>
                <w:color w:val="000000"/>
                <w:kern w:val="0"/>
                <w:sz w:val="21"/>
                <w:szCs w:val="22"/>
                <w:lang w:eastAsia="zh-CN"/>
              </w:rPr>
              <w:t>县级</w:t>
            </w:r>
          </w:p>
        </w:tc>
        <w:tc>
          <w:tcPr>
            <w:tcW w:w="678" w:type="dxa"/>
            <w:noWrap w:val="0"/>
            <w:vAlign w:val="center"/>
          </w:tcPr>
          <w:p>
            <w:pPr>
              <w:widowControl/>
              <w:jc w:val="center"/>
              <w:rPr>
                <w:rFonts w:hint="eastAsia" w:ascii="黑体" w:hAnsi="宋体" w:eastAsia="黑体" w:cs="宋体"/>
                <w:color w:val="000000"/>
                <w:kern w:val="0"/>
                <w:sz w:val="21"/>
                <w:szCs w:val="22"/>
                <w:lang w:eastAsia="zh-CN"/>
              </w:rPr>
            </w:pPr>
            <w:r>
              <w:rPr>
                <w:rFonts w:hint="eastAsia" w:ascii="黑体" w:hAnsi="宋体" w:eastAsia="黑体" w:cs="宋体"/>
                <w:color w:val="000000"/>
                <w:kern w:val="0"/>
                <w:sz w:val="21"/>
                <w:szCs w:val="22"/>
                <w:lang w:eastAsia="zh-CN"/>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6" w:hRule="atLeast"/>
          <w:jc w:val="center"/>
        </w:trPr>
        <w:tc>
          <w:tcPr>
            <w:tcW w:w="48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行政可类事项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母婴保健技术服务机 构执业许可（包括计 划生育技术服务机构 执业许可）（权限内）</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 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《母婴保健法》、 《计划生育技术 服务管理条例》、 《母婴保健法实施办法》、《国务院 关于第六批取消 和调整行政审批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项目的决定》、《国家卫生健康委关 于修改&lt;职业健康 检查管理办法&gt;等 4 部门规章的决定》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 者变更之日起 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公开查阅点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发布会</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两微一端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其他</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w:t>
            </w: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w:t>
            </w: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结果信息——母婴保健技术服务执业许可证 信息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 者变更之日起 7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jc w:val="center"/>
        </w:trPr>
        <w:tc>
          <w:tcPr>
            <w:tcW w:w="48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2</w:t>
            </w: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母婴保健服务人员资格认定（包括计划生育技术服务人员合格证）（权限内）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 型、项目信息（项目名称、审批类别、项目 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《母婴保健法》、《计划生育技术服务管理条例》、《母婴保健法实施办法》、《国家卫生健康委关于修改&lt;职业健康检查管理办法&gt;等 4 部门规章的决定》、《计划生育技术服务管理条例实施细则》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公开查阅点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发布会</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两微一端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A8"/>
            </w:r>
            <w:r>
              <w:rPr>
                <w:rFonts w:hint="eastAsia" w:ascii="仿宋_GB2312" w:hAnsi="宋体" w:eastAsia="仿宋_GB2312" w:cs="仿宋_GB2312"/>
                <w:color w:val="000000"/>
                <w:kern w:val="0"/>
                <w:sz w:val="18"/>
                <w:szCs w:val="18"/>
                <w:lang w:val="en-US" w:eastAsia="zh-CN" w:bidi="ar"/>
              </w:rPr>
              <w:t>其他</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w:t>
            </w: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w:t>
            </w: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结果信息，包括姓名、性别、类别、执业地点、证书编码、主要执业机构、发证（批准）机关等相关信息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 7 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w:t>
            </w: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医疗机构设置审批 （含港澳台，外商独资除外）（权限内</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《中医药法》、《医疗机 构 管理条例》、《国务院关于取消和下放 50 项行政审批项目等事项的决定》、《医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疗机构管理条例实施细则》、《医疗美容服务管理办法》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自信息形成或者变更之日起20 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结果信息——设置审批结果信息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 7 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3"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4</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医疗机构执业登记（人体器官移植除外）（权限内）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3.过程信息，各地可根据实际情况适当公开受理、审核、审批、送达等相关信息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《行政许可法》、《医疗机构管理条例》、《医疗机构管理条例实施细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则》、《医疗美容服务管理办法》</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结果信息——医疗机构名称、地址、诊疗科目、法定代表人、主要负责人、登记号、医疗机构执业许可证有效期限、审批机关</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5</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医师执业注册（权限内）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《执业医师法》、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《医师执业注册管理办法》</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结果信息，包括姓名、性别、类别、执业地点、证书编码、主要执业机构、发证（批准）机关等相关信息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 7个工作日内予以公开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3"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6</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护士执业注册（权限内）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《护士条例》、《国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务院关于取消和下放一批行政许可事项的决定》、《国家卫生健康委关于做好下放护士执业注册审批有关工作的通知》、《护士执业注册管理办法》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结果信息，包括姓名、性别、类别、执业地点、证书编码、主要执业机构、发证（批准）机关等相关信息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 7个工作日内予以公开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7</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饮用水供水单位卫生许可（权限内）</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3.过程信息，各地可根据实际情况适当公开受理、审核、审批、送达等相关信息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《传染病防治法》、《传染病防治法实施办法》、《国务院对确需保留的行政审批项目设定行政许可的决定》、《生活饮用水卫生监督管理办法》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结果信息——卫生许可证信息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 7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8</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公共场所卫生可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3.过程信息，各地可根据实际情况适当公开受理、审核、审批、送达等相关信息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《行政许可法》、 《公共场所卫生管理条例》、《国务院关于整合调整餐饮服务场所的公共场所卫生许可证和食品经营许可的决定》、《公共场所卫生管理条例实施细则》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结果信息——卫生许可证信息</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者变更之日起 7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48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9</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放射源诊疗技术和医用辐射机构许可证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3.过程信息，各地可根据实际情况适当公开受理、审核、审批、送达等相关信息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《公共场所卫生管理条例》、《国务院关于整合调整餐饮服务场所的公共场所卫生许可证和食品经营许可的决定》、《公共场所卫生管理条例实施细则》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结果信息——放射诊疗许可证信息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 7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1"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10</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许可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乡村医生执业注册（包括乡村医生执业再注册）</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3.过程信息，各地可根据实际情况适当公开受理、审核、审批、送达等相关信息</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《行政许可法》、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《公共场所卫生管理条例》、《国务院关于整合调整餐饮服务场所的公共场所卫生许可证和食品经营许可的决定》、《公共场所卫生管理条例实施细则》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结果信息，包括姓名、性别、类别、执业地点、证书编码、主要执业机构、发证（批准）机关等相关信息 </w:t>
            </w:r>
          </w:p>
        </w:tc>
        <w:tc>
          <w:tcPr>
            <w:tcW w:w="61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 7个工作日内予以公开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政务服务中心</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公示栏</w:t>
            </w: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48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11</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处罚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项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对不符合规定条件的医疗机构擅自从事精神障碍诊断、治疗的处罚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法律法规和政策文件；</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投诉举报电话以及网上投诉渠道</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《行政处罚法》、《精神卫生法》、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《卫生行政处罚程序》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受理和立案信息，包括：案件受理记录、立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案报告；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告知信息，包括：行政处罚事先告知书、听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证告知书 </w:t>
            </w:r>
          </w:p>
        </w:tc>
        <w:tc>
          <w:tcPr>
            <w:tcW w:w="61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 xml:space="preserve">精准推送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相对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人</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行政处罚决定信息，包括：处罚决定书文号、处罚名称、处罚类别、处罚事由、相对人名称、处罚依据、处罚单位、处罚决定日期</w:t>
            </w:r>
          </w:p>
        </w:tc>
        <w:tc>
          <w:tcPr>
            <w:tcW w:w="61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自信息形成或者变更之日起 7个工作日内予以公开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 xml:space="preserve">政府网站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483" w:type="dxa"/>
            <w:vMerge w:val="restart"/>
            <w:noWrap w:val="0"/>
            <w:vAlign w:val="center"/>
          </w:tcPr>
          <w:p>
            <w:pPr>
              <w:keepNext w:val="0"/>
              <w:keepLines w:val="0"/>
              <w:widowControl/>
              <w:suppressLineNumbers w:val="0"/>
              <w:jc w:val="left"/>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12</w:t>
            </w:r>
          </w:p>
        </w:tc>
        <w:tc>
          <w:tcPr>
            <w:tcW w:w="593"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处罚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类事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项</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对医疗机构及其工作人员拒绝对送诊的疑似精神障碍患者作出诊断及对依照《精神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卫生法》第三十条第二款规定实施住院治疗的患者未及时进行检查评估或者未根据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评估结果作出处理的处罚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法律法规和政策文件；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投诉举报电话以及网上投诉渠道</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那坡县卫生健康局</w:t>
            </w:r>
          </w:p>
        </w:tc>
        <w:tc>
          <w:tcPr>
            <w:tcW w:w="1724"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《行政处罚法》、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《精神卫生法》、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《卫生行政处罚程序》</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restart"/>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自信息形成或者变更之日起20 个工作日内予以公开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受理和立案信息，包括：案件受理记录、立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案报告；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告知信息，包括：行政处罚事先告知书、听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证告知书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 xml:space="preserve">精准推送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行政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相对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人</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8" w:hRule="atLeast"/>
          <w:jc w:val="center"/>
        </w:trPr>
        <w:tc>
          <w:tcPr>
            <w:tcW w:w="48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93"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569"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3889"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行政处罚决定信息，包括：处罚决定书文号、 处罚名称、处罚类别、处罚事由、相对人名称、处罚依据、处罚单位、处罚决定日期</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11"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724" w:type="dxa"/>
            <w:vMerge w:val="continue"/>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49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自信息形成或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者变更之日起 7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个工作日内予 </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以公开</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1154"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sym w:font="Wingdings" w:char="00FE"/>
            </w:r>
            <w:r>
              <w:rPr>
                <w:rFonts w:hint="eastAsia" w:ascii="仿宋_GB2312" w:hAnsi="宋体" w:eastAsia="仿宋_GB2312" w:cs="仿宋_GB2312"/>
                <w:color w:val="000000"/>
                <w:kern w:val="0"/>
                <w:sz w:val="18"/>
                <w:szCs w:val="18"/>
                <w:lang w:val="en-US" w:eastAsia="zh-CN" w:bidi="ar"/>
              </w:rPr>
              <w:t>政府网站</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81"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796"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565"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912"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450"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w:t>
            </w:r>
          </w:p>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c>
          <w:tcPr>
            <w:tcW w:w="678" w:type="dxa"/>
            <w:noWrap w:val="0"/>
            <w:vAlign w:val="center"/>
          </w:tcPr>
          <w:p>
            <w:pPr>
              <w:keepNext w:val="0"/>
              <w:keepLines w:val="0"/>
              <w:widowControl/>
              <w:suppressLineNumbers w:val="0"/>
              <w:jc w:val="left"/>
              <w:rPr>
                <w:rFonts w:hint="eastAsia" w:ascii="仿宋_GB2312" w:hAnsi="宋体" w:eastAsia="仿宋_GB2312" w:cs="仿宋_GB2312"/>
                <w:color w:val="000000"/>
                <w:kern w:val="0"/>
                <w:sz w:val="18"/>
                <w:szCs w:val="18"/>
                <w:lang w:val="en-US" w:eastAsia="zh-CN" w:bidi="ar"/>
              </w:rPr>
            </w:pPr>
          </w:p>
        </w:tc>
      </w:tr>
    </w:tbl>
    <w:p>
      <w:pPr>
        <w:pStyle w:val="2"/>
        <w:jc w:val="both"/>
        <w:rPr>
          <w:rFonts w:hint="eastAsia"/>
          <w:lang w:val="en-US" w:eastAsia="zh-CN"/>
        </w:rPr>
      </w:pPr>
    </w:p>
    <w:sectPr>
      <w:pgSz w:w="16838" w:h="11906" w:orient="landscape"/>
      <w:pgMar w:top="720" w:right="720" w:bottom="720" w:left="720" w:header="850"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E43978-2AF8-4694-A797-32AF09E1615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DCB128F-A361-4E0B-BB27-0062B6FB39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4A6DC4BC-D5FB-479C-A3D7-FBCCF4A5AD55}"/>
  </w:font>
  <w:font w:name="仿宋_GB2312">
    <w:altName w:val="仿宋"/>
    <w:panose1 w:val="02010609030101010101"/>
    <w:charset w:val="86"/>
    <w:family w:val="auto"/>
    <w:pitch w:val="default"/>
    <w:sig w:usb0="00000000" w:usb1="00000000" w:usb2="00000000" w:usb3="00000000" w:csb0="00040000" w:csb1="00000000"/>
    <w:embedRegular r:id="rId4" w:fontKey="{ECB6E21C-916E-45DD-B902-1824A356146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C375F"/>
    <w:rsid w:val="02165899"/>
    <w:rsid w:val="024C5E14"/>
    <w:rsid w:val="03EB5D9B"/>
    <w:rsid w:val="044D08F0"/>
    <w:rsid w:val="048B4A8E"/>
    <w:rsid w:val="04922358"/>
    <w:rsid w:val="05D62FA8"/>
    <w:rsid w:val="067A34FB"/>
    <w:rsid w:val="06C23265"/>
    <w:rsid w:val="07595654"/>
    <w:rsid w:val="07622DE6"/>
    <w:rsid w:val="08302401"/>
    <w:rsid w:val="08987CE2"/>
    <w:rsid w:val="089A34F5"/>
    <w:rsid w:val="09507ADA"/>
    <w:rsid w:val="098914B4"/>
    <w:rsid w:val="09AA043F"/>
    <w:rsid w:val="09F33494"/>
    <w:rsid w:val="0A8F0F56"/>
    <w:rsid w:val="0B176D1C"/>
    <w:rsid w:val="0BB712B3"/>
    <w:rsid w:val="0BE222B4"/>
    <w:rsid w:val="0C9C6799"/>
    <w:rsid w:val="0DF74161"/>
    <w:rsid w:val="11160543"/>
    <w:rsid w:val="11411EAE"/>
    <w:rsid w:val="11C71F12"/>
    <w:rsid w:val="12375B86"/>
    <w:rsid w:val="12DA45E1"/>
    <w:rsid w:val="13ED2C7D"/>
    <w:rsid w:val="13FC4602"/>
    <w:rsid w:val="14FC10BD"/>
    <w:rsid w:val="153E1093"/>
    <w:rsid w:val="1624071E"/>
    <w:rsid w:val="17741D4F"/>
    <w:rsid w:val="191C2DB9"/>
    <w:rsid w:val="19715F01"/>
    <w:rsid w:val="1A827047"/>
    <w:rsid w:val="1AD04775"/>
    <w:rsid w:val="1B6071AF"/>
    <w:rsid w:val="1CE862D9"/>
    <w:rsid w:val="1CF7081F"/>
    <w:rsid w:val="1D7F50B6"/>
    <w:rsid w:val="1E652A4B"/>
    <w:rsid w:val="1E855FA8"/>
    <w:rsid w:val="1F3E11AC"/>
    <w:rsid w:val="1FB70D60"/>
    <w:rsid w:val="210401ED"/>
    <w:rsid w:val="211629EA"/>
    <w:rsid w:val="21672A2C"/>
    <w:rsid w:val="21862495"/>
    <w:rsid w:val="21F64AB8"/>
    <w:rsid w:val="2266411C"/>
    <w:rsid w:val="24005B21"/>
    <w:rsid w:val="243871B4"/>
    <w:rsid w:val="254765F7"/>
    <w:rsid w:val="259C734C"/>
    <w:rsid w:val="26A1069D"/>
    <w:rsid w:val="2742382D"/>
    <w:rsid w:val="28C20E92"/>
    <w:rsid w:val="2A0238B0"/>
    <w:rsid w:val="2A1A2D20"/>
    <w:rsid w:val="2A225DA4"/>
    <w:rsid w:val="2ADD093C"/>
    <w:rsid w:val="2BBD437A"/>
    <w:rsid w:val="2BC24151"/>
    <w:rsid w:val="2CA91899"/>
    <w:rsid w:val="2CBF6112"/>
    <w:rsid w:val="2CEE2D3F"/>
    <w:rsid w:val="2E733969"/>
    <w:rsid w:val="2F2D1F5B"/>
    <w:rsid w:val="306E497B"/>
    <w:rsid w:val="31535147"/>
    <w:rsid w:val="326519F3"/>
    <w:rsid w:val="33501716"/>
    <w:rsid w:val="33860830"/>
    <w:rsid w:val="33C472FB"/>
    <w:rsid w:val="347E68C5"/>
    <w:rsid w:val="34B764BC"/>
    <w:rsid w:val="34CA2041"/>
    <w:rsid w:val="35B45DBB"/>
    <w:rsid w:val="3624605F"/>
    <w:rsid w:val="385C245B"/>
    <w:rsid w:val="39047374"/>
    <w:rsid w:val="3A636648"/>
    <w:rsid w:val="3B147DE0"/>
    <w:rsid w:val="3C850D58"/>
    <w:rsid w:val="3C990195"/>
    <w:rsid w:val="3F732378"/>
    <w:rsid w:val="40C74069"/>
    <w:rsid w:val="419E5C7F"/>
    <w:rsid w:val="41F379E3"/>
    <w:rsid w:val="42507D25"/>
    <w:rsid w:val="42720724"/>
    <w:rsid w:val="43B86C43"/>
    <w:rsid w:val="443C3CD5"/>
    <w:rsid w:val="451E4191"/>
    <w:rsid w:val="452F00D1"/>
    <w:rsid w:val="455629BA"/>
    <w:rsid w:val="47610A75"/>
    <w:rsid w:val="47DB702E"/>
    <w:rsid w:val="481C3B53"/>
    <w:rsid w:val="487D0452"/>
    <w:rsid w:val="49264595"/>
    <w:rsid w:val="49B218DC"/>
    <w:rsid w:val="49F522E8"/>
    <w:rsid w:val="4A8807D8"/>
    <w:rsid w:val="4AAE2F12"/>
    <w:rsid w:val="4B107230"/>
    <w:rsid w:val="4B1764B7"/>
    <w:rsid w:val="4CBF125B"/>
    <w:rsid w:val="4D5200C6"/>
    <w:rsid w:val="4D802B2D"/>
    <w:rsid w:val="4DF23FFE"/>
    <w:rsid w:val="4ECE4593"/>
    <w:rsid w:val="4F527FD9"/>
    <w:rsid w:val="4FB94DDD"/>
    <w:rsid w:val="50AD660C"/>
    <w:rsid w:val="523F0034"/>
    <w:rsid w:val="53EA1684"/>
    <w:rsid w:val="53EA60EC"/>
    <w:rsid w:val="546A1E00"/>
    <w:rsid w:val="54A40C3D"/>
    <w:rsid w:val="54B47AAE"/>
    <w:rsid w:val="55174CFB"/>
    <w:rsid w:val="556C7D89"/>
    <w:rsid w:val="55783697"/>
    <w:rsid w:val="55F11936"/>
    <w:rsid w:val="560C207D"/>
    <w:rsid w:val="56911B1E"/>
    <w:rsid w:val="57F82C8B"/>
    <w:rsid w:val="580D15D5"/>
    <w:rsid w:val="588B1C71"/>
    <w:rsid w:val="59463D3E"/>
    <w:rsid w:val="5A315707"/>
    <w:rsid w:val="5AED7B39"/>
    <w:rsid w:val="5CF24CAB"/>
    <w:rsid w:val="5D3A40C1"/>
    <w:rsid w:val="5F613034"/>
    <w:rsid w:val="5FCD0960"/>
    <w:rsid w:val="6066516B"/>
    <w:rsid w:val="60702DF3"/>
    <w:rsid w:val="60EA25ED"/>
    <w:rsid w:val="6157576D"/>
    <w:rsid w:val="62582C00"/>
    <w:rsid w:val="629B54BC"/>
    <w:rsid w:val="64A8165D"/>
    <w:rsid w:val="654D4E4A"/>
    <w:rsid w:val="655A5599"/>
    <w:rsid w:val="66221313"/>
    <w:rsid w:val="6635193B"/>
    <w:rsid w:val="66AB7331"/>
    <w:rsid w:val="67A26D15"/>
    <w:rsid w:val="688600F9"/>
    <w:rsid w:val="6AF32605"/>
    <w:rsid w:val="6BD97F90"/>
    <w:rsid w:val="6C5E4421"/>
    <w:rsid w:val="6CBC70BE"/>
    <w:rsid w:val="6CC24561"/>
    <w:rsid w:val="6D5F6EFC"/>
    <w:rsid w:val="6D623026"/>
    <w:rsid w:val="6E0C7F5D"/>
    <w:rsid w:val="6F132783"/>
    <w:rsid w:val="6F7977F2"/>
    <w:rsid w:val="6FB316E2"/>
    <w:rsid w:val="70440C89"/>
    <w:rsid w:val="70971ABC"/>
    <w:rsid w:val="710C691D"/>
    <w:rsid w:val="71562C4A"/>
    <w:rsid w:val="726A433B"/>
    <w:rsid w:val="72B61A10"/>
    <w:rsid w:val="72EE1D6F"/>
    <w:rsid w:val="73102931"/>
    <w:rsid w:val="73185A18"/>
    <w:rsid w:val="734E6C48"/>
    <w:rsid w:val="73A9560A"/>
    <w:rsid w:val="740A2F6A"/>
    <w:rsid w:val="74BC0C3D"/>
    <w:rsid w:val="762D1A55"/>
    <w:rsid w:val="78294436"/>
    <w:rsid w:val="78E02DF2"/>
    <w:rsid w:val="79DA4C3F"/>
    <w:rsid w:val="7AAE4DF6"/>
    <w:rsid w:val="7C755D90"/>
    <w:rsid w:val="7D7B6CC3"/>
    <w:rsid w:val="7DEB65FD"/>
    <w:rsid w:val="7EA83FE9"/>
    <w:rsid w:val="7F2C4FB0"/>
    <w:rsid w:val="7FEF5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h~h</cp:lastModifiedBy>
  <cp:lastPrinted>2019-06-19T08:57:00Z</cp:lastPrinted>
  <dcterms:modified xsi:type="dcterms:W3CDTF">2020-11-19T09:43:09Z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