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4"/>
      <w:r>
        <w:rPr>
          <w:rFonts w:hint="eastAsia" w:ascii="方正小标宋_GBK" w:hAnsi="方正小标宋_GBK" w:eastAsia="方正小标宋_GBK"/>
          <w:b w:val="0"/>
          <w:bCs w:val="0"/>
          <w:sz w:val="30"/>
          <w:lang w:eastAsia="zh-CN"/>
        </w:rPr>
        <w:t>隆林县</w:t>
      </w:r>
      <w:r>
        <w:rPr>
          <w:rFonts w:hint="eastAsia" w:ascii="方正小标宋_GBK" w:hAnsi="方正小标宋_GBK" w:eastAsia="方正小标宋_GBK"/>
          <w:b w:val="0"/>
          <w:bCs w:val="0"/>
          <w:sz w:val="30"/>
        </w:rPr>
        <w:t>卫生健康领域基层政务公开标准目录</w:t>
      </w:r>
      <w:bookmarkEnd w:id="0"/>
    </w:p>
    <w:tbl>
      <w:tblPr>
        <w:tblStyle w:val="3"/>
        <w:tblW w:w="11627"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06"/>
        <w:gridCol w:w="825"/>
        <w:gridCol w:w="2310"/>
        <w:gridCol w:w="1635"/>
        <w:gridCol w:w="930"/>
        <w:gridCol w:w="765"/>
        <w:gridCol w:w="1170"/>
        <w:gridCol w:w="450"/>
        <w:gridCol w:w="465"/>
        <w:gridCol w:w="495"/>
        <w:gridCol w:w="465"/>
        <w:gridCol w:w="540"/>
        <w:gridCol w:w="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31"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1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35"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3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5"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70"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915"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6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35"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jc w:val="left"/>
              <w:rPr>
                <w:rFonts w:ascii="Times New Roman" w:hAnsi="Times New Roman"/>
                <w:color w:val="000000"/>
                <w:kern w:val="0"/>
                <w:sz w:val="22"/>
              </w:rPr>
            </w:pPr>
          </w:p>
        </w:tc>
        <w:tc>
          <w:tcPr>
            <w:tcW w:w="606"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25"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1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635"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93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765"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170" w:type="dxa"/>
            <w:vMerge w:val="continue"/>
            <w:shd w:val="clear" w:color="auto" w:fill="auto"/>
            <w:noWrap w:val="0"/>
            <w:vAlign w:val="center"/>
          </w:tcPr>
          <w:p>
            <w:pPr>
              <w:widowControl/>
              <w:jc w:val="left"/>
              <w:rPr>
                <w:rFonts w:ascii="黑体" w:hAnsi="宋体" w:eastAsia="黑体" w:cs="宋体"/>
                <w:kern w:val="0"/>
                <w:sz w:val="22"/>
              </w:rPr>
            </w:pPr>
          </w:p>
        </w:tc>
        <w:tc>
          <w:tcPr>
            <w:tcW w:w="45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465"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95"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465"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495"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606" w:type="dxa"/>
            <w:vMerge w:val="restart"/>
            <w:shd w:val="clear" w:color="auto" w:fill="auto"/>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825"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231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93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shd w:val="clear" w:color="auto" w:fill="auto"/>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606" w:type="dxa"/>
            <w:vMerge w:val="continue"/>
            <w:shd w:val="clear" w:color="auto" w:fill="auto"/>
            <w:noWrap w:val="0"/>
            <w:vAlign w:val="center"/>
          </w:tcPr>
          <w:p>
            <w:pPr>
              <w:rPr>
                <w:rFonts w:hint="eastAsia" w:ascii="仿宋_GB2312" w:hAnsi="宋体" w:eastAsia="仿宋_GB2312" w:cs="宋体"/>
                <w:bCs/>
                <w:color w:val="000000"/>
                <w:sz w:val="18"/>
                <w:szCs w:val="18"/>
              </w:rPr>
            </w:pPr>
          </w:p>
        </w:tc>
        <w:tc>
          <w:tcPr>
            <w:tcW w:w="825"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231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1635"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93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shd w:val="clear" w:color="auto" w:fill="auto"/>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47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60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pPr>
              <w:rPr>
                <w:rFonts w:ascii="仿宋_GB2312" w:hAnsi="宋体" w:eastAsia="仿宋_GB2312"/>
                <w:color w:val="000000"/>
                <w:sz w:val="18"/>
                <w:szCs w:val="18"/>
              </w:rPr>
            </w:pPr>
          </w:p>
        </w:tc>
        <w:tc>
          <w:tcPr>
            <w:tcW w:w="1635"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rPr>
                <w:rFonts w:ascii="仿宋_GB2312" w:hAnsi="宋体" w:eastAsia="仿宋_GB2312"/>
                <w:color w:val="000000"/>
                <w:sz w:val="18"/>
                <w:szCs w:val="18"/>
              </w:rPr>
            </w:pPr>
          </w:p>
        </w:tc>
        <w:tc>
          <w:tcPr>
            <w:tcW w:w="606" w:type="dxa"/>
            <w:vMerge w:val="continue"/>
            <w:shd w:val="clear" w:color="auto" w:fill="auto"/>
            <w:noWrap w:val="0"/>
            <w:vAlign w:val="center"/>
          </w:tcPr>
          <w:p>
            <w:pPr>
              <w:rPr>
                <w:rFonts w:ascii="仿宋_GB2312" w:hAnsi="宋体" w:eastAsia="仿宋_GB2312"/>
                <w:color w:val="000000"/>
                <w:sz w:val="18"/>
                <w:szCs w:val="18"/>
              </w:rPr>
            </w:pPr>
          </w:p>
        </w:tc>
        <w:tc>
          <w:tcPr>
            <w:tcW w:w="825" w:type="dxa"/>
            <w:vMerge w:val="continue"/>
            <w:shd w:val="clear" w:color="auto" w:fill="auto"/>
            <w:noWrap w:val="0"/>
            <w:vAlign w:val="center"/>
          </w:tcPr>
          <w:p>
            <w:pPr>
              <w:rPr>
                <w:rFonts w:ascii="仿宋_GB2312" w:hAnsi="宋体" w:eastAsia="仿宋_GB2312"/>
                <w:color w:val="000000"/>
                <w:sz w:val="18"/>
                <w:szCs w:val="18"/>
              </w:rPr>
            </w:pP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635" w:type="dxa"/>
            <w:vMerge w:val="continue"/>
            <w:shd w:val="clear" w:color="auto" w:fill="auto"/>
            <w:noWrap w:val="0"/>
            <w:vAlign w:val="center"/>
          </w:tcPr>
          <w:p>
            <w:pPr>
              <w:rPr>
                <w:rFonts w:ascii="仿宋_GB2312" w:hAnsi="宋体" w:eastAsia="仿宋_GB2312"/>
                <w:color w:val="000000"/>
                <w:sz w:val="18"/>
                <w:szCs w:val="18"/>
              </w:rPr>
            </w:pP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60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《行政许可法》、《中医药法》、《医疗机构管理条例》、《国务院关于取消和下放50项行政审批项目等事项的决定》、《医疗机构管理条例实施细则》、《医疗美容服务管理办法》</w:t>
            </w: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rPr>
                <w:rFonts w:ascii="仿宋_GB2312" w:hAnsi="宋体" w:eastAsia="仿宋_GB2312"/>
                <w:color w:val="000000"/>
                <w:sz w:val="18"/>
                <w:szCs w:val="18"/>
              </w:rPr>
            </w:pPr>
          </w:p>
        </w:tc>
        <w:tc>
          <w:tcPr>
            <w:tcW w:w="606" w:type="dxa"/>
            <w:vMerge w:val="continue"/>
            <w:shd w:val="clear" w:color="auto" w:fill="auto"/>
            <w:noWrap w:val="0"/>
            <w:vAlign w:val="center"/>
          </w:tcPr>
          <w:p>
            <w:pPr>
              <w:rPr>
                <w:rFonts w:ascii="仿宋_GB2312" w:hAnsi="宋体" w:eastAsia="仿宋_GB2312"/>
                <w:color w:val="000000"/>
                <w:sz w:val="18"/>
                <w:szCs w:val="18"/>
              </w:rPr>
            </w:pPr>
          </w:p>
        </w:tc>
        <w:tc>
          <w:tcPr>
            <w:tcW w:w="825" w:type="dxa"/>
            <w:vMerge w:val="continue"/>
            <w:shd w:val="clear" w:color="auto" w:fill="auto"/>
            <w:noWrap w:val="0"/>
            <w:vAlign w:val="center"/>
          </w:tcPr>
          <w:p>
            <w:pPr>
              <w:rPr>
                <w:rFonts w:ascii="仿宋_GB2312" w:hAnsi="宋体" w:eastAsia="仿宋_GB2312"/>
                <w:color w:val="000000"/>
                <w:sz w:val="18"/>
                <w:szCs w:val="18"/>
              </w:rPr>
            </w:pP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1635" w:type="dxa"/>
            <w:vMerge w:val="continue"/>
            <w:shd w:val="clear" w:color="auto" w:fill="auto"/>
            <w:noWrap w:val="0"/>
            <w:vAlign w:val="center"/>
          </w:tcPr>
          <w:p>
            <w:pPr>
              <w:rPr>
                <w:rFonts w:ascii="仿宋_GB2312" w:hAnsi="宋体" w:eastAsia="仿宋_GB2312"/>
                <w:color w:val="000000"/>
                <w:sz w:val="18"/>
                <w:szCs w:val="18"/>
              </w:rPr>
            </w:pP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60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rPr>
                <w:rFonts w:ascii="仿宋_GB2312" w:hAnsi="宋体" w:eastAsia="仿宋_GB2312"/>
                <w:color w:val="000000"/>
                <w:sz w:val="18"/>
                <w:szCs w:val="18"/>
              </w:rPr>
            </w:pPr>
          </w:p>
        </w:tc>
        <w:tc>
          <w:tcPr>
            <w:tcW w:w="606" w:type="dxa"/>
            <w:vMerge w:val="continue"/>
            <w:shd w:val="clear" w:color="auto" w:fill="auto"/>
            <w:noWrap w:val="0"/>
            <w:vAlign w:val="center"/>
          </w:tcPr>
          <w:p>
            <w:pPr>
              <w:rPr>
                <w:rFonts w:ascii="仿宋_GB2312" w:hAnsi="宋体" w:eastAsia="仿宋_GB2312"/>
                <w:color w:val="000000"/>
                <w:sz w:val="18"/>
                <w:szCs w:val="18"/>
              </w:rPr>
            </w:pPr>
          </w:p>
        </w:tc>
        <w:tc>
          <w:tcPr>
            <w:tcW w:w="825" w:type="dxa"/>
            <w:vMerge w:val="continue"/>
            <w:shd w:val="clear" w:color="auto" w:fill="auto"/>
            <w:noWrap w:val="0"/>
            <w:vAlign w:val="center"/>
          </w:tcPr>
          <w:p>
            <w:pPr>
              <w:rPr>
                <w:rFonts w:ascii="仿宋_GB2312" w:hAnsi="宋体" w:eastAsia="仿宋_GB2312"/>
                <w:color w:val="000000"/>
                <w:sz w:val="18"/>
                <w:szCs w:val="18"/>
              </w:rPr>
            </w:pP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1635" w:type="dxa"/>
            <w:vMerge w:val="continue"/>
            <w:shd w:val="clear" w:color="auto" w:fill="auto"/>
            <w:noWrap w:val="0"/>
            <w:vAlign w:val="center"/>
          </w:tcPr>
          <w:p>
            <w:pPr>
              <w:rPr>
                <w:rFonts w:ascii="仿宋_GB2312" w:hAnsi="宋体" w:eastAsia="仿宋_GB2312"/>
                <w:color w:val="000000"/>
                <w:sz w:val="18"/>
                <w:szCs w:val="18"/>
              </w:rPr>
            </w:pP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606"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825" w:type="dxa"/>
            <w:vMerge w:val="restart"/>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《行政许可法》、《执业医师法》、《医师执业注册管理办法》</w:t>
            </w: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rPr>
                <w:rFonts w:ascii="仿宋_GB2312" w:hAnsi="宋体" w:eastAsia="仿宋_GB2312"/>
                <w:color w:val="000000"/>
                <w:sz w:val="18"/>
                <w:szCs w:val="18"/>
              </w:rPr>
            </w:pPr>
          </w:p>
        </w:tc>
        <w:tc>
          <w:tcPr>
            <w:tcW w:w="606" w:type="dxa"/>
            <w:vMerge w:val="continue"/>
            <w:shd w:val="clear" w:color="auto" w:fill="auto"/>
            <w:noWrap w:val="0"/>
            <w:vAlign w:val="center"/>
          </w:tcPr>
          <w:p>
            <w:pPr>
              <w:rPr>
                <w:rFonts w:ascii="仿宋_GB2312" w:hAnsi="宋体" w:eastAsia="仿宋_GB2312"/>
                <w:color w:val="000000"/>
                <w:sz w:val="18"/>
                <w:szCs w:val="18"/>
              </w:rPr>
            </w:pPr>
          </w:p>
        </w:tc>
        <w:tc>
          <w:tcPr>
            <w:tcW w:w="825" w:type="dxa"/>
            <w:vMerge w:val="continue"/>
            <w:shd w:val="clear" w:color="auto" w:fill="auto"/>
            <w:noWrap w:val="0"/>
            <w:vAlign w:val="center"/>
          </w:tcPr>
          <w:p>
            <w:pPr>
              <w:rPr>
                <w:rFonts w:ascii="仿宋_GB2312" w:hAnsi="宋体" w:eastAsia="仿宋_GB2312"/>
                <w:color w:val="000000"/>
                <w:sz w:val="18"/>
                <w:szCs w:val="18"/>
              </w:rPr>
            </w:pPr>
          </w:p>
        </w:tc>
        <w:tc>
          <w:tcPr>
            <w:tcW w:w="231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635" w:type="dxa"/>
            <w:vMerge w:val="continue"/>
            <w:shd w:val="clear" w:color="auto" w:fill="auto"/>
            <w:noWrap w:val="0"/>
            <w:vAlign w:val="center"/>
          </w:tcPr>
          <w:p>
            <w:pPr>
              <w:jc w:val="center"/>
              <w:rPr>
                <w:rFonts w:ascii="仿宋_GB2312" w:hAnsi="宋体" w:eastAsia="仿宋_GB2312"/>
                <w:color w:val="000000"/>
                <w:sz w:val="18"/>
                <w:szCs w:val="18"/>
              </w:rPr>
            </w:pPr>
          </w:p>
        </w:tc>
        <w:tc>
          <w:tcPr>
            <w:tcW w:w="93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60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231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930" w:type="dxa"/>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jc w:val="left"/>
              <w:rPr>
                <w:rFonts w:ascii="宋体" w:hAnsi="宋体" w:cs="宋体"/>
                <w:color w:val="000000"/>
                <w:kern w:val="0"/>
                <w:sz w:val="18"/>
                <w:szCs w:val="18"/>
              </w:rPr>
            </w:pPr>
          </w:p>
        </w:tc>
        <w:tc>
          <w:tcPr>
            <w:tcW w:w="606" w:type="dxa"/>
            <w:vMerge w:val="continue"/>
            <w:shd w:val="clear" w:color="auto" w:fill="auto"/>
            <w:noWrap w:val="0"/>
            <w:vAlign w:val="center"/>
          </w:tcPr>
          <w:p>
            <w:pPr>
              <w:widowControl/>
              <w:jc w:val="left"/>
              <w:rPr>
                <w:rFonts w:ascii="宋体" w:hAnsi="宋体" w:cs="宋体"/>
                <w:bCs/>
                <w:color w:val="000000"/>
                <w:kern w:val="0"/>
                <w:sz w:val="15"/>
                <w:szCs w:val="15"/>
              </w:rPr>
            </w:pPr>
          </w:p>
        </w:tc>
        <w:tc>
          <w:tcPr>
            <w:tcW w:w="825" w:type="dxa"/>
            <w:vMerge w:val="continue"/>
            <w:shd w:val="clear" w:color="auto" w:fill="auto"/>
            <w:noWrap w:val="0"/>
            <w:vAlign w:val="center"/>
          </w:tcPr>
          <w:p>
            <w:pPr>
              <w:widowControl/>
              <w:jc w:val="left"/>
              <w:rPr>
                <w:rFonts w:ascii="宋体" w:hAnsi="宋体" w:cs="宋体"/>
                <w:color w:val="000000"/>
                <w:kern w:val="0"/>
                <w:sz w:val="15"/>
                <w:szCs w:val="15"/>
              </w:rPr>
            </w:pPr>
          </w:p>
        </w:tc>
        <w:tc>
          <w:tcPr>
            <w:tcW w:w="231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635" w:type="dxa"/>
            <w:vMerge w:val="continue"/>
            <w:shd w:val="clear" w:color="auto" w:fill="auto"/>
            <w:noWrap w:val="0"/>
            <w:vAlign w:val="center"/>
          </w:tcPr>
          <w:p>
            <w:pPr>
              <w:widowControl/>
              <w:jc w:val="left"/>
              <w:rPr>
                <w:rFonts w:ascii="仿宋_GB2312" w:hAnsi="宋体" w:eastAsia="仿宋_GB2312"/>
                <w:color w:val="000000"/>
                <w:sz w:val="18"/>
                <w:szCs w:val="18"/>
              </w:rPr>
            </w:pPr>
          </w:p>
        </w:tc>
        <w:tc>
          <w:tcPr>
            <w:tcW w:w="930" w:type="dxa"/>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60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231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《行政许可法》、《传染病防治法》、《传染病防治法实施办法》、《国务院对确需保留的行政审批项目设定行政许可的决定》、《生活饮用水卫生监督管理办法》</w:t>
            </w:r>
          </w:p>
        </w:tc>
        <w:tc>
          <w:tcPr>
            <w:tcW w:w="930" w:type="dxa"/>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jc w:val="left"/>
              <w:rPr>
                <w:rFonts w:ascii="仿宋_GB2312" w:hAnsi="宋体" w:eastAsia="仿宋_GB2312"/>
                <w:color w:val="000000"/>
                <w:sz w:val="18"/>
                <w:szCs w:val="18"/>
              </w:rPr>
            </w:pPr>
          </w:p>
        </w:tc>
        <w:tc>
          <w:tcPr>
            <w:tcW w:w="606" w:type="dxa"/>
            <w:vMerge w:val="continue"/>
            <w:shd w:val="clear" w:color="auto" w:fill="auto"/>
            <w:noWrap w:val="0"/>
            <w:vAlign w:val="center"/>
          </w:tcPr>
          <w:p>
            <w:pPr>
              <w:widowControl/>
              <w:jc w:val="left"/>
              <w:rPr>
                <w:rFonts w:ascii="仿宋_GB2312" w:hAnsi="宋体" w:eastAsia="仿宋_GB2312"/>
                <w:color w:val="000000"/>
                <w:sz w:val="18"/>
                <w:szCs w:val="18"/>
              </w:rPr>
            </w:pPr>
          </w:p>
        </w:tc>
        <w:tc>
          <w:tcPr>
            <w:tcW w:w="825" w:type="dxa"/>
            <w:vMerge w:val="continue"/>
            <w:shd w:val="clear" w:color="auto" w:fill="auto"/>
            <w:noWrap w:val="0"/>
            <w:vAlign w:val="center"/>
          </w:tcPr>
          <w:p>
            <w:pPr>
              <w:widowControl/>
              <w:jc w:val="left"/>
              <w:rPr>
                <w:rFonts w:ascii="仿宋_GB2312" w:hAnsi="宋体" w:eastAsia="仿宋_GB2312"/>
                <w:color w:val="000000"/>
                <w:sz w:val="18"/>
                <w:szCs w:val="18"/>
              </w:rPr>
            </w:pPr>
          </w:p>
        </w:tc>
        <w:tc>
          <w:tcPr>
            <w:tcW w:w="231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635" w:type="dxa"/>
            <w:vMerge w:val="continue"/>
            <w:shd w:val="clear" w:color="auto" w:fill="auto"/>
            <w:noWrap w:val="0"/>
            <w:vAlign w:val="center"/>
          </w:tcPr>
          <w:p>
            <w:pPr>
              <w:widowControl/>
              <w:jc w:val="left"/>
              <w:rPr>
                <w:rFonts w:ascii="仿宋_GB2312" w:hAnsi="宋体" w:eastAsia="仿宋_GB2312"/>
                <w:color w:val="000000"/>
                <w:sz w:val="18"/>
                <w:szCs w:val="18"/>
              </w:rPr>
            </w:pPr>
          </w:p>
        </w:tc>
        <w:tc>
          <w:tcPr>
            <w:tcW w:w="930" w:type="dxa"/>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60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231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vMerge w:val="restart"/>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rPr>
                <w:rFonts w:ascii="仿宋_GB2312" w:hAnsi="宋体" w:eastAsia="仿宋_GB2312"/>
                <w:color w:val="000000"/>
                <w:sz w:val="18"/>
                <w:szCs w:val="18"/>
              </w:rPr>
            </w:pPr>
          </w:p>
        </w:tc>
        <w:tc>
          <w:tcPr>
            <w:tcW w:w="606" w:type="dxa"/>
            <w:vMerge w:val="continue"/>
            <w:shd w:val="clear" w:color="auto" w:fill="auto"/>
            <w:noWrap w:val="0"/>
            <w:vAlign w:val="center"/>
          </w:tcPr>
          <w:p>
            <w:pPr>
              <w:widowControl/>
              <w:rPr>
                <w:rFonts w:ascii="仿宋_GB2312" w:hAnsi="宋体" w:eastAsia="仿宋_GB2312"/>
                <w:color w:val="000000"/>
                <w:sz w:val="18"/>
                <w:szCs w:val="18"/>
              </w:rPr>
            </w:pPr>
          </w:p>
        </w:tc>
        <w:tc>
          <w:tcPr>
            <w:tcW w:w="825" w:type="dxa"/>
            <w:vMerge w:val="continue"/>
            <w:shd w:val="clear" w:color="auto" w:fill="auto"/>
            <w:noWrap w:val="0"/>
            <w:vAlign w:val="center"/>
          </w:tcPr>
          <w:p>
            <w:pPr>
              <w:widowControl/>
              <w:rPr>
                <w:rFonts w:ascii="仿宋_GB2312" w:hAnsi="宋体" w:eastAsia="仿宋_GB2312"/>
                <w:color w:val="000000"/>
                <w:sz w:val="18"/>
                <w:szCs w:val="18"/>
              </w:rPr>
            </w:pPr>
          </w:p>
        </w:tc>
        <w:tc>
          <w:tcPr>
            <w:tcW w:w="231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635" w:type="dxa"/>
            <w:vMerge w:val="continue"/>
            <w:shd w:val="clear" w:color="auto" w:fill="auto"/>
            <w:noWrap w:val="0"/>
            <w:vAlign w:val="center"/>
          </w:tcPr>
          <w:p>
            <w:pPr>
              <w:widowControl/>
              <w:rPr>
                <w:rFonts w:ascii="仿宋_GB2312" w:hAnsi="宋体" w:eastAsia="仿宋_GB2312"/>
                <w:color w:val="000000"/>
                <w:sz w:val="18"/>
                <w:szCs w:val="18"/>
              </w:rPr>
            </w:pP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1170"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450" w:type="dxa"/>
            <w:shd w:val="clear" w:color="auto" w:fill="auto"/>
            <w:noWrap w:val="0"/>
            <w:vAlign w:val="center"/>
          </w:tcPr>
          <w:p>
            <w:pPr>
              <w:widowControl/>
              <w:rPr>
                <w:rFonts w:hint="eastAsia" w:ascii="仿宋_GB2312" w:hAnsi="宋体" w:eastAsia="仿宋_GB2312"/>
                <w:color w:val="000000"/>
                <w:sz w:val="18"/>
                <w:szCs w:val="18"/>
              </w:rPr>
            </w:pPr>
          </w:p>
        </w:tc>
        <w:tc>
          <w:tcPr>
            <w:tcW w:w="465" w:type="dxa"/>
            <w:shd w:val="clear" w:color="auto" w:fill="auto"/>
            <w:noWrap w:val="0"/>
            <w:vAlign w:val="center"/>
          </w:tcPr>
          <w:p>
            <w:pPr>
              <w:widowControl/>
              <w:rPr>
                <w:rFonts w:hint="eastAsia" w:ascii="仿宋_GB2312" w:hAnsi="宋体" w:eastAsia="仿宋_GB2312"/>
                <w:color w:val="000000"/>
                <w:sz w:val="18"/>
                <w:szCs w:val="18"/>
              </w:rPr>
            </w:pPr>
          </w:p>
        </w:tc>
        <w:tc>
          <w:tcPr>
            <w:tcW w:w="495" w:type="dxa"/>
            <w:shd w:val="clear" w:color="auto" w:fill="auto"/>
            <w:noWrap w:val="0"/>
            <w:vAlign w:val="center"/>
          </w:tcPr>
          <w:p>
            <w:pPr>
              <w:widowControl/>
              <w:rPr>
                <w:rFonts w:hint="eastAsia" w:ascii="仿宋_GB2312" w:hAnsi="宋体" w:eastAsia="仿宋_GB2312"/>
                <w:color w:val="000000"/>
                <w:sz w:val="18"/>
                <w:szCs w:val="18"/>
              </w:rPr>
            </w:pPr>
          </w:p>
        </w:tc>
        <w:tc>
          <w:tcPr>
            <w:tcW w:w="465" w:type="dxa"/>
            <w:shd w:val="clear" w:color="auto" w:fill="auto"/>
            <w:noWrap w:val="0"/>
            <w:vAlign w:val="center"/>
          </w:tcPr>
          <w:p>
            <w:pPr>
              <w:widowControl/>
              <w:rPr>
                <w:rFonts w:hint="eastAsia" w:ascii="仿宋_GB2312" w:hAnsi="宋体" w:eastAsia="仿宋_GB2312"/>
                <w:color w:val="000000"/>
                <w:sz w:val="18"/>
                <w:szCs w:val="18"/>
              </w:rPr>
            </w:pPr>
          </w:p>
        </w:tc>
        <w:tc>
          <w:tcPr>
            <w:tcW w:w="540" w:type="dxa"/>
            <w:shd w:val="clear" w:color="auto" w:fill="auto"/>
            <w:noWrap w:val="0"/>
            <w:vAlign w:val="center"/>
          </w:tcPr>
          <w:p>
            <w:pPr>
              <w:widowControl/>
              <w:rPr>
                <w:rFonts w:hint="eastAsia" w:ascii="仿宋_GB2312" w:hAnsi="宋体" w:eastAsia="仿宋_GB2312"/>
                <w:color w:val="000000"/>
                <w:sz w:val="18"/>
                <w:szCs w:val="18"/>
              </w:rPr>
            </w:pPr>
          </w:p>
        </w:tc>
        <w:tc>
          <w:tcPr>
            <w:tcW w:w="495" w:type="dxa"/>
            <w:shd w:val="clear" w:color="auto" w:fill="auto"/>
            <w:noWrap w:val="0"/>
            <w:vAlign w:val="center"/>
          </w:tcPr>
          <w:p>
            <w:pPr>
              <w:widowControl/>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60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231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vMerge w:val="restart"/>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rPr>
                <w:rFonts w:ascii="仿宋_GB2312" w:hAnsi="宋体" w:eastAsia="仿宋_GB2312"/>
                <w:color w:val="000000"/>
                <w:sz w:val="18"/>
                <w:szCs w:val="18"/>
              </w:rPr>
            </w:pPr>
          </w:p>
        </w:tc>
        <w:tc>
          <w:tcPr>
            <w:tcW w:w="606" w:type="dxa"/>
            <w:vMerge w:val="continue"/>
            <w:shd w:val="clear" w:color="auto" w:fill="auto"/>
            <w:noWrap w:val="0"/>
            <w:vAlign w:val="center"/>
          </w:tcPr>
          <w:p>
            <w:pPr>
              <w:widowControl/>
              <w:rPr>
                <w:rFonts w:ascii="仿宋_GB2312" w:hAnsi="宋体" w:eastAsia="仿宋_GB2312"/>
                <w:color w:val="000000"/>
                <w:sz w:val="18"/>
                <w:szCs w:val="18"/>
              </w:rPr>
            </w:pPr>
          </w:p>
        </w:tc>
        <w:tc>
          <w:tcPr>
            <w:tcW w:w="825" w:type="dxa"/>
            <w:vMerge w:val="continue"/>
            <w:shd w:val="clear" w:color="auto" w:fill="auto"/>
            <w:noWrap w:val="0"/>
            <w:vAlign w:val="center"/>
          </w:tcPr>
          <w:p>
            <w:pPr>
              <w:widowControl/>
              <w:rPr>
                <w:rFonts w:ascii="仿宋_GB2312" w:hAnsi="宋体" w:eastAsia="仿宋_GB2312"/>
                <w:color w:val="000000"/>
                <w:sz w:val="18"/>
                <w:szCs w:val="18"/>
              </w:rPr>
            </w:pPr>
          </w:p>
        </w:tc>
        <w:tc>
          <w:tcPr>
            <w:tcW w:w="231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1635" w:type="dxa"/>
            <w:vMerge w:val="continue"/>
            <w:shd w:val="clear" w:color="auto" w:fill="auto"/>
            <w:noWrap w:val="0"/>
            <w:vAlign w:val="center"/>
          </w:tcPr>
          <w:p>
            <w:pPr>
              <w:widowControl/>
              <w:rPr>
                <w:rFonts w:ascii="仿宋_GB2312" w:hAnsi="宋体" w:eastAsia="仿宋_GB2312"/>
                <w:color w:val="000000"/>
                <w:sz w:val="18"/>
                <w:szCs w:val="18"/>
              </w:rPr>
            </w:pP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1170"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60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82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231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63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vMerge w:val="restart"/>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rPr>
                <w:rFonts w:ascii="仿宋_GB2312" w:hAnsi="宋体" w:eastAsia="仿宋_GB2312"/>
                <w:color w:val="000000"/>
                <w:sz w:val="18"/>
                <w:szCs w:val="18"/>
              </w:rPr>
            </w:pPr>
          </w:p>
        </w:tc>
        <w:tc>
          <w:tcPr>
            <w:tcW w:w="606" w:type="dxa"/>
            <w:vMerge w:val="continue"/>
            <w:shd w:val="clear" w:color="auto" w:fill="auto"/>
            <w:noWrap w:val="0"/>
            <w:vAlign w:val="center"/>
          </w:tcPr>
          <w:p>
            <w:pPr>
              <w:widowControl/>
              <w:rPr>
                <w:rFonts w:ascii="仿宋_GB2312" w:hAnsi="宋体" w:eastAsia="仿宋_GB2312"/>
                <w:color w:val="000000"/>
                <w:sz w:val="18"/>
                <w:szCs w:val="18"/>
              </w:rPr>
            </w:pPr>
          </w:p>
        </w:tc>
        <w:tc>
          <w:tcPr>
            <w:tcW w:w="825" w:type="dxa"/>
            <w:vMerge w:val="continue"/>
            <w:shd w:val="clear" w:color="auto" w:fill="auto"/>
            <w:noWrap w:val="0"/>
            <w:vAlign w:val="center"/>
          </w:tcPr>
          <w:p>
            <w:pPr>
              <w:widowControl/>
              <w:rPr>
                <w:rFonts w:ascii="仿宋_GB2312" w:hAnsi="宋体" w:eastAsia="仿宋_GB2312"/>
                <w:color w:val="000000"/>
                <w:sz w:val="18"/>
                <w:szCs w:val="18"/>
              </w:rPr>
            </w:pPr>
          </w:p>
        </w:tc>
        <w:tc>
          <w:tcPr>
            <w:tcW w:w="231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635" w:type="dxa"/>
            <w:vMerge w:val="continue"/>
            <w:shd w:val="clear" w:color="auto" w:fill="auto"/>
            <w:noWrap w:val="0"/>
            <w:vAlign w:val="center"/>
          </w:tcPr>
          <w:p>
            <w:pPr>
              <w:widowControl/>
              <w:rPr>
                <w:rFonts w:ascii="仿宋_GB2312" w:hAnsi="宋体" w:eastAsia="仿宋_GB2312"/>
                <w:color w:val="000000"/>
                <w:sz w:val="18"/>
                <w:szCs w:val="18"/>
              </w:rPr>
            </w:pP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1170"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60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82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对不符合规定条件的医疗机构擅自从事精神障碍诊断、治疗的处罚</w:t>
            </w:r>
          </w:p>
        </w:tc>
        <w:tc>
          <w:tcPr>
            <w:tcW w:w="231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63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《行政处罚法》、《精神卫生法》、《卫生行政处罚程序》</w:t>
            </w:r>
          </w:p>
        </w:tc>
        <w:tc>
          <w:tcPr>
            <w:tcW w:w="930" w:type="dxa"/>
            <w:vMerge w:val="restart"/>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p>
        </w:tc>
        <w:tc>
          <w:tcPr>
            <w:tcW w:w="117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rPr>
                <w:rFonts w:ascii="仿宋_GB2312" w:hAnsi="宋体" w:eastAsia="仿宋_GB2312"/>
                <w:color w:val="000000"/>
                <w:sz w:val="18"/>
                <w:szCs w:val="18"/>
              </w:rPr>
            </w:pPr>
          </w:p>
        </w:tc>
        <w:tc>
          <w:tcPr>
            <w:tcW w:w="606" w:type="dxa"/>
            <w:vMerge w:val="continue"/>
            <w:shd w:val="clear" w:color="auto" w:fill="auto"/>
            <w:noWrap w:val="0"/>
            <w:vAlign w:val="center"/>
          </w:tcPr>
          <w:p>
            <w:pPr>
              <w:widowControl/>
              <w:rPr>
                <w:rFonts w:ascii="仿宋_GB2312" w:hAnsi="宋体" w:eastAsia="仿宋_GB2312"/>
                <w:color w:val="000000"/>
                <w:sz w:val="18"/>
                <w:szCs w:val="18"/>
              </w:rPr>
            </w:pPr>
          </w:p>
        </w:tc>
        <w:tc>
          <w:tcPr>
            <w:tcW w:w="825" w:type="dxa"/>
            <w:vMerge w:val="continue"/>
            <w:shd w:val="clear" w:color="auto" w:fill="auto"/>
            <w:noWrap w:val="0"/>
            <w:vAlign w:val="center"/>
          </w:tcPr>
          <w:p>
            <w:pPr>
              <w:widowControl/>
              <w:rPr>
                <w:rFonts w:ascii="仿宋_GB2312" w:hAnsi="宋体" w:eastAsia="仿宋_GB2312"/>
                <w:color w:val="000000"/>
                <w:sz w:val="18"/>
                <w:szCs w:val="18"/>
              </w:rPr>
            </w:pPr>
          </w:p>
        </w:tc>
        <w:tc>
          <w:tcPr>
            <w:tcW w:w="231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635" w:type="dxa"/>
            <w:vMerge w:val="continue"/>
            <w:shd w:val="clear" w:color="auto" w:fill="auto"/>
            <w:noWrap w:val="0"/>
            <w:vAlign w:val="center"/>
          </w:tcPr>
          <w:p>
            <w:pPr>
              <w:widowControl/>
              <w:rPr>
                <w:rFonts w:ascii="仿宋_GB2312" w:hAnsi="宋体" w:eastAsia="仿宋_GB2312"/>
                <w:color w:val="000000"/>
                <w:sz w:val="18"/>
                <w:szCs w:val="18"/>
              </w:rPr>
            </w:pPr>
          </w:p>
        </w:tc>
        <w:tc>
          <w:tcPr>
            <w:tcW w:w="930"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765"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1170" w:type="dxa"/>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450" w:type="dxa"/>
            <w:shd w:val="clear" w:color="auto" w:fill="auto"/>
            <w:noWrap w:val="0"/>
            <w:vAlign w:val="center"/>
          </w:tcPr>
          <w:p>
            <w:pPr>
              <w:widowControl/>
              <w:jc w:val="center"/>
              <w:rPr>
                <w:rFonts w:ascii="仿宋_GB2312" w:hAnsi="宋体" w:eastAsia="仿宋_GB2312"/>
                <w:color w:val="000000"/>
                <w:sz w:val="18"/>
                <w:szCs w:val="18"/>
              </w:rPr>
            </w:pP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rPr>
                <w:rFonts w:ascii="仿宋_GB2312" w:hAnsi="宋体" w:eastAsia="仿宋_GB2312"/>
                <w:color w:val="000000"/>
                <w:sz w:val="18"/>
                <w:szCs w:val="18"/>
              </w:rPr>
            </w:pPr>
          </w:p>
        </w:tc>
        <w:tc>
          <w:tcPr>
            <w:tcW w:w="606" w:type="dxa"/>
            <w:vMerge w:val="continue"/>
            <w:shd w:val="clear" w:color="auto" w:fill="auto"/>
            <w:noWrap w:val="0"/>
            <w:vAlign w:val="center"/>
          </w:tcPr>
          <w:p>
            <w:pPr>
              <w:widowControl/>
              <w:rPr>
                <w:rFonts w:ascii="仿宋_GB2312" w:hAnsi="宋体" w:eastAsia="仿宋_GB2312"/>
                <w:color w:val="000000"/>
                <w:sz w:val="18"/>
                <w:szCs w:val="18"/>
              </w:rPr>
            </w:pPr>
          </w:p>
        </w:tc>
        <w:tc>
          <w:tcPr>
            <w:tcW w:w="825" w:type="dxa"/>
            <w:vMerge w:val="continue"/>
            <w:shd w:val="clear" w:color="auto" w:fill="auto"/>
            <w:noWrap w:val="0"/>
            <w:vAlign w:val="center"/>
          </w:tcPr>
          <w:p>
            <w:pPr>
              <w:widowControl/>
              <w:rPr>
                <w:rFonts w:ascii="仿宋_GB2312" w:hAnsi="宋体" w:eastAsia="仿宋_GB2312"/>
                <w:color w:val="000000"/>
                <w:sz w:val="18"/>
                <w:szCs w:val="18"/>
              </w:rPr>
            </w:pPr>
          </w:p>
        </w:tc>
        <w:tc>
          <w:tcPr>
            <w:tcW w:w="231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635" w:type="dxa"/>
            <w:vMerge w:val="continue"/>
            <w:shd w:val="clear" w:color="auto" w:fill="auto"/>
            <w:noWrap w:val="0"/>
            <w:vAlign w:val="center"/>
          </w:tcPr>
          <w:p>
            <w:pPr>
              <w:widowControl/>
              <w:rPr>
                <w:rFonts w:ascii="仿宋_GB2312" w:hAnsi="宋体" w:eastAsia="仿宋_GB2312"/>
                <w:color w:val="000000"/>
                <w:sz w:val="18"/>
                <w:szCs w:val="18"/>
              </w:rPr>
            </w:pP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117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606" w:type="dxa"/>
            <w:vMerge w:val="restart"/>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82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2310" w:type="dxa"/>
            <w:shd w:val="clear" w:color="auto" w:fill="auto"/>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635" w:type="dxa"/>
            <w:vMerge w:val="restart"/>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《行政处罚法》、《精神卫生法》、《卫生行政处罚程序》</w:t>
            </w:r>
          </w:p>
        </w:tc>
        <w:tc>
          <w:tcPr>
            <w:tcW w:w="930" w:type="dxa"/>
            <w:vMerge w:val="restart"/>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65" w:type="dxa"/>
            <w:vMerge w:val="restart"/>
            <w:shd w:val="clear" w:color="auto" w:fill="auto"/>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隆林各族自治县</w:t>
            </w:r>
            <w:r>
              <w:rPr>
                <w:rFonts w:hint="eastAsia" w:ascii="仿宋_GB2312" w:hAnsi="宋体" w:eastAsia="仿宋_GB2312"/>
                <w:color w:val="000000"/>
                <w:sz w:val="18"/>
                <w:szCs w:val="18"/>
              </w:rPr>
              <w:t>卫生健康</w:t>
            </w:r>
            <w:r>
              <w:rPr>
                <w:rFonts w:hint="eastAsia" w:ascii="仿宋_GB2312" w:hAnsi="宋体" w:eastAsia="仿宋_GB2312"/>
                <w:color w:val="000000"/>
                <w:sz w:val="18"/>
                <w:szCs w:val="18"/>
                <w:lang w:eastAsia="zh-CN"/>
              </w:rPr>
              <w:t>局</w:t>
            </w:r>
            <w:bookmarkStart w:id="1" w:name="_GoBack"/>
            <w:bookmarkEnd w:id="1"/>
          </w:p>
        </w:tc>
        <w:tc>
          <w:tcPr>
            <w:tcW w:w="117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rPr>
                <w:rFonts w:ascii="仿宋_GB2312" w:hAnsi="宋体" w:eastAsia="仿宋_GB2312"/>
                <w:color w:val="000000"/>
                <w:sz w:val="18"/>
                <w:szCs w:val="18"/>
              </w:rPr>
            </w:pPr>
          </w:p>
        </w:tc>
        <w:tc>
          <w:tcPr>
            <w:tcW w:w="606" w:type="dxa"/>
            <w:vMerge w:val="continue"/>
            <w:shd w:val="clear" w:color="auto" w:fill="auto"/>
            <w:noWrap w:val="0"/>
            <w:vAlign w:val="center"/>
          </w:tcPr>
          <w:p>
            <w:pPr>
              <w:widowControl/>
              <w:rPr>
                <w:rFonts w:ascii="仿宋_GB2312" w:hAnsi="宋体" w:eastAsia="仿宋_GB2312"/>
                <w:color w:val="000000"/>
                <w:sz w:val="18"/>
                <w:szCs w:val="18"/>
              </w:rPr>
            </w:pPr>
          </w:p>
        </w:tc>
        <w:tc>
          <w:tcPr>
            <w:tcW w:w="825" w:type="dxa"/>
            <w:vMerge w:val="continue"/>
            <w:shd w:val="clear" w:color="auto" w:fill="auto"/>
            <w:noWrap w:val="0"/>
            <w:vAlign w:val="center"/>
          </w:tcPr>
          <w:p>
            <w:pPr>
              <w:widowControl/>
              <w:rPr>
                <w:rFonts w:ascii="仿宋_GB2312" w:hAnsi="宋体" w:eastAsia="仿宋_GB2312"/>
                <w:color w:val="000000"/>
                <w:sz w:val="18"/>
                <w:szCs w:val="18"/>
              </w:rPr>
            </w:pPr>
          </w:p>
        </w:tc>
        <w:tc>
          <w:tcPr>
            <w:tcW w:w="231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635" w:type="dxa"/>
            <w:vMerge w:val="continue"/>
            <w:shd w:val="clear" w:color="auto" w:fill="auto"/>
            <w:noWrap w:val="0"/>
            <w:vAlign w:val="center"/>
          </w:tcPr>
          <w:p>
            <w:pPr>
              <w:widowControl/>
              <w:rPr>
                <w:rFonts w:ascii="仿宋_GB2312" w:hAnsi="宋体" w:eastAsia="仿宋_GB2312"/>
                <w:color w:val="000000"/>
                <w:sz w:val="18"/>
                <w:szCs w:val="18"/>
              </w:rPr>
            </w:pPr>
          </w:p>
        </w:tc>
        <w:tc>
          <w:tcPr>
            <w:tcW w:w="930"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765"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1170" w:type="dxa"/>
            <w:shd w:val="clear" w:color="auto" w:fill="auto"/>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450" w:type="dxa"/>
            <w:shd w:val="clear" w:color="auto" w:fill="auto"/>
            <w:noWrap w:val="0"/>
            <w:vAlign w:val="center"/>
          </w:tcPr>
          <w:p>
            <w:pPr>
              <w:widowControl/>
              <w:jc w:val="center"/>
              <w:rPr>
                <w:rFonts w:ascii="仿宋_GB2312" w:hAnsi="宋体" w:eastAsia="仿宋_GB2312"/>
                <w:color w:val="000000"/>
                <w:sz w:val="18"/>
                <w:szCs w:val="18"/>
              </w:rPr>
            </w:pP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6" w:type="dxa"/>
            <w:vMerge w:val="continue"/>
            <w:shd w:val="clear" w:color="auto" w:fill="auto"/>
            <w:noWrap w:val="0"/>
            <w:vAlign w:val="center"/>
          </w:tcPr>
          <w:p>
            <w:pPr>
              <w:widowControl/>
              <w:rPr>
                <w:rFonts w:ascii="仿宋_GB2312" w:hAnsi="宋体" w:eastAsia="仿宋_GB2312"/>
                <w:color w:val="000000"/>
                <w:sz w:val="18"/>
                <w:szCs w:val="18"/>
              </w:rPr>
            </w:pPr>
          </w:p>
        </w:tc>
        <w:tc>
          <w:tcPr>
            <w:tcW w:w="606" w:type="dxa"/>
            <w:vMerge w:val="continue"/>
            <w:shd w:val="clear" w:color="auto" w:fill="auto"/>
            <w:noWrap w:val="0"/>
            <w:vAlign w:val="center"/>
          </w:tcPr>
          <w:p>
            <w:pPr>
              <w:widowControl/>
              <w:rPr>
                <w:rFonts w:ascii="仿宋_GB2312" w:hAnsi="宋体" w:eastAsia="仿宋_GB2312"/>
                <w:color w:val="000000"/>
                <w:sz w:val="18"/>
                <w:szCs w:val="18"/>
              </w:rPr>
            </w:pPr>
          </w:p>
        </w:tc>
        <w:tc>
          <w:tcPr>
            <w:tcW w:w="825" w:type="dxa"/>
            <w:vMerge w:val="continue"/>
            <w:shd w:val="clear" w:color="auto" w:fill="auto"/>
            <w:noWrap w:val="0"/>
            <w:vAlign w:val="center"/>
          </w:tcPr>
          <w:p>
            <w:pPr>
              <w:widowControl/>
              <w:rPr>
                <w:rFonts w:ascii="仿宋_GB2312" w:hAnsi="宋体" w:eastAsia="仿宋_GB2312"/>
                <w:color w:val="000000"/>
                <w:sz w:val="18"/>
                <w:szCs w:val="18"/>
              </w:rPr>
            </w:pPr>
          </w:p>
        </w:tc>
        <w:tc>
          <w:tcPr>
            <w:tcW w:w="231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635" w:type="dxa"/>
            <w:vMerge w:val="continue"/>
            <w:shd w:val="clear" w:color="auto" w:fill="auto"/>
            <w:noWrap w:val="0"/>
            <w:vAlign w:val="center"/>
          </w:tcPr>
          <w:p>
            <w:pPr>
              <w:widowControl/>
              <w:rPr>
                <w:rFonts w:ascii="仿宋_GB2312" w:hAnsi="宋体" w:eastAsia="仿宋_GB2312"/>
                <w:color w:val="000000"/>
                <w:sz w:val="18"/>
                <w:szCs w:val="18"/>
              </w:rPr>
            </w:pPr>
          </w:p>
        </w:tc>
        <w:tc>
          <w:tcPr>
            <w:tcW w:w="93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65" w:type="dxa"/>
            <w:vMerge w:val="continue"/>
            <w:shd w:val="clear" w:color="auto" w:fill="auto"/>
            <w:noWrap w:val="0"/>
            <w:vAlign w:val="center"/>
          </w:tcPr>
          <w:p>
            <w:pPr>
              <w:widowControl/>
              <w:rPr>
                <w:rFonts w:hint="eastAsia" w:ascii="仿宋_GB2312" w:hAnsi="宋体" w:eastAsia="仿宋_GB2312"/>
                <w:color w:val="000000"/>
                <w:sz w:val="18"/>
                <w:szCs w:val="18"/>
              </w:rPr>
            </w:pPr>
          </w:p>
        </w:tc>
        <w:tc>
          <w:tcPr>
            <w:tcW w:w="1170" w:type="dxa"/>
            <w:shd w:val="clear" w:color="auto" w:fill="auto"/>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45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6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95" w:type="dxa"/>
            <w:shd w:val="clear" w:color="auto" w:fill="auto"/>
            <w:noWrap w:val="0"/>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F5DFA"/>
    <w:rsid w:val="49CB3DB5"/>
    <w:rsid w:val="6FA4705F"/>
    <w:rsid w:val="72D64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2020-11-05T07:29:00Z</dcterms:created>
  <dc:creator>Administrator</dc:creator>
  <cp:lastModifiedBy>嗐蟲</cp:lastModifiedBy>
  <dcterms:modified xsi:type="dcterms:W3CDTF">2020-11-20T07:43:33Z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