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_GBK" w:eastAsia="方正小标宋_GBK"/>
          <w:sz w:val="44"/>
          <w:szCs w:val="44"/>
        </w:rPr>
      </w:pPr>
      <w:bookmarkStart w:id="0" w:name="_Toc24724724"/>
      <w:r>
        <w:rPr>
          <w:rFonts w:hAnsi="方正黑体_GBK" w:eastAsia="方正黑体_GBK"/>
          <w:snapToGrid w:val="0"/>
          <w:kern w:val="21"/>
          <w:sz w:val="32"/>
          <w:szCs w:val="32"/>
        </w:rPr>
        <w:t>附件</w:t>
      </w:r>
      <w:r>
        <w:rPr>
          <w:rFonts w:eastAsia="方正黑体_GBK"/>
          <w:snapToGrid w:val="0"/>
          <w:kern w:val="21"/>
          <w:sz w:val="32"/>
          <w:szCs w:val="32"/>
        </w:rPr>
        <w:t>3</w:t>
      </w:r>
    </w:p>
    <w:p>
      <w:pPr>
        <w:jc w:val="center"/>
        <w:rPr>
          <w:rFonts w:hint="eastAsia" w:ascii="方正小标宋_GBK" w:eastAsia="方正小标宋_GBK"/>
          <w:sz w:val="44"/>
          <w:szCs w:val="44"/>
        </w:rPr>
      </w:pPr>
      <w:r>
        <w:rPr>
          <w:rFonts w:hint="eastAsia" w:ascii="方正小标宋_GBK" w:eastAsia="方正小标宋_GBK"/>
          <w:sz w:val="44"/>
          <w:szCs w:val="44"/>
        </w:rPr>
        <w:t>卫生健康领域基层政务公开标准目录</w:t>
      </w:r>
      <w:bookmarkEnd w:id="0"/>
    </w:p>
    <w:p>
      <w:pPr>
        <w:jc w:val="both"/>
        <w:rPr>
          <w:rFonts w:hint="eastAsia" w:ascii="方正小标宋_GBK" w:eastAsia="方正小标宋_GBK"/>
          <w:sz w:val="24"/>
          <w:szCs w:val="24"/>
          <w:lang w:val="en-US" w:eastAsia="zh-CN"/>
        </w:rPr>
      </w:pPr>
      <w:r>
        <w:rPr>
          <w:rFonts w:hint="eastAsia" w:ascii="方正小标宋_GBK" w:eastAsia="方正小标宋_GBK"/>
          <w:sz w:val="24"/>
          <w:szCs w:val="24"/>
          <w:lang w:val="en-US" w:eastAsia="zh-CN"/>
        </w:rPr>
        <w:t>单位：桂林市叠彩区卫生健康局</w:t>
      </w:r>
    </w:p>
    <w:tbl>
      <w:tblPr>
        <w:tblStyle w:val="3"/>
        <w:tblW w:w="155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188"/>
        <w:gridCol w:w="4140"/>
        <w:gridCol w:w="1800"/>
        <w:gridCol w:w="1440"/>
        <w:gridCol w:w="720"/>
        <w:gridCol w:w="1080"/>
        <w:gridCol w:w="720"/>
        <w:gridCol w:w="720"/>
        <w:gridCol w:w="596"/>
        <w:gridCol w:w="720"/>
        <w:gridCol w:w="540"/>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jc w:val="center"/>
              <w:rPr>
                <w:color w:val="000000"/>
                <w:kern w:val="0"/>
                <w:sz w:val="22"/>
              </w:rPr>
            </w:pPr>
            <w:r>
              <w:rPr>
                <w:rFonts w:hAnsi="宋体"/>
                <w:color w:val="000000"/>
                <w:kern w:val="0"/>
                <w:sz w:val="22"/>
              </w:rPr>
              <w:t>序号</w:t>
            </w:r>
          </w:p>
        </w:tc>
        <w:tc>
          <w:tcPr>
            <w:tcW w:w="1908"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4140"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0" w:type="dxa"/>
            <w:vMerge w:val="restart"/>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080" w:type="dxa"/>
            <w:vMerge w:val="restart"/>
            <w:vAlign w:val="center"/>
          </w:tcPr>
          <w:p>
            <w:pPr>
              <w:widowControl/>
              <w:spacing w:line="240" w:lineRule="exact"/>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316"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jc w:val="left"/>
              <w:rPr>
                <w:color w:val="000000"/>
                <w:kern w:val="0"/>
                <w:sz w:val="22"/>
              </w:rPr>
            </w:pP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188"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4140" w:type="dxa"/>
            <w:vMerge w:val="continue"/>
            <w:vAlign w:val="center"/>
          </w:tcPr>
          <w:p>
            <w:pPr>
              <w:widowControl/>
              <w:spacing w:line="240" w:lineRule="exact"/>
              <w:jc w:val="left"/>
              <w:rPr>
                <w:rFonts w:ascii="黑体" w:hAnsi="宋体" w:eastAsia="黑体" w:cs="宋体"/>
                <w:color w:val="000000"/>
                <w:kern w:val="0"/>
                <w:sz w:val="22"/>
              </w:rPr>
            </w:pPr>
          </w:p>
        </w:tc>
        <w:tc>
          <w:tcPr>
            <w:tcW w:w="1800" w:type="dxa"/>
            <w:vMerge w:val="continue"/>
            <w:vAlign w:val="center"/>
          </w:tcPr>
          <w:p>
            <w:pPr>
              <w:widowControl/>
              <w:spacing w:line="240" w:lineRule="exact"/>
              <w:jc w:val="left"/>
              <w:rPr>
                <w:rFonts w:ascii="黑体" w:hAnsi="宋体" w:eastAsia="黑体" w:cs="宋体"/>
                <w:color w:val="000000"/>
                <w:kern w:val="0"/>
                <w:sz w:val="22"/>
              </w:rPr>
            </w:pPr>
          </w:p>
        </w:tc>
        <w:tc>
          <w:tcPr>
            <w:tcW w:w="1440" w:type="dxa"/>
            <w:vMerge w:val="continue"/>
            <w:vAlign w:val="center"/>
          </w:tcPr>
          <w:p>
            <w:pPr>
              <w:widowControl/>
              <w:spacing w:line="240" w:lineRule="exact"/>
              <w:jc w:val="left"/>
              <w:rPr>
                <w:rFonts w:ascii="黑体" w:hAnsi="宋体" w:eastAsia="黑体" w:cs="宋体"/>
                <w:color w:val="000000"/>
                <w:kern w:val="0"/>
                <w:sz w:val="22"/>
              </w:rPr>
            </w:pPr>
          </w:p>
        </w:tc>
        <w:tc>
          <w:tcPr>
            <w:tcW w:w="720" w:type="dxa"/>
            <w:vMerge w:val="continue"/>
            <w:vAlign w:val="center"/>
          </w:tcPr>
          <w:p>
            <w:pPr>
              <w:widowControl/>
              <w:spacing w:line="240" w:lineRule="exact"/>
              <w:jc w:val="left"/>
              <w:rPr>
                <w:rFonts w:ascii="黑体" w:hAnsi="宋体" w:eastAsia="黑体" w:cs="宋体"/>
                <w:color w:val="000000"/>
                <w:kern w:val="0"/>
                <w:sz w:val="22"/>
              </w:rPr>
            </w:pPr>
          </w:p>
        </w:tc>
        <w:tc>
          <w:tcPr>
            <w:tcW w:w="1080" w:type="dxa"/>
            <w:vMerge w:val="continue"/>
            <w:vAlign w:val="center"/>
          </w:tcPr>
          <w:p>
            <w:pPr>
              <w:widowControl/>
              <w:spacing w:line="240" w:lineRule="exact"/>
              <w:jc w:val="left"/>
              <w:rPr>
                <w:rFonts w:ascii="黑体" w:hAnsi="宋体" w:eastAsia="黑体" w:cs="宋体"/>
                <w:kern w:val="0"/>
                <w:sz w:val="22"/>
              </w:rPr>
            </w:pP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lang w:eastAsia="zh-CN"/>
              </w:rPr>
              <w:t>区</w:t>
            </w:r>
            <w:r>
              <w:rPr>
                <w:rFonts w:hint="eastAsia" w:ascii="黑体" w:hAnsi="宋体" w:eastAsia="黑体" w:cs="宋体"/>
                <w:color w:val="000000"/>
                <w:kern w:val="0"/>
                <w:sz w:val="22"/>
              </w:rPr>
              <w:t>级</w:t>
            </w:r>
          </w:p>
        </w:tc>
        <w:tc>
          <w:tcPr>
            <w:tcW w:w="664" w:type="dxa"/>
            <w:vAlign w:val="center"/>
          </w:tcPr>
          <w:p>
            <w:pPr>
              <w:widowControl/>
              <w:spacing w:line="240" w:lineRule="exact"/>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pacing w:line="240" w:lineRule="exact"/>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1</w:t>
            </w:r>
          </w:p>
        </w:tc>
        <w:tc>
          <w:tcPr>
            <w:tcW w:w="720" w:type="dxa"/>
            <w:vMerge w:val="restart"/>
            <w:vAlign w:val="center"/>
          </w:tcPr>
          <w:p>
            <w:pPr>
              <w:spacing w:line="240" w:lineRule="exact"/>
              <w:jc w:val="center"/>
              <w:rPr>
                <w:rFonts w:hint="eastAsia" w:ascii="仿宋_GB2312" w:hAnsi="宋体" w:eastAsia="仿宋_GB2312" w:cs="宋体"/>
                <w:bCs/>
                <w:color w:val="000000"/>
                <w:sz w:val="18"/>
                <w:szCs w:val="18"/>
              </w:rPr>
            </w:pPr>
            <w:r>
              <w:rPr>
                <w:rFonts w:hint="eastAsia" w:ascii="仿宋_GB2312" w:hAnsi="宋体" w:eastAsia="仿宋_GB2312"/>
                <w:bCs/>
                <w:color w:val="000000"/>
                <w:sz w:val="18"/>
                <w:szCs w:val="18"/>
              </w:rPr>
              <w:t>行政许可类事项</w:t>
            </w:r>
          </w:p>
        </w:tc>
        <w:tc>
          <w:tcPr>
            <w:tcW w:w="1188" w:type="dxa"/>
            <w:vMerge w:val="restart"/>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母婴保健技术服务机构执业许可（包括计划生育技术服务机构执业许可）（权限内）</w:t>
            </w:r>
          </w:p>
        </w:tc>
        <w:tc>
          <w:tcPr>
            <w:tcW w:w="414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1.法律法规和政策文件</w:t>
            </w:r>
            <w:r>
              <w:rPr>
                <w:rFonts w:hint="eastAsia" w:ascii="仿宋_GB2312" w:hAnsi="宋体" w:eastAsia="仿宋_GB2312" w:cs="宋体"/>
                <w:color w:val="000000"/>
                <w:sz w:val="18"/>
                <w:szCs w:val="18"/>
              </w:rPr>
              <w:t>；</w:t>
            </w:r>
          </w:p>
          <w:p>
            <w:pPr>
              <w:spacing w:line="240" w:lineRule="exact"/>
              <w:rPr>
                <w:rFonts w:ascii="仿宋_GB2312" w:hAnsi="宋体" w:eastAsia="仿宋_GB2312" w:cs="宋体"/>
                <w:color w:val="000000"/>
                <w:sz w:val="18"/>
                <w:szCs w:val="18"/>
              </w:rPr>
            </w:pPr>
            <w:r>
              <w:rPr>
                <w:rFonts w:hint="eastAsia" w:ascii="仿宋_GB2312" w:hAnsi="宋体" w:eastAsia="仿宋_GB2312" w:cs="宋体"/>
                <w:color w:val="000000"/>
                <w:sz w:val="18"/>
                <w:szCs w:val="18"/>
              </w:rPr>
              <w:t>2.</w:t>
            </w:r>
            <w:r>
              <w:rPr>
                <w:rFonts w:hint="eastAsia" w:ascii="仿宋_GB2312" w:hAnsi="宋体" w:eastAsia="仿宋_GB2312"/>
                <w:color w:val="000000"/>
                <w:sz w:val="18"/>
                <w:szCs w:val="18"/>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spacing w:line="240" w:lineRule="exact"/>
              <w:rPr>
                <w:rFonts w:eastAsia="仿宋_GB2312"/>
                <w:color w:val="000000"/>
                <w:sz w:val="18"/>
                <w:szCs w:val="18"/>
              </w:rPr>
            </w:pPr>
            <w:r>
              <w:rPr>
                <w:rFonts w:eastAsia="仿宋_GB2312"/>
                <w:color w:val="000000"/>
                <w:sz w:val="18"/>
                <w:szCs w:val="18"/>
              </w:rPr>
              <w:t>《行政许可法》、《母婴保健法》、《计划生育技术服务管理条例》（国务院令第428号）、《母婴保健法实施办法》（国务院令第308号）、《国务院关于第六批取消和调整行政审批项目的决定》（国发〔2012〕52号）、《国家卫生健康委关于修改&lt;职业健康检查管理办法&gt;等4部门规章的决定》（卫生健康委令第2号）</w:t>
            </w:r>
          </w:p>
        </w:tc>
        <w:tc>
          <w:tcPr>
            <w:tcW w:w="144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pacing w:line="240" w:lineRule="exact"/>
              <w:rPr>
                <w:rFonts w:hint="eastAsia" w:ascii="仿宋_GB2312" w:hAnsi="宋体" w:eastAsia="仿宋_GB2312" w:cs="宋体"/>
                <w:color w:val="000000"/>
                <w:sz w:val="18"/>
                <w:szCs w:val="18"/>
              </w:rPr>
            </w:pPr>
          </w:p>
        </w:tc>
        <w:tc>
          <w:tcPr>
            <w:tcW w:w="720" w:type="dxa"/>
            <w:vMerge w:val="continue"/>
            <w:vAlign w:val="center"/>
          </w:tcPr>
          <w:p>
            <w:pPr>
              <w:spacing w:line="240" w:lineRule="exact"/>
              <w:rPr>
                <w:rFonts w:hint="eastAsia" w:ascii="仿宋_GB2312" w:hAnsi="宋体" w:eastAsia="仿宋_GB2312" w:cs="宋体"/>
                <w:bCs/>
                <w:color w:val="000000"/>
                <w:sz w:val="18"/>
                <w:szCs w:val="18"/>
              </w:rPr>
            </w:pPr>
          </w:p>
        </w:tc>
        <w:tc>
          <w:tcPr>
            <w:tcW w:w="1188" w:type="dxa"/>
            <w:vMerge w:val="continue"/>
            <w:vAlign w:val="center"/>
          </w:tcPr>
          <w:p>
            <w:pPr>
              <w:spacing w:line="240" w:lineRule="exact"/>
              <w:rPr>
                <w:rFonts w:hint="eastAsia" w:ascii="仿宋_GB2312" w:hAnsi="宋体" w:eastAsia="仿宋_GB2312" w:cs="宋体"/>
                <w:color w:val="000000"/>
                <w:sz w:val="18"/>
                <w:szCs w:val="18"/>
              </w:rPr>
            </w:pPr>
          </w:p>
        </w:tc>
        <w:tc>
          <w:tcPr>
            <w:tcW w:w="414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结果信息——母婴保健技术服务执业许可证信息</w:t>
            </w:r>
          </w:p>
        </w:tc>
        <w:tc>
          <w:tcPr>
            <w:tcW w:w="1800" w:type="dxa"/>
            <w:vMerge w:val="continue"/>
            <w:vAlign w:val="center"/>
          </w:tcPr>
          <w:p>
            <w:pPr>
              <w:spacing w:line="240" w:lineRule="exact"/>
              <w:rPr>
                <w:rFonts w:eastAsia="仿宋_GB2312"/>
                <w:color w:val="000000"/>
                <w:sz w:val="18"/>
                <w:szCs w:val="18"/>
              </w:rPr>
            </w:pPr>
          </w:p>
        </w:tc>
        <w:tc>
          <w:tcPr>
            <w:tcW w:w="144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40" w:lineRule="exact"/>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w:t>
            </w:r>
          </w:p>
        </w:tc>
        <w:tc>
          <w:tcPr>
            <w:tcW w:w="664" w:type="dxa"/>
            <w:vAlign w:val="center"/>
          </w:tcPr>
          <w:p>
            <w:pPr>
              <w:spacing w:line="240" w:lineRule="exact"/>
              <w:jc w:val="center"/>
              <w:rPr>
                <w:rFonts w:hint="eastAsia" w:ascii="仿宋_GB2312" w:hAnsi="宋体" w:eastAsia="仿宋_GB2312" w:cs="宋体"/>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99" w:hRule="exact"/>
          <w:jc w:val="center"/>
        </w:trPr>
        <w:tc>
          <w:tcPr>
            <w:tcW w:w="54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母婴保健服务人员资格认定（包括计划生育技术服务人员合格证）（权限内）</w:t>
            </w: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spacing w:line="200" w:lineRule="exact"/>
              <w:rPr>
                <w:rFonts w:eastAsia="仿宋_GB2312"/>
                <w:color w:val="000000"/>
                <w:sz w:val="18"/>
                <w:szCs w:val="18"/>
              </w:rPr>
            </w:pPr>
            <w:r>
              <w:rPr>
                <w:rFonts w:eastAsia="仿宋_GB2312"/>
                <w:color w:val="000000"/>
                <w:sz w:val="18"/>
                <w:szCs w:val="18"/>
              </w:rPr>
              <w:t>《行政许可法》、《母婴保健法》、《计划生育技术服务管理条例》（国务院令第428号）、《母婴保健法实施办法》（国务院令第308号）、《国家卫生健康委关于修改&lt;职业健康检查管理办法&gt;等4部门规章的决定》（卫生健康委令第2号）、《计划生育技术服务管理条例实施细则》（国家计划生育委员会令第6号）</w:t>
            </w: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pacing w:line="200" w:lineRule="exact"/>
              <w:rPr>
                <w:rFonts w:ascii="仿宋_GB2312" w:hAnsi="宋体" w:eastAsia="仿宋_GB2312"/>
                <w:color w:val="000000"/>
                <w:sz w:val="18"/>
                <w:szCs w:val="18"/>
              </w:rPr>
            </w:pPr>
          </w:p>
        </w:tc>
        <w:tc>
          <w:tcPr>
            <w:tcW w:w="720" w:type="dxa"/>
            <w:vMerge w:val="continue"/>
            <w:vAlign w:val="center"/>
          </w:tcPr>
          <w:p>
            <w:pPr>
              <w:spacing w:line="200" w:lineRule="exact"/>
              <w:rPr>
                <w:rFonts w:ascii="仿宋_GB2312" w:hAnsi="宋体" w:eastAsia="仿宋_GB2312"/>
                <w:color w:val="000000"/>
                <w:sz w:val="18"/>
                <w:szCs w:val="18"/>
              </w:rPr>
            </w:pPr>
          </w:p>
        </w:tc>
        <w:tc>
          <w:tcPr>
            <w:tcW w:w="1188" w:type="dxa"/>
            <w:vMerge w:val="continue"/>
            <w:vAlign w:val="center"/>
          </w:tcPr>
          <w:p>
            <w:pPr>
              <w:spacing w:line="200" w:lineRule="exact"/>
              <w:rPr>
                <w:rFonts w:ascii="仿宋_GB2312" w:hAnsi="宋体" w:eastAsia="仿宋_GB2312"/>
                <w:color w:val="000000"/>
                <w:sz w:val="18"/>
                <w:szCs w:val="18"/>
              </w:rPr>
            </w:pP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spacing w:line="200" w:lineRule="exact"/>
              <w:rPr>
                <w:rFonts w:eastAsia="仿宋_GB2312"/>
                <w:color w:val="000000"/>
                <w:sz w:val="18"/>
                <w:szCs w:val="18"/>
              </w:rPr>
            </w:pP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医疗机构设置审批（含港澳台，外商独资除外）（权限内）</w:t>
            </w: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spacing w:line="200" w:lineRule="exact"/>
              <w:rPr>
                <w:rFonts w:eastAsia="仿宋_GB2312"/>
                <w:color w:val="000000"/>
                <w:sz w:val="18"/>
                <w:szCs w:val="18"/>
              </w:rPr>
            </w:pPr>
            <w:r>
              <w:rPr>
                <w:rFonts w:eastAsia="仿宋_GB2312"/>
                <w:color w:val="000000"/>
                <w:sz w:val="18"/>
                <w:szCs w:val="18"/>
              </w:rPr>
              <w:t>《行政许可法》、《中医药法》、《医疗机构管理条例》（国务院令第149号）、《国务院关于取消和下放50项行政审批项目等事项的决定》（国发〔2013〕27 号）、《医疗机构管理条例实施细则》（卫生部令第35号）、《医疗美容服务管理办法》（卫生部令第19号）</w:t>
            </w: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pacing w:line="200" w:lineRule="exact"/>
              <w:rPr>
                <w:rFonts w:ascii="仿宋_GB2312" w:hAnsi="宋体" w:eastAsia="仿宋_GB2312"/>
                <w:color w:val="000000"/>
                <w:sz w:val="18"/>
                <w:szCs w:val="18"/>
              </w:rPr>
            </w:pPr>
          </w:p>
        </w:tc>
        <w:tc>
          <w:tcPr>
            <w:tcW w:w="720" w:type="dxa"/>
            <w:vMerge w:val="continue"/>
            <w:vAlign w:val="center"/>
          </w:tcPr>
          <w:p>
            <w:pPr>
              <w:spacing w:line="200" w:lineRule="exact"/>
              <w:rPr>
                <w:rFonts w:ascii="仿宋_GB2312" w:hAnsi="宋体" w:eastAsia="仿宋_GB2312"/>
                <w:color w:val="000000"/>
                <w:sz w:val="18"/>
                <w:szCs w:val="18"/>
              </w:rPr>
            </w:pPr>
          </w:p>
        </w:tc>
        <w:tc>
          <w:tcPr>
            <w:tcW w:w="1188" w:type="dxa"/>
            <w:vMerge w:val="continue"/>
            <w:vAlign w:val="center"/>
          </w:tcPr>
          <w:p>
            <w:pPr>
              <w:spacing w:line="200" w:lineRule="exact"/>
              <w:rPr>
                <w:rFonts w:ascii="仿宋_GB2312" w:hAnsi="宋体" w:eastAsia="仿宋_GB2312"/>
                <w:color w:val="000000"/>
                <w:sz w:val="18"/>
                <w:szCs w:val="18"/>
              </w:rPr>
            </w:pP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结果信息——设置审批结果信息</w:t>
            </w:r>
          </w:p>
        </w:tc>
        <w:tc>
          <w:tcPr>
            <w:tcW w:w="1800" w:type="dxa"/>
            <w:vMerge w:val="continue"/>
            <w:vAlign w:val="center"/>
          </w:tcPr>
          <w:p>
            <w:pPr>
              <w:spacing w:line="200" w:lineRule="exact"/>
              <w:rPr>
                <w:rFonts w:eastAsia="仿宋_GB2312"/>
                <w:color w:val="000000"/>
                <w:sz w:val="18"/>
                <w:szCs w:val="18"/>
              </w:rPr>
            </w:pP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医疗机构执业登记（人体器官移植除外）（权限内）</w:t>
            </w: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spacing w:line="200" w:lineRule="exact"/>
              <w:rPr>
                <w:rFonts w:eastAsia="仿宋_GB2312"/>
                <w:color w:val="000000"/>
                <w:sz w:val="18"/>
                <w:szCs w:val="18"/>
              </w:rPr>
            </w:pPr>
            <w:r>
              <w:rPr>
                <w:rFonts w:eastAsia="仿宋_GB2312"/>
                <w:color w:val="000000"/>
                <w:sz w:val="18"/>
                <w:szCs w:val="18"/>
              </w:rPr>
              <w:t>《行政许可法》、《医疗机构管理条例》（国务院令第149号）、《医疗机构管理条例实施细则》（卫生部令第35号）、《医疗美容服务管理办法》（卫生部令第19号）</w:t>
            </w: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pacing w:line="200" w:lineRule="exact"/>
              <w:rPr>
                <w:rFonts w:ascii="仿宋_GB2312" w:hAnsi="宋体" w:eastAsia="仿宋_GB2312"/>
                <w:color w:val="000000"/>
                <w:sz w:val="18"/>
                <w:szCs w:val="18"/>
              </w:rPr>
            </w:pPr>
          </w:p>
        </w:tc>
        <w:tc>
          <w:tcPr>
            <w:tcW w:w="720" w:type="dxa"/>
            <w:vMerge w:val="continue"/>
            <w:vAlign w:val="center"/>
          </w:tcPr>
          <w:p>
            <w:pPr>
              <w:spacing w:line="200" w:lineRule="exact"/>
              <w:rPr>
                <w:rFonts w:ascii="仿宋_GB2312" w:hAnsi="宋体" w:eastAsia="仿宋_GB2312"/>
                <w:color w:val="000000"/>
                <w:sz w:val="18"/>
                <w:szCs w:val="18"/>
              </w:rPr>
            </w:pPr>
          </w:p>
        </w:tc>
        <w:tc>
          <w:tcPr>
            <w:tcW w:w="1188" w:type="dxa"/>
            <w:vMerge w:val="continue"/>
            <w:vAlign w:val="center"/>
          </w:tcPr>
          <w:p>
            <w:pPr>
              <w:spacing w:line="200" w:lineRule="exact"/>
              <w:rPr>
                <w:rFonts w:ascii="仿宋_GB2312" w:hAnsi="宋体" w:eastAsia="仿宋_GB2312"/>
                <w:color w:val="000000"/>
                <w:sz w:val="18"/>
                <w:szCs w:val="18"/>
              </w:rPr>
            </w:pP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结果信息——医疗机构名称、地址、诊疗科目、法定代表人、主要负责人、登记号、医疗机构执业许可证有效期限、审批机关</w:t>
            </w:r>
          </w:p>
        </w:tc>
        <w:tc>
          <w:tcPr>
            <w:tcW w:w="1800" w:type="dxa"/>
            <w:vMerge w:val="continue"/>
            <w:vAlign w:val="center"/>
          </w:tcPr>
          <w:p>
            <w:pPr>
              <w:spacing w:line="200" w:lineRule="exact"/>
              <w:rPr>
                <w:rFonts w:eastAsia="仿宋_GB2312"/>
                <w:color w:val="000000"/>
                <w:sz w:val="18"/>
                <w:szCs w:val="18"/>
              </w:rPr>
            </w:pP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医师执业注册（权限内）</w:t>
            </w: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spacing w:line="200" w:lineRule="exact"/>
              <w:rPr>
                <w:rFonts w:eastAsia="仿宋_GB2312"/>
                <w:color w:val="000000"/>
                <w:sz w:val="18"/>
                <w:szCs w:val="18"/>
              </w:rPr>
            </w:pPr>
            <w:r>
              <w:rPr>
                <w:rFonts w:eastAsia="仿宋_GB2312"/>
                <w:color w:val="000000"/>
                <w:sz w:val="18"/>
                <w:szCs w:val="18"/>
              </w:rPr>
              <w:t>《行政许可法》、《执业医师法》、《医师执业注册管理办法》（卫生和计划生育委员会令第13号）</w:t>
            </w:r>
          </w:p>
        </w:tc>
        <w:tc>
          <w:tcPr>
            <w:tcW w:w="14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spacing w:line="240" w:lineRule="exact"/>
              <w:rPr>
                <w:rFonts w:ascii="仿宋_GB2312" w:hAnsi="宋体" w:eastAsia="仿宋_GB2312"/>
                <w:color w:val="000000"/>
                <w:sz w:val="18"/>
                <w:szCs w:val="18"/>
              </w:rPr>
            </w:pPr>
          </w:p>
        </w:tc>
        <w:tc>
          <w:tcPr>
            <w:tcW w:w="720" w:type="dxa"/>
            <w:vMerge w:val="continue"/>
            <w:vAlign w:val="center"/>
          </w:tcPr>
          <w:p>
            <w:pPr>
              <w:spacing w:line="240" w:lineRule="exact"/>
              <w:rPr>
                <w:rFonts w:ascii="仿宋_GB2312" w:hAnsi="宋体" w:eastAsia="仿宋_GB2312"/>
                <w:color w:val="000000"/>
                <w:sz w:val="18"/>
                <w:szCs w:val="18"/>
              </w:rPr>
            </w:pPr>
          </w:p>
        </w:tc>
        <w:tc>
          <w:tcPr>
            <w:tcW w:w="1188" w:type="dxa"/>
            <w:vMerge w:val="continue"/>
            <w:vAlign w:val="center"/>
          </w:tcPr>
          <w:p>
            <w:pPr>
              <w:spacing w:line="240" w:lineRule="exact"/>
              <w:rPr>
                <w:rFonts w:ascii="仿宋_GB2312" w:hAnsi="宋体" w:eastAsia="仿宋_GB2312"/>
                <w:color w:val="000000"/>
                <w:sz w:val="18"/>
                <w:szCs w:val="18"/>
              </w:rPr>
            </w:pPr>
          </w:p>
        </w:tc>
        <w:tc>
          <w:tcPr>
            <w:tcW w:w="4140"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spacing w:line="240" w:lineRule="exact"/>
              <w:jc w:val="center"/>
              <w:rPr>
                <w:rFonts w:eastAsia="仿宋_GB2312"/>
                <w:color w:val="000000"/>
                <w:sz w:val="18"/>
                <w:szCs w:val="18"/>
              </w:rPr>
            </w:pPr>
          </w:p>
        </w:tc>
        <w:tc>
          <w:tcPr>
            <w:tcW w:w="1440"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护士执业注册（权限内）</w:t>
            </w:r>
          </w:p>
        </w:tc>
        <w:tc>
          <w:tcPr>
            <w:tcW w:w="414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00" w:lineRule="exact"/>
              <w:jc w:val="left"/>
              <w:rPr>
                <w:rFonts w:eastAsia="仿宋_GB2312"/>
                <w:color w:val="000000"/>
                <w:sz w:val="18"/>
                <w:szCs w:val="18"/>
              </w:rPr>
            </w:pPr>
            <w:r>
              <w:rPr>
                <w:rFonts w:eastAsia="仿宋_GB2312"/>
                <w:color w:val="000000"/>
                <w:sz w:val="18"/>
                <w:szCs w:val="18"/>
              </w:rPr>
              <w:t>《行政许可法》、《护士条例》（国令第517号）、《国务院关于取消和下放一批行政许可事项的决定》（国发〔2019〕6号）、《国家卫生健康委关于做好下放护士执业注册审批有关工作的通知》（国卫医发〔2019〕37号）、《护士执业注册管理办法》（卫生部令第59号）</w:t>
            </w:r>
          </w:p>
        </w:tc>
        <w:tc>
          <w:tcPr>
            <w:tcW w:w="1440" w:type="dxa"/>
            <w:vAlign w:val="center"/>
          </w:tcPr>
          <w:p>
            <w:pPr>
              <w:widowControl/>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00" w:lineRule="exact"/>
              <w:jc w:val="left"/>
              <w:rPr>
                <w:rFonts w:ascii="宋体" w:hAnsi="宋体" w:cs="宋体"/>
                <w:color w:val="000000"/>
                <w:kern w:val="0"/>
                <w:sz w:val="18"/>
                <w:szCs w:val="18"/>
              </w:rPr>
            </w:pPr>
          </w:p>
        </w:tc>
        <w:tc>
          <w:tcPr>
            <w:tcW w:w="720" w:type="dxa"/>
            <w:vMerge w:val="continue"/>
            <w:vAlign w:val="center"/>
          </w:tcPr>
          <w:p>
            <w:pPr>
              <w:widowControl/>
              <w:spacing w:line="200" w:lineRule="exact"/>
              <w:jc w:val="left"/>
              <w:rPr>
                <w:rFonts w:ascii="宋体" w:hAnsi="宋体" w:cs="宋体"/>
                <w:bCs/>
                <w:color w:val="000000"/>
                <w:kern w:val="0"/>
                <w:sz w:val="15"/>
                <w:szCs w:val="15"/>
              </w:rPr>
            </w:pPr>
          </w:p>
        </w:tc>
        <w:tc>
          <w:tcPr>
            <w:tcW w:w="1188" w:type="dxa"/>
            <w:vMerge w:val="continue"/>
            <w:vAlign w:val="center"/>
          </w:tcPr>
          <w:p>
            <w:pPr>
              <w:widowControl/>
              <w:spacing w:line="200" w:lineRule="exact"/>
              <w:jc w:val="left"/>
              <w:rPr>
                <w:rFonts w:ascii="宋体" w:hAnsi="宋体" w:cs="宋体"/>
                <w:color w:val="000000"/>
                <w:kern w:val="0"/>
                <w:sz w:val="15"/>
                <w:szCs w:val="15"/>
              </w:rPr>
            </w:pPr>
          </w:p>
        </w:tc>
        <w:tc>
          <w:tcPr>
            <w:tcW w:w="414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widowControl/>
              <w:spacing w:line="200" w:lineRule="exact"/>
              <w:jc w:val="left"/>
              <w:rPr>
                <w:rFonts w:eastAsia="仿宋_GB2312"/>
                <w:color w:val="000000"/>
                <w:sz w:val="18"/>
                <w:szCs w:val="18"/>
              </w:rPr>
            </w:pPr>
          </w:p>
        </w:tc>
        <w:tc>
          <w:tcPr>
            <w:tcW w:w="1440" w:type="dxa"/>
            <w:vAlign w:val="center"/>
          </w:tcPr>
          <w:p>
            <w:pPr>
              <w:widowControl/>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饮用水供水单位卫生许可（权限内）</w:t>
            </w:r>
          </w:p>
        </w:tc>
        <w:tc>
          <w:tcPr>
            <w:tcW w:w="414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00" w:lineRule="exact"/>
              <w:jc w:val="left"/>
              <w:rPr>
                <w:rFonts w:eastAsia="仿宋_GB2312"/>
                <w:color w:val="000000"/>
                <w:sz w:val="18"/>
                <w:szCs w:val="18"/>
              </w:rPr>
            </w:pPr>
            <w:r>
              <w:rPr>
                <w:rFonts w:eastAsia="仿宋_GB2312"/>
                <w:color w:val="000000"/>
                <w:sz w:val="18"/>
                <w:szCs w:val="18"/>
              </w:rPr>
              <w:t>《行政许可法》、《传染病防治法》、《传染病防治法实施办法》（卫生部令第17号）、《国务院对确需保留的行政审批项目设定行政许可的决定》（国令第412号）、《生活饮用水卫生监督管理办法》（中华人民共和国建设部 中华人民共和国卫生部令第53号）</w:t>
            </w:r>
          </w:p>
        </w:tc>
        <w:tc>
          <w:tcPr>
            <w:tcW w:w="1440" w:type="dxa"/>
            <w:vAlign w:val="center"/>
          </w:tcPr>
          <w:p>
            <w:pPr>
              <w:widowControl/>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00" w:lineRule="exact"/>
              <w:jc w:val="left"/>
              <w:rPr>
                <w:rFonts w:ascii="仿宋_GB2312" w:hAnsi="宋体" w:eastAsia="仿宋_GB2312"/>
                <w:color w:val="000000"/>
                <w:sz w:val="18"/>
                <w:szCs w:val="18"/>
              </w:rPr>
            </w:pPr>
          </w:p>
        </w:tc>
        <w:tc>
          <w:tcPr>
            <w:tcW w:w="720" w:type="dxa"/>
            <w:vMerge w:val="continue"/>
            <w:vAlign w:val="center"/>
          </w:tcPr>
          <w:p>
            <w:pPr>
              <w:widowControl/>
              <w:spacing w:line="200" w:lineRule="exact"/>
              <w:jc w:val="left"/>
              <w:rPr>
                <w:rFonts w:ascii="仿宋_GB2312" w:hAnsi="宋体" w:eastAsia="仿宋_GB2312"/>
                <w:color w:val="000000"/>
                <w:sz w:val="18"/>
                <w:szCs w:val="18"/>
              </w:rPr>
            </w:pPr>
          </w:p>
        </w:tc>
        <w:tc>
          <w:tcPr>
            <w:tcW w:w="1188" w:type="dxa"/>
            <w:vMerge w:val="continue"/>
            <w:vAlign w:val="center"/>
          </w:tcPr>
          <w:p>
            <w:pPr>
              <w:widowControl/>
              <w:spacing w:line="200" w:lineRule="exact"/>
              <w:jc w:val="left"/>
              <w:rPr>
                <w:rFonts w:ascii="仿宋_GB2312" w:hAnsi="宋体" w:eastAsia="仿宋_GB2312"/>
                <w:color w:val="000000"/>
                <w:sz w:val="18"/>
                <w:szCs w:val="18"/>
              </w:rPr>
            </w:pPr>
          </w:p>
        </w:tc>
        <w:tc>
          <w:tcPr>
            <w:tcW w:w="414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vAlign w:val="center"/>
          </w:tcPr>
          <w:p>
            <w:pPr>
              <w:widowControl/>
              <w:spacing w:line="200" w:lineRule="exact"/>
              <w:jc w:val="left"/>
              <w:rPr>
                <w:rFonts w:ascii="仿宋_GB2312" w:hAnsi="宋体" w:eastAsia="仿宋_GB2312"/>
                <w:color w:val="000000"/>
                <w:sz w:val="18"/>
                <w:szCs w:val="18"/>
              </w:rPr>
            </w:pPr>
          </w:p>
        </w:tc>
        <w:tc>
          <w:tcPr>
            <w:tcW w:w="1440" w:type="dxa"/>
            <w:vAlign w:val="center"/>
          </w:tcPr>
          <w:p>
            <w:pPr>
              <w:widowControl/>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0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widowControl/>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公共场所卫生许可（权限内）</w:t>
            </w:r>
          </w:p>
        </w:tc>
        <w:tc>
          <w:tcPr>
            <w:tcW w:w="4140" w:type="dxa"/>
            <w:vAlign w:val="center"/>
          </w:tcPr>
          <w:p>
            <w:pPr>
              <w:spacing w:line="20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00" w:lineRule="exact"/>
              <w:rPr>
                <w:rFonts w:eastAsia="仿宋_GB2312"/>
                <w:color w:val="000000"/>
                <w:sz w:val="18"/>
                <w:szCs w:val="18"/>
              </w:rPr>
            </w:pPr>
            <w:r>
              <w:rPr>
                <w:rFonts w:eastAsia="仿宋_GB2312"/>
                <w:color w:val="000000"/>
                <w:sz w:val="18"/>
                <w:szCs w:val="18"/>
              </w:rPr>
              <w:t>《行政许可法》、《公共场所卫生管理条例》（国发[1987]24号）、《国务院关于整合调整餐饮服务场所的公共场所卫生许可证和食品经营许可的决定》（国发〔2016〕12号）、《公共场所卫生管理条例实施细则》（卫生部令第11号）</w:t>
            </w:r>
          </w:p>
        </w:tc>
        <w:tc>
          <w:tcPr>
            <w:tcW w:w="1440" w:type="dxa"/>
            <w:vAlign w:val="center"/>
          </w:tcPr>
          <w:p>
            <w:pPr>
              <w:widowControl/>
              <w:spacing w:line="20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0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pPr>
              <w:widowControl/>
              <w:spacing w:line="20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0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结果信息——卫生许可证信息</w:t>
            </w:r>
          </w:p>
        </w:tc>
        <w:tc>
          <w:tcPr>
            <w:tcW w:w="1800" w:type="dxa"/>
            <w:vMerge w:val="continue"/>
            <w:vAlign w:val="center"/>
          </w:tcPr>
          <w:p>
            <w:pPr>
              <w:widowControl/>
              <w:spacing w:line="240" w:lineRule="exact"/>
              <w:rPr>
                <w:rFonts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rPr>
                <w:rFonts w:hint="eastAsia" w:ascii="仿宋_GB2312" w:hAnsi="宋体" w:eastAsia="仿宋_GB2312"/>
                <w:color w:val="000000"/>
                <w:sz w:val="18"/>
                <w:szCs w:val="18"/>
              </w:rPr>
            </w:pPr>
          </w:p>
        </w:tc>
        <w:tc>
          <w:tcPr>
            <w:tcW w:w="596" w:type="dxa"/>
            <w:vAlign w:val="center"/>
          </w:tcPr>
          <w:p>
            <w:pPr>
              <w:widowControl/>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rPr>
                <w:rFonts w:hint="eastAsia" w:ascii="仿宋_GB2312" w:hAnsi="宋体" w:eastAsia="仿宋_GB2312"/>
                <w:color w:val="000000"/>
                <w:sz w:val="18"/>
                <w:szCs w:val="18"/>
              </w:rPr>
            </w:pPr>
          </w:p>
        </w:tc>
        <w:tc>
          <w:tcPr>
            <w:tcW w:w="540" w:type="dxa"/>
            <w:vAlign w:val="center"/>
          </w:tcPr>
          <w:p>
            <w:pPr>
              <w:widowControl/>
              <w:spacing w:line="240" w:lineRule="exact"/>
              <w:rPr>
                <w:rFonts w:hint="eastAsia" w:ascii="仿宋_GB2312" w:hAnsi="宋体" w:eastAsia="仿宋_GB2312"/>
                <w:color w:val="000000"/>
                <w:sz w:val="18"/>
                <w:szCs w:val="18"/>
              </w:rPr>
            </w:pPr>
          </w:p>
        </w:tc>
        <w:tc>
          <w:tcPr>
            <w:tcW w:w="664" w:type="dxa"/>
            <w:vAlign w:val="center"/>
          </w:tcPr>
          <w:p>
            <w:pPr>
              <w:widowControl/>
              <w:spacing w:line="240" w:lineRule="exact"/>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540" w:type="dxa"/>
            <w:vMerge w:val="restart"/>
            <w:vAlign w:val="center"/>
          </w:tcPr>
          <w:p>
            <w:pPr>
              <w:widowControl/>
              <w:spacing w:line="24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9</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放射性职业病危害建设项目预评价报告审核</w:t>
            </w: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40" w:lineRule="exact"/>
              <w:rPr>
                <w:rFonts w:eastAsia="仿宋_GB2312"/>
                <w:color w:val="000000"/>
                <w:sz w:val="18"/>
                <w:szCs w:val="18"/>
              </w:rPr>
            </w:pPr>
            <w:r>
              <w:rPr>
                <w:rFonts w:eastAsia="仿宋_GB2312"/>
                <w:color w:val="000000"/>
                <w:sz w:val="18"/>
                <w:szCs w:val="18"/>
              </w:rPr>
              <w:t>《行政许可法》</w:t>
            </w:r>
            <w:r>
              <w:rPr>
                <w:rFonts w:hint="eastAsia" w:eastAsia="仿宋_GB2312"/>
                <w:color w:val="000000"/>
                <w:sz w:val="18"/>
                <w:szCs w:val="18"/>
                <w:lang w:eastAsia="zh-CN"/>
              </w:rPr>
              <w:t>、</w:t>
            </w:r>
            <w:r>
              <w:rPr>
                <w:rFonts w:hint="eastAsia" w:eastAsia="仿宋_GB2312"/>
                <w:color w:val="000000"/>
                <w:sz w:val="18"/>
                <w:szCs w:val="18"/>
              </w:rPr>
              <w:t>《放射诊疗建设项目卫生审查管理规定》第七条第（一）项</w:t>
            </w:r>
            <w:r>
              <w:rPr>
                <w:rFonts w:hint="eastAsia" w:eastAsia="仿宋_GB2312"/>
                <w:color w:val="000000"/>
                <w:sz w:val="18"/>
                <w:szCs w:val="18"/>
                <w:lang w:eastAsia="zh-CN"/>
              </w:rPr>
              <w:t>、</w:t>
            </w:r>
            <w:r>
              <w:rPr>
                <w:rFonts w:hint="eastAsia" w:eastAsia="仿宋_GB2312"/>
                <w:color w:val="000000"/>
                <w:sz w:val="18"/>
                <w:szCs w:val="18"/>
              </w:rPr>
              <w:t>第（</w:t>
            </w:r>
            <w:r>
              <w:rPr>
                <w:rFonts w:hint="eastAsia" w:eastAsia="仿宋_GB2312"/>
                <w:color w:val="000000"/>
                <w:sz w:val="18"/>
                <w:szCs w:val="18"/>
                <w:lang w:val="en-US" w:eastAsia="zh-CN"/>
              </w:rPr>
              <w:t>二</w:t>
            </w:r>
            <w:r>
              <w:rPr>
                <w:rFonts w:hint="eastAsia" w:eastAsia="仿宋_GB2312"/>
                <w:color w:val="000000"/>
                <w:sz w:val="18"/>
                <w:szCs w:val="18"/>
              </w:rPr>
              <w:t>）项</w:t>
            </w:r>
            <w:r>
              <w:rPr>
                <w:rFonts w:hint="eastAsia" w:eastAsia="仿宋_GB2312"/>
                <w:color w:val="000000"/>
                <w:sz w:val="18"/>
                <w:szCs w:val="18"/>
                <w:lang w:eastAsia="zh-CN"/>
              </w:rPr>
              <w:t>、</w:t>
            </w:r>
            <w:r>
              <w:rPr>
                <w:rFonts w:hint="eastAsia" w:eastAsia="仿宋_GB2312"/>
                <w:color w:val="000000"/>
                <w:sz w:val="18"/>
                <w:szCs w:val="18"/>
              </w:rPr>
              <w:t>第（</w:t>
            </w:r>
            <w:r>
              <w:rPr>
                <w:rFonts w:hint="eastAsia" w:eastAsia="仿宋_GB2312"/>
                <w:color w:val="000000"/>
                <w:sz w:val="18"/>
                <w:szCs w:val="18"/>
                <w:lang w:val="en-US" w:eastAsia="zh-CN"/>
              </w:rPr>
              <w:t>三</w:t>
            </w:r>
            <w:r>
              <w:rPr>
                <w:rFonts w:hint="eastAsia" w:eastAsia="仿宋_GB2312"/>
                <w:color w:val="000000"/>
                <w:sz w:val="18"/>
                <w:szCs w:val="18"/>
              </w:rPr>
              <w:t>）项</w:t>
            </w: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jc w:val="center"/>
        </w:trPr>
        <w:tc>
          <w:tcPr>
            <w:tcW w:w="540" w:type="dxa"/>
            <w:vMerge w:val="continue"/>
            <w:vAlign w:val="center"/>
          </w:tcPr>
          <w:p>
            <w:pPr>
              <w:spacing w:line="240" w:lineRule="exact"/>
            </w:pPr>
          </w:p>
        </w:tc>
        <w:tc>
          <w:tcPr>
            <w:tcW w:w="720" w:type="dxa"/>
            <w:vMerge w:val="continue"/>
            <w:vAlign w:val="center"/>
          </w:tcPr>
          <w:p>
            <w:pPr>
              <w:spacing w:line="240" w:lineRule="exact"/>
            </w:pPr>
          </w:p>
        </w:tc>
        <w:tc>
          <w:tcPr>
            <w:tcW w:w="1188" w:type="dxa"/>
            <w:vMerge w:val="continue"/>
            <w:vAlign w:val="center"/>
          </w:tcPr>
          <w:p>
            <w:pPr>
              <w:spacing w:line="240" w:lineRule="exact"/>
            </w:pP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结果信息——建设项目设计卫生审查认可书</w:t>
            </w:r>
          </w:p>
        </w:tc>
        <w:tc>
          <w:tcPr>
            <w:tcW w:w="1800" w:type="dxa"/>
            <w:vMerge w:val="continue"/>
            <w:vAlign w:val="center"/>
          </w:tcPr>
          <w:p>
            <w:pPr>
              <w:spacing w:line="240" w:lineRule="exact"/>
              <w:rPr>
                <w:rFonts w:hint="eastAsia"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spacing w:line="240" w:lineRule="exact"/>
              <w:rPr>
                <w:rFonts w:hint="eastAsia" w:ascii="仿宋_GB2312" w:hAnsi="宋体" w:eastAsia="仿宋_GB2312"/>
                <w:color w:val="000000"/>
                <w:sz w:val="18"/>
                <w:szCs w:val="18"/>
              </w:rPr>
            </w:pPr>
          </w:p>
        </w:tc>
        <w:tc>
          <w:tcPr>
            <w:tcW w:w="1080" w:type="dxa"/>
            <w:vMerge w:val="continue"/>
            <w:vAlign w:val="center"/>
          </w:tcPr>
          <w:p>
            <w:pPr>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40" w:lineRule="exact"/>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540" w:type="dxa"/>
            <w:vMerge w:val="restart"/>
            <w:vAlign w:val="center"/>
          </w:tcPr>
          <w:p>
            <w:pPr>
              <w:widowControl/>
              <w:spacing w:line="24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10</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放射性职业病危害建设项目竣工验收</w:t>
            </w:r>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40" w:lineRule="exact"/>
              <w:rPr>
                <w:rFonts w:eastAsia="仿宋_GB2312"/>
                <w:color w:val="000000"/>
                <w:sz w:val="18"/>
                <w:szCs w:val="18"/>
              </w:rPr>
            </w:pPr>
            <w:r>
              <w:rPr>
                <w:rFonts w:eastAsia="仿宋_GB2312"/>
                <w:color w:val="000000"/>
                <w:sz w:val="18"/>
                <w:szCs w:val="18"/>
              </w:rPr>
              <w:t>《行政许可法》</w:t>
            </w:r>
            <w:r>
              <w:rPr>
                <w:rFonts w:hint="eastAsia" w:eastAsia="仿宋_GB2312"/>
                <w:color w:val="000000"/>
                <w:sz w:val="18"/>
                <w:szCs w:val="18"/>
                <w:lang w:eastAsia="zh-CN"/>
              </w:rPr>
              <w:t>、</w:t>
            </w:r>
            <w:r>
              <w:rPr>
                <w:rFonts w:hint="eastAsia" w:eastAsia="仿宋_GB2312"/>
                <w:color w:val="000000"/>
                <w:sz w:val="18"/>
                <w:szCs w:val="18"/>
              </w:rPr>
              <w:t>《放射诊疗建设项目卫生审查管理规定》第十条第（一）项</w:t>
            </w:r>
            <w:r>
              <w:rPr>
                <w:rFonts w:hint="eastAsia" w:eastAsia="仿宋_GB2312"/>
                <w:color w:val="000000"/>
                <w:sz w:val="18"/>
                <w:szCs w:val="18"/>
                <w:lang w:eastAsia="zh-CN"/>
              </w:rPr>
              <w:t>、</w:t>
            </w:r>
            <w:r>
              <w:rPr>
                <w:rFonts w:hint="eastAsia" w:eastAsia="仿宋_GB2312"/>
                <w:color w:val="000000"/>
                <w:sz w:val="18"/>
                <w:szCs w:val="18"/>
              </w:rPr>
              <w:t>第十条第（</w:t>
            </w:r>
            <w:r>
              <w:rPr>
                <w:rFonts w:hint="eastAsia" w:eastAsia="仿宋_GB2312"/>
                <w:color w:val="000000"/>
                <w:sz w:val="18"/>
                <w:szCs w:val="18"/>
                <w:lang w:val="en-US" w:eastAsia="zh-CN"/>
              </w:rPr>
              <w:t>二</w:t>
            </w:r>
            <w:r>
              <w:rPr>
                <w:rFonts w:hint="eastAsia" w:eastAsia="仿宋_GB2312"/>
                <w:color w:val="000000"/>
                <w:sz w:val="18"/>
                <w:szCs w:val="18"/>
              </w:rPr>
              <w:t>）项</w:t>
            </w:r>
            <w:r>
              <w:rPr>
                <w:rFonts w:hint="eastAsia" w:eastAsia="仿宋_GB2312"/>
                <w:color w:val="000000"/>
                <w:sz w:val="18"/>
                <w:szCs w:val="18"/>
                <w:lang w:eastAsia="zh-CN"/>
              </w:rPr>
              <w:t>、</w:t>
            </w:r>
            <w:r>
              <w:rPr>
                <w:rFonts w:hint="eastAsia" w:eastAsia="仿宋_GB2312"/>
                <w:color w:val="000000"/>
                <w:sz w:val="18"/>
                <w:szCs w:val="18"/>
              </w:rPr>
              <w:t>第十条第（</w:t>
            </w:r>
            <w:r>
              <w:rPr>
                <w:rFonts w:hint="eastAsia" w:eastAsia="仿宋_GB2312"/>
                <w:color w:val="000000"/>
                <w:sz w:val="18"/>
                <w:szCs w:val="18"/>
                <w:lang w:val="en-US" w:eastAsia="zh-CN"/>
              </w:rPr>
              <w:t>三</w:t>
            </w:r>
            <w:r>
              <w:rPr>
                <w:rFonts w:hint="eastAsia" w:eastAsia="仿宋_GB2312"/>
                <w:color w:val="000000"/>
                <w:sz w:val="18"/>
                <w:szCs w:val="18"/>
              </w:rPr>
              <w:t>）项</w:t>
            </w:r>
            <w:r>
              <w:rPr>
                <w:rFonts w:hint="eastAsia" w:eastAsia="仿宋_GB2312"/>
                <w:color w:val="000000"/>
                <w:sz w:val="18"/>
                <w:szCs w:val="18"/>
                <w:lang w:eastAsia="zh-CN"/>
              </w:rPr>
              <w:t>、</w:t>
            </w:r>
            <w:r>
              <w:rPr>
                <w:rFonts w:hint="eastAsia" w:eastAsia="仿宋_GB2312"/>
                <w:color w:val="000000"/>
                <w:sz w:val="18"/>
                <w:szCs w:val="18"/>
              </w:rPr>
              <w:t>第十条第（</w:t>
            </w:r>
            <w:r>
              <w:rPr>
                <w:rFonts w:hint="eastAsia" w:eastAsia="仿宋_GB2312"/>
                <w:color w:val="000000"/>
                <w:sz w:val="18"/>
                <w:szCs w:val="18"/>
                <w:lang w:val="en-US" w:eastAsia="zh-CN"/>
              </w:rPr>
              <w:t>四</w:t>
            </w:r>
            <w:r>
              <w:rPr>
                <w:rFonts w:hint="eastAsia" w:eastAsia="仿宋_GB2312"/>
                <w:color w:val="000000"/>
                <w:sz w:val="18"/>
                <w:szCs w:val="18"/>
              </w:rPr>
              <w:t>）项</w:t>
            </w:r>
            <w:r>
              <w:rPr>
                <w:rFonts w:hint="eastAsia" w:eastAsia="仿宋_GB2312"/>
                <w:color w:val="000000"/>
                <w:sz w:val="18"/>
                <w:szCs w:val="18"/>
                <w:lang w:eastAsia="zh-CN"/>
              </w:rPr>
              <w:t>、</w:t>
            </w:r>
            <w:r>
              <w:rPr>
                <w:rFonts w:hint="eastAsia" w:eastAsia="仿宋_GB2312"/>
                <w:color w:val="000000"/>
                <w:sz w:val="18"/>
                <w:szCs w:val="18"/>
              </w:rPr>
              <w:t>第十条第（</w:t>
            </w:r>
            <w:r>
              <w:rPr>
                <w:rFonts w:hint="eastAsia" w:eastAsia="仿宋_GB2312"/>
                <w:color w:val="000000"/>
                <w:sz w:val="18"/>
                <w:szCs w:val="18"/>
                <w:lang w:val="en-US" w:eastAsia="zh-CN"/>
              </w:rPr>
              <w:t>五</w:t>
            </w:r>
            <w:r>
              <w:rPr>
                <w:rFonts w:hint="eastAsia" w:eastAsia="仿宋_GB2312"/>
                <w:color w:val="000000"/>
                <w:sz w:val="18"/>
                <w:szCs w:val="18"/>
              </w:rPr>
              <w:t>）项</w:t>
            </w:r>
            <w:r>
              <w:rPr>
                <w:rFonts w:hint="eastAsia" w:eastAsia="仿宋_GB2312"/>
                <w:color w:val="000000"/>
                <w:sz w:val="18"/>
                <w:szCs w:val="18"/>
                <w:lang w:eastAsia="zh-CN"/>
              </w:rPr>
              <w:t>、</w:t>
            </w:r>
            <w:r>
              <w:rPr>
                <w:rFonts w:hint="eastAsia" w:eastAsia="仿宋_GB2312"/>
                <w:color w:val="000000"/>
                <w:sz w:val="18"/>
                <w:szCs w:val="18"/>
              </w:rPr>
              <w:t>第十条第（</w:t>
            </w:r>
            <w:r>
              <w:rPr>
                <w:rFonts w:hint="eastAsia" w:eastAsia="仿宋_GB2312"/>
                <w:color w:val="000000"/>
                <w:sz w:val="18"/>
                <w:szCs w:val="18"/>
                <w:lang w:val="en-US" w:eastAsia="zh-CN"/>
              </w:rPr>
              <w:t>六</w:t>
            </w:r>
            <w:r>
              <w:rPr>
                <w:rFonts w:hint="eastAsia" w:eastAsia="仿宋_GB2312"/>
                <w:color w:val="000000"/>
                <w:sz w:val="18"/>
                <w:szCs w:val="18"/>
              </w:rPr>
              <w:t>）项</w:t>
            </w: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540" w:type="dxa"/>
            <w:vMerge w:val="continue"/>
            <w:vAlign w:val="center"/>
          </w:tcPr>
          <w:p>
            <w:pPr>
              <w:spacing w:line="240" w:lineRule="exact"/>
            </w:pPr>
          </w:p>
        </w:tc>
        <w:tc>
          <w:tcPr>
            <w:tcW w:w="720" w:type="dxa"/>
            <w:vMerge w:val="continue"/>
            <w:vAlign w:val="center"/>
          </w:tcPr>
          <w:p>
            <w:pPr>
              <w:spacing w:line="240" w:lineRule="exact"/>
            </w:pPr>
          </w:p>
        </w:tc>
        <w:tc>
          <w:tcPr>
            <w:tcW w:w="1188" w:type="dxa"/>
            <w:vMerge w:val="continue"/>
            <w:vAlign w:val="center"/>
          </w:tcPr>
          <w:p>
            <w:pPr>
              <w:spacing w:line="240" w:lineRule="exact"/>
            </w:pP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结果信息——建设项目竣工验收认可书</w:t>
            </w:r>
          </w:p>
        </w:tc>
        <w:tc>
          <w:tcPr>
            <w:tcW w:w="1800" w:type="dxa"/>
            <w:vMerge w:val="continue"/>
            <w:vAlign w:val="center"/>
          </w:tcPr>
          <w:p>
            <w:pPr>
              <w:spacing w:line="240" w:lineRule="exact"/>
              <w:rPr>
                <w:rFonts w:hint="eastAsia"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spacing w:line="240" w:lineRule="exact"/>
              <w:rPr>
                <w:rFonts w:hint="eastAsia" w:ascii="仿宋_GB2312" w:hAnsi="宋体" w:eastAsia="仿宋_GB2312"/>
                <w:color w:val="000000"/>
                <w:sz w:val="18"/>
                <w:szCs w:val="18"/>
              </w:rPr>
            </w:pPr>
          </w:p>
        </w:tc>
        <w:tc>
          <w:tcPr>
            <w:tcW w:w="1080" w:type="dxa"/>
            <w:vMerge w:val="continue"/>
            <w:vAlign w:val="center"/>
          </w:tcPr>
          <w:p>
            <w:pPr>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40" w:lineRule="exact"/>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540" w:type="dxa"/>
            <w:vMerge w:val="restart"/>
            <w:vAlign w:val="center"/>
          </w:tcPr>
          <w:p>
            <w:pPr>
              <w:widowControl/>
              <w:spacing w:line="240" w:lineRule="exact"/>
              <w:jc w:val="center"/>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11</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放射诊疗技术和医用辐射机构许可（权限内）</w:t>
            </w:r>
            <w:bookmarkStart w:id="1" w:name="_GoBack"/>
            <w:bookmarkEnd w:id="1"/>
          </w:p>
        </w:tc>
        <w:tc>
          <w:tcPr>
            <w:tcW w:w="4140" w:type="dxa"/>
            <w:vAlign w:val="center"/>
          </w:tcPr>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00" w:lineRule="exact"/>
              <w:rPr>
                <w:rFonts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40" w:lineRule="exact"/>
              <w:rPr>
                <w:rFonts w:eastAsia="仿宋_GB2312"/>
                <w:color w:val="000000"/>
                <w:sz w:val="18"/>
                <w:szCs w:val="18"/>
              </w:rPr>
            </w:pPr>
            <w:r>
              <w:rPr>
                <w:rFonts w:eastAsia="仿宋_GB2312"/>
                <w:color w:val="000000"/>
                <w:sz w:val="18"/>
                <w:szCs w:val="18"/>
              </w:rPr>
              <w:t>《行政许可法》</w:t>
            </w:r>
            <w:r>
              <w:rPr>
                <w:rFonts w:hint="eastAsia" w:eastAsia="仿宋_GB2312"/>
                <w:color w:val="000000"/>
                <w:sz w:val="18"/>
                <w:szCs w:val="18"/>
                <w:lang w:eastAsia="zh-CN"/>
              </w:rPr>
              <w:t>、</w:t>
            </w:r>
            <w:r>
              <w:rPr>
                <w:rFonts w:hint="eastAsia" w:eastAsia="仿宋_GB2312"/>
                <w:color w:val="000000"/>
                <w:sz w:val="18"/>
                <w:szCs w:val="18"/>
              </w:rPr>
              <w:t>《放射诊疗管理规定》第十四条第（一）项</w:t>
            </w:r>
            <w:r>
              <w:rPr>
                <w:rFonts w:hint="eastAsia" w:eastAsia="仿宋_GB2312"/>
                <w:color w:val="000000"/>
                <w:sz w:val="18"/>
                <w:szCs w:val="18"/>
                <w:lang w:eastAsia="zh-CN"/>
              </w:rPr>
              <w:t>、第（二）项、第（</w:t>
            </w:r>
            <w:r>
              <w:rPr>
                <w:rFonts w:hint="eastAsia" w:eastAsia="仿宋_GB2312"/>
                <w:color w:val="000000"/>
                <w:sz w:val="18"/>
                <w:szCs w:val="18"/>
                <w:lang w:val="en-US" w:eastAsia="zh-CN"/>
              </w:rPr>
              <w:t>三</w:t>
            </w:r>
            <w:r>
              <w:rPr>
                <w:rFonts w:hint="eastAsia" w:eastAsia="仿宋_GB2312"/>
                <w:color w:val="000000"/>
                <w:sz w:val="18"/>
                <w:szCs w:val="18"/>
                <w:lang w:eastAsia="zh-CN"/>
              </w:rPr>
              <w:t>）项、第（</w:t>
            </w:r>
            <w:r>
              <w:rPr>
                <w:rFonts w:hint="eastAsia" w:eastAsia="仿宋_GB2312"/>
                <w:color w:val="000000"/>
                <w:sz w:val="18"/>
                <w:szCs w:val="18"/>
                <w:lang w:val="en-US" w:eastAsia="zh-CN"/>
              </w:rPr>
              <w:t>四</w:t>
            </w:r>
            <w:r>
              <w:rPr>
                <w:rFonts w:hint="eastAsia" w:eastAsia="仿宋_GB2312"/>
                <w:color w:val="000000"/>
                <w:sz w:val="18"/>
                <w:szCs w:val="18"/>
                <w:lang w:eastAsia="zh-CN"/>
              </w:rPr>
              <w:t>）项、第（</w:t>
            </w:r>
            <w:r>
              <w:rPr>
                <w:rFonts w:hint="eastAsia" w:eastAsia="仿宋_GB2312"/>
                <w:color w:val="000000"/>
                <w:sz w:val="18"/>
                <w:szCs w:val="18"/>
                <w:lang w:val="en-US" w:eastAsia="zh-CN"/>
              </w:rPr>
              <w:t>五</w:t>
            </w:r>
            <w:r>
              <w:rPr>
                <w:rFonts w:hint="eastAsia" w:eastAsia="仿宋_GB2312"/>
                <w:color w:val="000000"/>
                <w:sz w:val="18"/>
                <w:szCs w:val="18"/>
                <w:lang w:eastAsia="zh-CN"/>
              </w:rPr>
              <w:t>）项、第（</w:t>
            </w:r>
            <w:r>
              <w:rPr>
                <w:rFonts w:hint="eastAsia" w:eastAsia="仿宋_GB2312"/>
                <w:color w:val="000000"/>
                <w:sz w:val="18"/>
                <w:szCs w:val="18"/>
                <w:lang w:val="en-US" w:eastAsia="zh-CN"/>
              </w:rPr>
              <w:t>六</w:t>
            </w:r>
            <w:r>
              <w:rPr>
                <w:rFonts w:hint="eastAsia" w:eastAsia="仿宋_GB2312"/>
                <w:color w:val="000000"/>
                <w:sz w:val="18"/>
                <w:szCs w:val="18"/>
                <w:lang w:eastAsia="zh-CN"/>
              </w:rPr>
              <w:t>）项；《放射诊疗管理规定》第七条、第</w:t>
            </w:r>
            <w:r>
              <w:rPr>
                <w:rFonts w:hint="eastAsia" w:eastAsia="仿宋_GB2312"/>
                <w:color w:val="000000"/>
                <w:sz w:val="18"/>
                <w:szCs w:val="18"/>
                <w:lang w:val="en-US" w:eastAsia="zh-CN"/>
              </w:rPr>
              <w:t>八</w:t>
            </w:r>
            <w:r>
              <w:rPr>
                <w:rFonts w:hint="eastAsia" w:eastAsia="仿宋_GB2312"/>
                <w:color w:val="000000"/>
                <w:sz w:val="18"/>
                <w:szCs w:val="18"/>
                <w:lang w:eastAsia="zh-CN"/>
              </w:rPr>
              <w:t>条、第</w:t>
            </w:r>
            <w:r>
              <w:rPr>
                <w:rFonts w:hint="eastAsia" w:eastAsia="仿宋_GB2312"/>
                <w:color w:val="000000"/>
                <w:sz w:val="18"/>
                <w:szCs w:val="18"/>
                <w:lang w:val="en-US" w:eastAsia="zh-CN"/>
              </w:rPr>
              <w:t>二十一</w:t>
            </w:r>
            <w:r>
              <w:rPr>
                <w:rFonts w:hint="eastAsia" w:eastAsia="仿宋_GB2312"/>
                <w:color w:val="000000"/>
                <w:sz w:val="18"/>
                <w:szCs w:val="18"/>
                <w:lang w:eastAsia="zh-CN"/>
              </w:rPr>
              <w:t>条、第</w:t>
            </w:r>
            <w:r>
              <w:rPr>
                <w:rFonts w:hint="eastAsia" w:eastAsia="仿宋_GB2312"/>
                <w:color w:val="000000"/>
                <w:sz w:val="18"/>
                <w:szCs w:val="18"/>
                <w:lang w:val="en-US" w:eastAsia="zh-CN"/>
              </w:rPr>
              <w:t>二十四</w:t>
            </w:r>
            <w:r>
              <w:rPr>
                <w:rFonts w:hint="eastAsia" w:eastAsia="仿宋_GB2312"/>
                <w:color w:val="000000"/>
                <w:sz w:val="18"/>
                <w:szCs w:val="18"/>
                <w:lang w:eastAsia="zh-CN"/>
              </w:rPr>
              <w:t>条</w:t>
            </w: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9" w:hRule="atLeast"/>
          <w:jc w:val="center"/>
        </w:trPr>
        <w:tc>
          <w:tcPr>
            <w:tcW w:w="540" w:type="dxa"/>
            <w:vMerge w:val="continue"/>
            <w:vAlign w:val="center"/>
          </w:tcPr>
          <w:p>
            <w:pPr>
              <w:spacing w:line="240" w:lineRule="exact"/>
            </w:pPr>
          </w:p>
        </w:tc>
        <w:tc>
          <w:tcPr>
            <w:tcW w:w="720" w:type="dxa"/>
            <w:vMerge w:val="continue"/>
            <w:vAlign w:val="center"/>
          </w:tcPr>
          <w:p>
            <w:pPr>
              <w:spacing w:line="240" w:lineRule="exact"/>
            </w:pPr>
          </w:p>
        </w:tc>
        <w:tc>
          <w:tcPr>
            <w:tcW w:w="1188" w:type="dxa"/>
            <w:vMerge w:val="continue"/>
            <w:vAlign w:val="center"/>
          </w:tcPr>
          <w:p>
            <w:pPr>
              <w:spacing w:line="240" w:lineRule="exact"/>
            </w:pP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结果信息——放射诊疗许可证</w:t>
            </w:r>
          </w:p>
        </w:tc>
        <w:tc>
          <w:tcPr>
            <w:tcW w:w="1800" w:type="dxa"/>
            <w:vMerge w:val="continue"/>
            <w:vAlign w:val="center"/>
          </w:tcPr>
          <w:p>
            <w:pPr>
              <w:spacing w:line="240" w:lineRule="exact"/>
              <w:rPr>
                <w:rFonts w:hint="eastAsia"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spacing w:line="240" w:lineRule="exact"/>
              <w:rPr>
                <w:rFonts w:hint="eastAsia" w:ascii="仿宋_GB2312" w:hAnsi="宋体" w:eastAsia="仿宋_GB2312"/>
                <w:color w:val="000000"/>
                <w:sz w:val="18"/>
                <w:szCs w:val="18"/>
              </w:rPr>
            </w:pPr>
          </w:p>
        </w:tc>
        <w:tc>
          <w:tcPr>
            <w:tcW w:w="1080" w:type="dxa"/>
            <w:vMerge w:val="continue"/>
            <w:vAlign w:val="center"/>
          </w:tcPr>
          <w:p>
            <w:pPr>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spacing w:line="240" w:lineRule="exact"/>
              <w:rPr>
                <w:rFonts w:hint="eastAsia"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r>
              <w:rPr>
                <w:rFonts w:hint="eastAsia" w:ascii="仿宋_GB2312" w:hAnsi="宋体" w:eastAsia="仿宋_GB2312"/>
                <w:color w:val="000000"/>
                <w:sz w:val="18"/>
                <w:szCs w:val="18"/>
                <w:lang w:val="en-US" w:eastAsia="zh-CN"/>
              </w:rPr>
              <w:t>2</w:t>
            </w:r>
          </w:p>
        </w:tc>
        <w:tc>
          <w:tcPr>
            <w:tcW w:w="720" w:type="dxa"/>
            <w:vMerge w:val="restart"/>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行政许可类事项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乡村医生执业注册（包括乡村医生执业再注册）</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1.法律法规和政策文件</w:t>
            </w:r>
          </w:p>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3.过程信息，各地可根据实际情况适当公开受理、审核、审批、送达等相关信息</w:t>
            </w:r>
          </w:p>
        </w:tc>
        <w:tc>
          <w:tcPr>
            <w:tcW w:w="1800" w:type="dxa"/>
            <w:vMerge w:val="restart"/>
            <w:vAlign w:val="center"/>
          </w:tcPr>
          <w:p>
            <w:pPr>
              <w:widowControl/>
              <w:spacing w:line="240" w:lineRule="exact"/>
              <w:rPr>
                <w:rFonts w:eastAsia="仿宋_GB2312"/>
                <w:color w:val="000000"/>
                <w:sz w:val="18"/>
                <w:szCs w:val="18"/>
              </w:rPr>
            </w:pPr>
            <w:r>
              <w:rPr>
                <w:rFonts w:eastAsia="仿宋_GB2312"/>
                <w:color w:val="000000"/>
                <w:sz w:val="18"/>
                <w:szCs w:val="18"/>
              </w:rPr>
              <w:t>《行政许可法》、《公共场所卫生管理条例》（国发[1987]24号）、《国务院关于整合调整餐饮服务场所的公共场所卫生许可证和食品经营许可的决定》（国发〔2016〕12号）、《公共场所卫生管理条例实施细则》（卫生部令第11号）</w:t>
            </w: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结果信息，包括姓名、性别、类别、执业地点、证书编码、主要执业机构、发证（批准）机关等相关信息</w:t>
            </w:r>
          </w:p>
        </w:tc>
        <w:tc>
          <w:tcPr>
            <w:tcW w:w="1800" w:type="dxa"/>
            <w:vMerge w:val="continue"/>
            <w:vAlign w:val="center"/>
          </w:tcPr>
          <w:p>
            <w:pPr>
              <w:widowControl/>
              <w:spacing w:line="240" w:lineRule="exact"/>
              <w:rPr>
                <w:rFonts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jc w:val="center"/>
              <w:rPr>
                <w:rFonts w:hint="eastAsia" w:ascii="仿宋_GB2312" w:hAnsi="宋体" w:eastAsia="仿宋_GB2312"/>
                <w:color w:val="FF0000"/>
                <w:sz w:val="18"/>
                <w:szCs w:val="18"/>
              </w:rPr>
            </w:pPr>
            <w:r>
              <w:rPr>
                <w:rFonts w:hint="eastAsia" w:ascii="仿宋_GB2312" w:hAnsi="宋体" w:eastAsia="仿宋_GB2312"/>
                <w:color w:val="FF0000"/>
                <w:sz w:val="18"/>
                <w:szCs w:val="18"/>
              </w:rPr>
              <w:t>1</w:t>
            </w:r>
            <w:r>
              <w:rPr>
                <w:rFonts w:hint="eastAsia" w:ascii="仿宋_GB2312" w:hAnsi="宋体" w:eastAsia="仿宋_GB2312"/>
                <w:color w:val="FF0000"/>
                <w:sz w:val="18"/>
                <w:szCs w:val="18"/>
                <w:lang w:val="en-US" w:eastAsia="zh-CN"/>
              </w:rPr>
              <w:t>3</w:t>
            </w:r>
          </w:p>
        </w:tc>
        <w:tc>
          <w:tcPr>
            <w:tcW w:w="720" w:type="dxa"/>
            <w:vMerge w:val="restart"/>
            <w:vAlign w:val="center"/>
          </w:tcPr>
          <w:p>
            <w:pPr>
              <w:widowControl/>
              <w:spacing w:line="240" w:lineRule="exact"/>
              <w:jc w:val="center"/>
              <w:rPr>
                <w:rFonts w:ascii="仿宋_GB2312" w:hAnsi="宋体" w:eastAsia="仿宋_GB2312"/>
                <w:color w:val="FF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未取得《医疗机构执业许可证》擅自执业或非医师行医的处罚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eastAsia="仿宋_GB2312"/>
                <w:color w:val="000000"/>
                <w:sz w:val="18"/>
                <w:szCs w:val="18"/>
              </w:rPr>
            </w:pPr>
            <w:r>
              <w:rPr>
                <w:rFonts w:eastAsia="仿宋_GB2312"/>
                <w:color w:val="000000"/>
                <w:sz w:val="18"/>
                <w:szCs w:val="18"/>
              </w:rPr>
              <w:t>《行政处罚法》、《精神卫生法》、《卫生行政处罚程序》（卫生部令第53号）</w:t>
            </w:r>
            <w:r>
              <w:rPr>
                <w:rFonts w:hint="eastAsia" w:eastAsia="仿宋_GB2312"/>
                <w:color w:val="000000"/>
                <w:sz w:val="18"/>
                <w:szCs w:val="18"/>
              </w:rPr>
              <w:t>《中华人民共和国执业医师法》（1998年6月26日主席令第5号公布，1999年5月1日施行，2009年8月27日主席令第18号修正施行）</w:t>
            </w:r>
            <w:r>
              <w:rPr>
                <w:rFonts w:hint="eastAsia" w:eastAsia="仿宋_GB2312"/>
                <w:color w:val="000000"/>
                <w:sz w:val="18"/>
                <w:szCs w:val="18"/>
                <w:lang w:eastAsia="zh-CN"/>
              </w:rPr>
              <w:t>、</w:t>
            </w:r>
            <w:r>
              <w:rPr>
                <w:rFonts w:hint="eastAsia" w:eastAsia="仿宋_GB2312"/>
                <w:color w:val="000000"/>
                <w:sz w:val="18"/>
                <w:szCs w:val="18"/>
              </w:rPr>
              <w:t>《医疗机构管理条例实施细则》（1994年8月29日卫生部令第35号公布，1994年9月1日施行。2006年11月1日卫医发〔2006〕432号修订施行，2017年2月21日卫生计生委令第12号修改，2017年4月1日施行）</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FF0000"/>
                <w:sz w:val="18"/>
                <w:szCs w:val="18"/>
              </w:rPr>
            </w:pPr>
          </w:p>
        </w:tc>
        <w:tc>
          <w:tcPr>
            <w:tcW w:w="720" w:type="dxa"/>
            <w:vMerge w:val="continue"/>
            <w:vAlign w:val="center"/>
          </w:tcPr>
          <w:p>
            <w:pPr>
              <w:widowControl/>
              <w:spacing w:line="240" w:lineRule="exact"/>
              <w:rPr>
                <w:rFonts w:ascii="仿宋_GB2312" w:hAnsi="宋体" w:eastAsia="仿宋_GB2312"/>
                <w:color w:val="FF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ascii="仿宋_GB2312" w:hAnsi="宋体" w:eastAsia="仿宋_GB2312"/>
                <w:color w:val="000000"/>
                <w:sz w:val="18"/>
                <w:szCs w:val="18"/>
              </w:rPr>
            </w:pP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FF0000"/>
                <w:sz w:val="18"/>
                <w:szCs w:val="18"/>
              </w:rPr>
            </w:pPr>
          </w:p>
        </w:tc>
        <w:tc>
          <w:tcPr>
            <w:tcW w:w="720" w:type="dxa"/>
            <w:vMerge w:val="continue"/>
            <w:vAlign w:val="center"/>
          </w:tcPr>
          <w:p>
            <w:pPr>
              <w:widowControl/>
              <w:spacing w:line="240" w:lineRule="exact"/>
              <w:rPr>
                <w:rFonts w:ascii="仿宋_GB2312" w:hAnsi="宋体" w:eastAsia="仿宋_GB2312"/>
                <w:color w:val="FF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jc w:val="center"/>
              <w:rPr>
                <w:rFonts w:hint="eastAsia" w:ascii="仿宋_GB2312" w:hAnsi="宋体" w:eastAsia="仿宋_GB2312"/>
                <w:color w:val="FF0000"/>
                <w:sz w:val="18"/>
                <w:szCs w:val="18"/>
              </w:rPr>
            </w:pPr>
            <w:r>
              <w:rPr>
                <w:rFonts w:hint="eastAsia" w:ascii="仿宋_GB2312" w:hAnsi="宋体" w:eastAsia="仿宋_GB2312"/>
                <w:color w:val="FF0000"/>
                <w:sz w:val="18"/>
                <w:szCs w:val="18"/>
              </w:rPr>
              <w:t>1</w:t>
            </w:r>
            <w:r>
              <w:rPr>
                <w:rFonts w:hint="eastAsia" w:ascii="仿宋_GB2312" w:hAnsi="宋体" w:eastAsia="仿宋_GB2312"/>
                <w:color w:val="FF0000"/>
                <w:sz w:val="18"/>
                <w:szCs w:val="18"/>
                <w:lang w:val="en-US" w:eastAsia="zh-CN"/>
              </w:rPr>
              <w:t>4</w:t>
            </w:r>
          </w:p>
        </w:tc>
        <w:tc>
          <w:tcPr>
            <w:tcW w:w="720" w:type="dxa"/>
            <w:vMerge w:val="restart"/>
            <w:vAlign w:val="center"/>
          </w:tcPr>
          <w:p>
            <w:pPr>
              <w:widowControl/>
              <w:spacing w:line="240" w:lineRule="exact"/>
              <w:jc w:val="center"/>
              <w:rPr>
                <w:rFonts w:ascii="仿宋_GB2312" w:hAnsi="宋体" w:eastAsia="仿宋_GB2312"/>
                <w:color w:val="FF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医疗机构诊疗活动超出登记范围的处罚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hint="eastAsia" w:eastAsia="仿宋_GB2312"/>
                <w:color w:val="000000"/>
                <w:sz w:val="18"/>
                <w:szCs w:val="18"/>
              </w:rPr>
            </w:pPr>
            <w:r>
              <w:rPr>
                <w:rFonts w:hint="eastAsia" w:eastAsia="仿宋_GB2312"/>
                <w:color w:val="000000"/>
                <w:sz w:val="18"/>
                <w:szCs w:val="18"/>
              </w:rPr>
              <w:t>《</w:t>
            </w:r>
            <w:r>
              <w:rPr>
                <w:rFonts w:eastAsia="仿宋_GB2312"/>
                <w:color w:val="000000"/>
                <w:sz w:val="18"/>
                <w:szCs w:val="18"/>
              </w:rPr>
              <w:t>行政处罚法》、《精神卫生法》、《卫生行政处罚程序》（卫生部令第53号</w:t>
            </w:r>
            <w:r>
              <w:rPr>
                <w:rFonts w:hint="eastAsia" w:eastAsia="仿宋_GB2312"/>
                <w:color w:val="000000"/>
                <w:sz w:val="18"/>
                <w:szCs w:val="18"/>
              </w:rPr>
              <w:t>）</w:t>
            </w:r>
            <w:r>
              <w:rPr>
                <w:rFonts w:hint="eastAsia" w:eastAsia="仿宋_GB2312"/>
                <w:color w:val="000000"/>
                <w:sz w:val="18"/>
                <w:szCs w:val="18"/>
                <w:lang w:eastAsia="zh-CN"/>
              </w:rPr>
              <w:t>、</w:t>
            </w:r>
            <w:r>
              <w:rPr>
                <w:rFonts w:hint="eastAsia" w:eastAsia="仿宋_GB2312"/>
                <w:color w:val="000000"/>
                <w:sz w:val="18"/>
                <w:szCs w:val="18"/>
              </w:rPr>
              <w:t>《医疗机构管理条例实施细则》（1994年8月29日卫生部令第35号公布，1994年9月1日施行。2006年11月1日卫医发〔</w:t>
            </w:r>
            <w:r>
              <w:rPr>
                <w:rFonts w:eastAsia="仿宋_GB2312"/>
                <w:color w:val="000000"/>
                <w:sz w:val="18"/>
                <w:szCs w:val="18"/>
              </w:rPr>
              <w:t>2006〕432号</w:t>
            </w:r>
            <w:r>
              <w:rPr>
                <w:rFonts w:hint="eastAsia" w:eastAsia="仿宋_GB2312"/>
                <w:color w:val="000000"/>
                <w:sz w:val="18"/>
                <w:szCs w:val="18"/>
              </w:rPr>
              <w:t>修订施行，2017年2月21日卫生计生委令第12号修改，2017年4月1日施行）</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ascii="仿宋_GB2312" w:hAnsi="宋体" w:eastAsia="仿宋_GB2312"/>
                <w:color w:val="000000"/>
                <w:sz w:val="18"/>
                <w:szCs w:val="18"/>
              </w:rPr>
            </w:pP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15</w:t>
            </w:r>
          </w:p>
        </w:tc>
        <w:tc>
          <w:tcPr>
            <w:tcW w:w="72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医疗机构不按规定校验的处罚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eastAsia="仿宋_GB2312"/>
                <w:color w:val="000000"/>
                <w:sz w:val="18"/>
                <w:szCs w:val="18"/>
              </w:rPr>
            </w:pPr>
            <w:r>
              <w:rPr>
                <w:rFonts w:hint="eastAsia" w:eastAsia="仿宋_GB2312"/>
                <w:color w:val="000000"/>
                <w:sz w:val="18"/>
                <w:szCs w:val="18"/>
              </w:rPr>
              <w:t>《</w:t>
            </w:r>
            <w:r>
              <w:rPr>
                <w:rFonts w:eastAsia="仿宋_GB2312"/>
                <w:color w:val="000000"/>
                <w:sz w:val="18"/>
                <w:szCs w:val="18"/>
              </w:rPr>
              <w:t>行政处罚法》</w:t>
            </w:r>
            <w:r>
              <w:rPr>
                <w:rFonts w:hint="eastAsia" w:eastAsia="仿宋_GB2312"/>
                <w:color w:val="000000"/>
                <w:sz w:val="18"/>
                <w:szCs w:val="18"/>
                <w:lang w:eastAsia="zh-CN"/>
              </w:rPr>
              <w:t>、</w:t>
            </w:r>
            <w:r>
              <w:rPr>
                <w:rFonts w:hint="eastAsia" w:eastAsia="仿宋_GB2312"/>
                <w:color w:val="000000"/>
                <w:sz w:val="18"/>
                <w:szCs w:val="18"/>
              </w:rPr>
              <w:t>《医疗机构管理条例实施细则》（1994年8月29日卫生部令第35号公布，1994年9月1日施行。2006年11月1日卫医发〔2006〕432号修订施行，2017年2月21日卫生计生委令第12号修改，2017年4月1日施行）</w:t>
            </w:r>
            <w:r>
              <w:rPr>
                <w:rFonts w:hint="eastAsia" w:eastAsia="仿宋_GB2312"/>
                <w:color w:val="000000"/>
                <w:sz w:val="18"/>
                <w:szCs w:val="18"/>
                <w:lang w:eastAsia="zh-CN"/>
              </w:rPr>
              <w:t>、</w:t>
            </w:r>
            <w:r>
              <w:rPr>
                <w:rFonts w:hint="eastAsia" w:eastAsia="仿宋_GB2312"/>
                <w:color w:val="000000"/>
                <w:sz w:val="18"/>
                <w:szCs w:val="18"/>
              </w:rPr>
              <w:t>《广西壮族自治区医疗机构管理办法》（2012年1月19日自治区人民政府令第74号公布，2012年4月1日施行，2016年9月26日自治区人民政府令第112号修改施行</w:t>
            </w:r>
            <w:r>
              <w:rPr>
                <w:rFonts w:hint="eastAsia" w:ascii="宋体" w:hAnsi="宋体"/>
                <w:szCs w:val="21"/>
              </w:rPr>
              <w:t>）</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16</w:t>
            </w:r>
          </w:p>
        </w:tc>
        <w:tc>
          <w:tcPr>
            <w:tcW w:w="72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医疗机构使用非卫生技术人员或未经注册的护士从事医疗卫生技术工作的处罚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ascii="仿宋_GB2312" w:hAnsi="宋体" w:eastAsia="仿宋_GB2312"/>
                <w:color w:val="000000"/>
                <w:sz w:val="18"/>
                <w:szCs w:val="18"/>
              </w:rPr>
            </w:pPr>
            <w:r>
              <w:rPr>
                <w:rFonts w:hint="eastAsia" w:eastAsia="仿宋_GB2312"/>
                <w:color w:val="000000"/>
                <w:sz w:val="18"/>
                <w:szCs w:val="18"/>
              </w:rPr>
              <w:t>《</w:t>
            </w:r>
            <w:r>
              <w:rPr>
                <w:rFonts w:eastAsia="仿宋_GB2312"/>
                <w:color w:val="000000"/>
                <w:sz w:val="18"/>
                <w:szCs w:val="18"/>
              </w:rPr>
              <w:t>行政处罚法》</w:t>
            </w:r>
            <w:r>
              <w:rPr>
                <w:rFonts w:hint="eastAsia" w:eastAsia="仿宋_GB2312"/>
                <w:color w:val="000000"/>
                <w:sz w:val="18"/>
                <w:szCs w:val="18"/>
                <w:lang w:eastAsia="zh-CN"/>
              </w:rPr>
              <w:t>、</w:t>
            </w:r>
            <w:r>
              <w:rPr>
                <w:rFonts w:hint="eastAsia" w:eastAsia="仿宋_GB2312"/>
                <w:color w:val="000000"/>
                <w:sz w:val="18"/>
                <w:szCs w:val="18"/>
              </w:rPr>
              <w:t>《医疗机构管理条例实施细则》（1994年8月29日卫生部令第35号公布，1994年9月1日施行。2006年11月1日卫医发〔2006〕432号修订施行，2017年2月21日卫生计生委令第12号修改，2017年4月1日施行）</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17</w:t>
            </w:r>
          </w:p>
        </w:tc>
        <w:tc>
          <w:tcPr>
            <w:tcW w:w="72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医疗机构未按规定管理和使用抗菌药物的或违规开展静脉用药的处罚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ascii="仿宋_GB2312" w:hAnsi="宋体" w:eastAsia="仿宋_GB2312"/>
                <w:color w:val="000000"/>
                <w:sz w:val="18"/>
                <w:szCs w:val="18"/>
              </w:rPr>
            </w:pPr>
            <w:r>
              <w:rPr>
                <w:rFonts w:hint="eastAsia" w:eastAsia="仿宋_GB2312"/>
                <w:color w:val="000000"/>
                <w:sz w:val="18"/>
                <w:szCs w:val="18"/>
              </w:rPr>
              <w:t>《</w:t>
            </w:r>
            <w:r>
              <w:rPr>
                <w:rFonts w:eastAsia="仿宋_GB2312"/>
                <w:color w:val="000000"/>
                <w:sz w:val="18"/>
                <w:szCs w:val="18"/>
              </w:rPr>
              <w:t>行政处罚法》</w:t>
            </w:r>
            <w:r>
              <w:rPr>
                <w:rFonts w:hint="eastAsia" w:eastAsia="仿宋_GB2312"/>
                <w:color w:val="000000"/>
                <w:sz w:val="18"/>
                <w:szCs w:val="18"/>
                <w:lang w:eastAsia="zh-CN"/>
              </w:rPr>
              <w:t>、</w:t>
            </w:r>
            <w:r>
              <w:rPr>
                <w:rFonts w:hint="eastAsia" w:eastAsia="仿宋_GB2312"/>
                <w:color w:val="000000"/>
                <w:sz w:val="18"/>
                <w:szCs w:val="18"/>
              </w:rPr>
              <w:t>《抗菌药物临床应用管理办法》(2012年4月24日卫生部令第84号发布，自2012年8月1日起施行)</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18</w:t>
            </w:r>
          </w:p>
        </w:tc>
        <w:tc>
          <w:tcPr>
            <w:tcW w:w="72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医疗机构违反规定使用医疗器械的处罚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ascii="仿宋_GB2312" w:hAnsi="宋体" w:eastAsia="仿宋_GB2312"/>
                <w:color w:val="000000"/>
                <w:sz w:val="18"/>
                <w:szCs w:val="18"/>
              </w:rPr>
            </w:pPr>
            <w:r>
              <w:rPr>
                <w:rFonts w:hint="eastAsia" w:eastAsia="仿宋_GB2312"/>
                <w:color w:val="000000"/>
                <w:sz w:val="18"/>
                <w:szCs w:val="18"/>
              </w:rPr>
              <w:t>《行政处罚法》</w:t>
            </w:r>
            <w:r>
              <w:rPr>
                <w:rFonts w:hint="eastAsia" w:eastAsia="仿宋_GB2312"/>
                <w:color w:val="000000"/>
                <w:sz w:val="18"/>
                <w:szCs w:val="18"/>
                <w:lang w:eastAsia="zh-CN"/>
              </w:rPr>
              <w:t>、</w:t>
            </w:r>
            <w:r>
              <w:rPr>
                <w:rFonts w:hint="eastAsia" w:eastAsia="仿宋_GB2312"/>
                <w:color w:val="000000"/>
                <w:sz w:val="18"/>
                <w:szCs w:val="18"/>
              </w:rPr>
              <w:t>《医疗器械监督管理条例》（2014年3月7日国务院令第650号公布，2014年6月1日起施行。2017年5月4日国务院令第680号修改公布施行)</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540" w:type="dxa"/>
            <w:vMerge w:val="restart"/>
            <w:vAlign w:val="center"/>
          </w:tcPr>
          <w:p>
            <w:pPr>
              <w:widowControl/>
              <w:spacing w:line="240" w:lineRule="exact"/>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19</w:t>
            </w:r>
          </w:p>
        </w:tc>
        <w:tc>
          <w:tcPr>
            <w:tcW w:w="720" w:type="dxa"/>
            <w:vMerge w:val="restart"/>
            <w:vAlign w:val="center"/>
          </w:tcPr>
          <w:p>
            <w:pPr>
              <w:widowControl/>
              <w:spacing w:line="240" w:lineRule="exact"/>
              <w:rPr>
                <w:rFonts w:hint="eastAsia" w:ascii="仿宋_GB2312" w:hAnsi="宋体" w:eastAsia="仿宋_GB2312"/>
                <w:color w:val="FF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医疗机构场所出租、承包的处罚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《医疗机构管理条例实施细则》（1994年8月29日卫生部令第35号公布，1994年9月1日施行。2006年11月1日卫医发〔2006〕432号修订施行，2017年2月21日卫生计生委令第12号修改，2017年4月1日施行）</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《广西壮族自治区医疗机构管理办法》（2012年1月19日自治区人民政府令第74号公布，2012年4月1日施行，2016年9月26日自治区人民政府令第112号修改施行）</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hint="eastAsia" w:ascii="仿宋_GB2312" w:hAnsi="宋体" w:eastAsia="仿宋_GB2312"/>
                <w:color w:val="000000"/>
                <w:sz w:val="18"/>
                <w:szCs w:val="18"/>
                <w:lang w:val="en-US" w:eastAsia="zh-CN"/>
              </w:rPr>
            </w:pPr>
          </w:p>
        </w:tc>
        <w:tc>
          <w:tcPr>
            <w:tcW w:w="720" w:type="dxa"/>
            <w:vMerge w:val="continue"/>
            <w:vAlign w:val="center"/>
          </w:tcPr>
          <w:p>
            <w:pPr>
              <w:widowControl/>
              <w:spacing w:line="240" w:lineRule="exact"/>
              <w:rPr>
                <w:rFonts w:hint="eastAsia" w:ascii="仿宋_GB2312" w:hAnsi="宋体" w:eastAsia="仿宋_GB2312"/>
                <w:color w:val="FF0000"/>
                <w:sz w:val="18"/>
                <w:szCs w:val="18"/>
              </w:rPr>
            </w:pPr>
          </w:p>
        </w:tc>
        <w:tc>
          <w:tcPr>
            <w:tcW w:w="1188" w:type="dxa"/>
            <w:vMerge w:val="continue"/>
            <w:vAlign w:val="center"/>
          </w:tcPr>
          <w:p>
            <w:pPr>
              <w:widowControl/>
              <w:spacing w:line="240" w:lineRule="exact"/>
              <w:rPr>
                <w:rFonts w:hint="eastAsia"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hint="eastAsia"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hint="eastAsia" w:ascii="仿宋_GB2312" w:hAnsi="宋体" w:eastAsia="仿宋_GB2312"/>
                <w:color w:val="000000"/>
                <w:sz w:val="18"/>
                <w:szCs w:val="18"/>
                <w:lang w:val="en-US" w:eastAsia="zh-CN"/>
              </w:rPr>
            </w:pPr>
          </w:p>
        </w:tc>
        <w:tc>
          <w:tcPr>
            <w:tcW w:w="720" w:type="dxa"/>
            <w:vMerge w:val="continue"/>
            <w:vAlign w:val="center"/>
          </w:tcPr>
          <w:p>
            <w:pPr>
              <w:widowControl/>
              <w:spacing w:line="240" w:lineRule="exact"/>
              <w:rPr>
                <w:rFonts w:hint="eastAsia" w:ascii="仿宋_GB2312" w:hAnsi="宋体" w:eastAsia="仿宋_GB2312"/>
                <w:color w:val="FF0000"/>
                <w:sz w:val="18"/>
                <w:szCs w:val="18"/>
              </w:rPr>
            </w:pPr>
          </w:p>
        </w:tc>
        <w:tc>
          <w:tcPr>
            <w:tcW w:w="1188" w:type="dxa"/>
            <w:vMerge w:val="continue"/>
            <w:vAlign w:val="center"/>
          </w:tcPr>
          <w:p>
            <w:pPr>
              <w:widowControl/>
              <w:spacing w:line="240" w:lineRule="exact"/>
              <w:rPr>
                <w:rFonts w:hint="eastAsia"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hint="eastAsia"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20</w:t>
            </w:r>
          </w:p>
        </w:tc>
        <w:tc>
          <w:tcPr>
            <w:tcW w:w="720" w:type="dxa"/>
            <w:vMerge w:val="restart"/>
            <w:vAlign w:val="center"/>
          </w:tcPr>
          <w:p>
            <w:pPr>
              <w:widowControl/>
              <w:spacing w:line="240" w:lineRule="exact"/>
              <w:rPr>
                <w:rFonts w:hint="eastAsia" w:ascii="仿宋_GB2312" w:hAnsi="宋体" w:eastAsia="仿宋_GB2312"/>
                <w:color w:val="FF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医疗机构违法发布医疗广告的处罚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hint="eastAsia" w:eastAsia="仿宋_GB2312"/>
                <w:color w:val="000000"/>
                <w:sz w:val="18"/>
                <w:szCs w:val="18"/>
              </w:rPr>
            </w:pPr>
            <w:r>
              <w:rPr>
                <w:rFonts w:hint="eastAsia" w:ascii="仿宋_GB2312" w:hAnsi="宋体" w:eastAsia="仿宋_GB2312"/>
                <w:color w:val="000000"/>
                <w:sz w:val="18"/>
                <w:szCs w:val="18"/>
              </w:rPr>
              <w:t>《中华人民共和国广告法》（1994年10月27日主席令第34号公布,1995年2月1日起施行, 2015年4月24日主席令第22号修订公布,自2015年9月1日施行</w:t>
            </w:r>
            <w:r>
              <w:rPr>
                <w:rFonts w:hint="eastAsia" w:ascii="宋体" w:hAnsi="宋体"/>
                <w:szCs w:val="21"/>
              </w:rPr>
              <w:t>）</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hint="eastAsia" w:ascii="仿宋_GB2312" w:hAnsi="宋体" w:eastAsia="仿宋_GB2312"/>
                <w:color w:val="000000"/>
                <w:sz w:val="18"/>
                <w:szCs w:val="18"/>
                <w:lang w:val="en-US" w:eastAsia="zh-CN"/>
              </w:rPr>
            </w:pPr>
          </w:p>
        </w:tc>
        <w:tc>
          <w:tcPr>
            <w:tcW w:w="720" w:type="dxa"/>
            <w:vMerge w:val="continue"/>
            <w:vAlign w:val="center"/>
          </w:tcPr>
          <w:p>
            <w:pPr>
              <w:widowControl/>
              <w:spacing w:line="240" w:lineRule="exact"/>
              <w:rPr>
                <w:rFonts w:hint="eastAsia" w:ascii="仿宋_GB2312" w:hAnsi="宋体" w:eastAsia="仿宋_GB2312"/>
                <w:color w:val="FF0000"/>
                <w:sz w:val="18"/>
                <w:szCs w:val="18"/>
              </w:rPr>
            </w:pPr>
          </w:p>
        </w:tc>
        <w:tc>
          <w:tcPr>
            <w:tcW w:w="1188" w:type="dxa"/>
            <w:vMerge w:val="continue"/>
            <w:vAlign w:val="center"/>
          </w:tcPr>
          <w:p>
            <w:pPr>
              <w:widowControl/>
              <w:spacing w:line="240" w:lineRule="exact"/>
              <w:rPr>
                <w:rFonts w:hint="eastAsia"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hint="eastAsia"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hint="eastAsia" w:ascii="仿宋_GB2312" w:hAnsi="宋体" w:eastAsia="仿宋_GB2312"/>
                <w:color w:val="000000"/>
                <w:sz w:val="18"/>
                <w:szCs w:val="18"/>
                <w:lang w:val="en-US" w:eastAsia="zh-CN"/>
              </w:rPr>
            </w:pPr>
          </w:p>
        </w:tc>
        <w:tc>
          <w:tcPr>
            <w:tcW w:w="720" w:type="dxa"/>
            <w:vMerge w:val="continue"/>
            <w:vAlign w:val="center"/>
          </w:tcPr>
          <w:p>
            <w:pPr>
              <w:widowControl/>
              <w:spacing w:line="240" w:lineRule="exact"/>
              <w:rPr>
                <w:rFonts w:hint="eastAsia" w:ascii="仿宋_GB2312" w:hAnsi="宋体" w:eastAsia="仿宋_GB2312"/>
                <w:color w:val="FF0000"/>
                <w:sz w:val="18"/>
                <w:szCs w:val="18"/>
              </w:rPr>
            </w:pPr>
          </w:p>
        </w:tc>
        <w:tc>
          <w:tcPr>
            <w:tcW w:w="1188" w:type="dxa"/>
            <w:vMerge w:val="continue"/>
            <w:vAlign w:val="center"/>
          </w:tcPr>
          <w:p>
            <w:pPr>
              <w:widowControl/>
              <w:spacing w:line="240" w:lineRule="exact"/>
              <w:rPr>
                <w:rFonts w:hint="eastAsia"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hint="eastAsia"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21</w:t>
            </w:r>
          </w:p>
        </w:tc>
        <w:tc>
          <w:tcPr>
            <w:tcW w:w="72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医务人员违反处方管理规定的处罚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ascii="仿宋_GB2312" w:hAnsi="宋体" w:eastAsia="仿宋_GB2312"/>
                <w:color w:val="000000"/>
                <w:sz w:val="18"/>
                <w:szCs w:val="18"/>
              </w:rPr>
            </w:pPr>
            <w:r>
              <w:rPr>
                <w:rFonts w:hint="eastAsia" w:eastAsia="仿宋_GB2312"/>
                <w:color w:val="000000"/>
                <w:sz w:val="18"/>
                <w:szCs w:val="18"/>
              </w:rPr>
              <w:t>《行政处罚法》</w:t>
            </w:r>
            <w:r>
              <w:rPr>
                <w:rFonts w:hint="eastAsia" w:ascii="宋体" w:hAnsi="宋体"/>
                <w:szCs w:val="21"/>
                <w:lang w:eastAsia="zh-CN"/>
              </w:rPr>
              <w:t>、</w:t>
            </w:r>
            <w:r>
              <w:rPr>
                <w:rFonts w:hint="eastAsia" w:eastAsia="仿宋_GB2312"/>
                <w:color w:val="000000"/>
                <w:sz w:val="18"/>
                <w:szCs w:val="18"/>
              </w:rPr>
              <w:t>《中华人民共和国执业医师法》（1998年6月26日主席令第5号公布，1999年5月1日施行，2009年8月27日主席令第18号修正施行</w:t>
            </w:r>
            <w:r>
              <w:rPr>
                <w:rFonts w:hint="eastAsia" w:eastAsia="仿宋_GB2312"/>
                <w:color w:val="000000"/>
                <w:sz w:val="18"/>
                <w:szCs w:val="18"/>
                <w:lang w:eastAsia="zh-CN"/>
              </w:rPr>
              <w:t>、</w:t>
            </w:r>
            <w:r>
              <w:rPr>
                <w:rFonts w:hint="eastAsia" w:eastAsia="仿宋_GB2312"/>
                <w:color w:val="000000"/>
                <w:sz w:val="18"/>
                <w:szCs w:val="18"/>
              </w:rPr>
              <w:t xml:space="preserve">《处方管理办法》（2007年2月14日卫生部令第53号发布，自2007年5月1日起施行) </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22</w:t>
            </w:r>
          </w:p>
        </w:tc>
        <w:tc>
          <w:tcPr>
            <w:tcW w:w="72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医务人员违规使用抗菌药物的处罚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ascii="仿宋_GB2312" w:hAnsi="宋体" w:eastAsia="仿宋_GB2312"/>
                <w:color w:val="000000"/>
                <w:sz w:val="18"/>
                <w:szCs w:val="18"/>
              </w:rPr>
            </w:pPr>
            <w:r>
              <w:rPr>
                <w:rFonts w:hint="eastAsia" w:eastAsia="仿宋_GB2312"/>
                <w:color w:val="000000"/>
                <w:sz w:val="18"/>
                <w:szCs w:val="18"/>
              </w:rPr>
              <w:t>《抗菌药物临床应用管理办法》（2012年4月24日卫生部令第84号公布，自2012年8月1日起施行）</w:t>
            </w:r>
            <w:r>
              <w:rPr>
                <w:rFonts w:hint="eastAsia" w:eastAsia="仿宋_GB2312"/>
                <w:color w:val="000000"/>
                <w:sz w:val="18"/>
                <w:szCs w:val="18"/>
                <w:lang w:eastAsia="zh-CN"/>
              </w:rPr>
              <w:t>、</w:t>
            </w:r>
            <w:r>
              <w:rPr>
                <w:rFonts w:hint="eastAsia" w:eastAsia="仿宋_GB2312"/>
                <w:color w:val="000000"/>
                <w:sz w:val="18"/>
                <w:szCs w:val="18"/>
              </w:rPr>
              <w:t>《中华人民共和国执业医师法》1998年6月26日主席令第5号公布，1999年5月1日施行，2009年8月27日主席令第18号修正施行</w:t>
            </w:r>
            <w:r>
              <w:rPr>
                <w:rFonts w:hint="eastAsia" w:ascii="宋体" w:hAnsi="宋体"/>
                <w:szCs w:val="21"/>
              </w:rPr>
              <w:t>）</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23</w:t>
            </w:r>
          </w:p>
        </w:tc>
        <w:tc>
          <w:tcPr>
            <w:tcW w:w="72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乡村医生执业活动违反有关规定的处罚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《乡村医生从业管理条例》（2003年8月5日国务院令第386号发布，自2004年1月1日起施行）</w:t>
            </w:r>
          </w:p>
          <w:p>
            <w:pPr>
              <w:widowControl/>
              <w:spacing w:line="240" w:lineRule="exact"/>
              <w:rPr>
                <w:rFonts w:ascii="仿宋_GB2312" w:hAnsi="宋体" w:eastAsia="仿宋_GB2312"/>
                <w:color w:val="000000"/>
                <w:sz w:val="18"/>
                <w:szCs w:val="18"/>
              </w:rPr>
            </w:pP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24</w:t>
            </w:r>
          </w:p>
        </w:tc>
        <w:tc>
          <w:tcPr>
            <w:tcW w:w="72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非法开展非医学需要胎儿性别鉴定和选择性别人工终止妊娠的处罚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hint="eastAsia"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《中华人民共和国人口与计划生育法》（2001年12月29日 主席令第63号公布, 自2002年9月1日起施行。2015年12月27日第十二届全国人民代表大会常务委员会第十八次会议修改，2016年1月1日施行）、《广西壮族自治区人口和计划生育条例》（2012年3月23日广西壮族自治区第十一届人民代表大会常务委员会第二十七次会议通过，2012年6月1日施行; 2016年1月15日广西壮族自治区第十二届人民代表大会常务委员会第二十一次会议第二次修正施行）、《广西壮族自治区禁止非医学需要鉴定胎儿性别和选择性别人工终止妊娠的规定》（2011年7月29日广西壮族自治区第十一届人民代表大会常务委员会第二十二次会议通过，自2011年10月1日起施行）、《广西壮族自治区母婴保健管理办法》（2001年12月30日自治区人民政府令第7号公布，2004年6月29日自治区人民政府令第7号修正）、《禁止非医学需要的胎儿性别鉴定和选择性别人工终止妊娠的规定》（2016年3月28日国家卫生计生委令第9号，自2016年5月1日起施行）</w:t>
            </w:r>
          </w:p>
          <w:p>
            <w:pPr>
              <w:widowControl/>
              <w:spacing w:line="240" w:lineRule="exact"/>
              <w:rPr>
                <w:rFonts w:hint="eastAsia" w:ascii="仿宋_GB2312" w:hAnsi="宋体" w:eastAsia="仿宋_GB2312"/>
                <w:color w:val="000000"/>
                <w:sz w:val="18"/>
                <w:szCs w:val="18"/>
                <w:lang w:val="en-US" w:eastAsia="zh-CN"/>
              </w:rPr>
            </w:pPr>
          </w:p>
          <w:p>
            <w:pPr>
              <w:widowControl/>
              <w:spacing w:line="240" w:lineRule="exact"/>
              <w:rPr>
                <w:rFonts w:ascii="仿宋_GB2312" w:hAnsi="宋体" w:eastAsia="仿宋_GB2312"/>
                <w:color w:val="000000"/>
                <w:sz w:val="18"/>
                <w:szCs w:val="18"/>
              </w:rPr>
            </w:pP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25</w:t>
            </w:r>
          </w:p>
        </w:tc>
        <w:tc>
          <w:tcPr>
            <w:tcW w:w="72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FF0000"/>
                <w:sz w:val="18"/>
                <w:szCs w:val="18"/>
              </w:rPr>
              <w:t>行政处罚类事项</w:t>
            </w:r>
          </w:p>
        </w:tc>
        <w:tc>
          <w:tcPr>
            <w:tcW w:w="1188"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rPr>
              <w:t>符合再生育条件未领取再生育证生育子女的处罚</w:t>
            </w:r>
          </w:p>
        </w:tc>
        <w:tc>
          <w:tcPr>
            <w:tcW w:w="4140" w:type="dxa"/>
            <w:vAlign w:val="center"/>
          </w:tcPr>
          <w:p>
            <w:pPr>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法律法规和政策文件；</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投诉举报电话以及网上投诉渠道</w:t>
            </w:r>
          </w:p>
        </w:tc>
        <w:tc>
          <w:tcPr>
            <w:tcW w:w="1800" w:type="dxa"/>
            <w:vMerge w:val="restart"/>
            <w:vAlign w:val="center"/>
          </w:tcPr>
          <w:p>
            <w:pPr>
              <w:widowControl/>
              <w:spacing w:line="240" w:lineRule="exact"/>
              <w:rPr>
                <w:rFonts w:ascii="仿宋_GB2312" w:hAnsi="宋体" w:eastAsia="仿宋_GB2312"/>
                <w:color w:val="000000"/>
                <w:sz w:val="18"/>
                <w:szCs w:val="18"/>
              </w:rPr>
            </w:pPr>
            <w:r>
              <w:rPr>
                <w:rFonts w:hint="eastAsia" w:ascii="仿宋_GB2312" w:hAnsi="宋体" w:eastAsia="仿宋_GB2312"/>
                <w:color w:val="000000"/>
                <w:sz w:val="18"/>
                <w:szCs w:val="18"/>
                <w:lang w:val="en-US" w:eastAsia="zh-CN"/>
              </w:rPr>
              <w:t>《广西壮族自治区人口和计划生育条例》（2012年3月23日广西壮族自治区第十一届人民代表大会常务委员会第二十七次会议通过，2012年6月1日施行; 2016年1月15日广西壮族自治区第十二届人民代表大会常务委员会第二十一次会议第二次修正施行）</w:t>
            </w:r>
          </w:p>
        </w:tc>
        <w:tc>
          <w:tcPr>
            <w:tcW w:w="144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自信息形成或者变更之日起20个工作日内予以公开</w:t>
            </w:r>
          </w:p>
        </w:tc>
        <w:tc>
          <w:tcPr>
            <w:tcW w:w="720" w:type="dxa"/>
            <w:vMerge w:val="restart"/>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卫生健康行政部门</w:t>
            </w: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受理和立案信息，包括：案件受理记录、立案报告；</w:t>
            </w:r>
          </w:p>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告知信息，包括：行政处罚事先告知书、听证告知书</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Merge w:val="continue"/>
            <w:vAlign w:val="center"/>
          </w:tcPr>
          <w:p>
            <w:pPr>
              <w:widowControl/>
              <w:spacing w:line="240" w:lineRule="exact"/>
              <w:rPr>
                <w:rFonts w:hint="eastAsia" w:ascii="仿宋_GB2312" w:hAnsi="宋体" w:eastAsia="仿宋_GB2312"/>
                <w:color w:val="000000"/>
                <w:sz w:val="18"/>
                <w:szCs w:val="18"/>
              </w:rPr>
            </w:pP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■精准推送        </w:t>
            </w:r>
          </w:p>
        </w:tc>
        <w:tc>
          <w:tcPr>
            <w:tcW w:w="720" w:type="dxa"/>
            <w:vAlign w:val="center"/>
          </w:tcPr>
          <w:p>
            <w:pPr>
              <w:widowControl/>
              <w:spacing w:line="240" w:lineRule="exact"/>
              <w:jc w:val="center"/>
              <w:rPr>
                <w:rFonts w:hint="eastAsia" w:ascii="仿宋_GB2312" w:hAnsi="宋体" w:eastAsia="仿宋_GB2312"/>
                <w:color w:val="000000"/>
                <w:sz w:val="18"/>
                <w:szCs w:val="18"/>
              </w:rPr>
            </w:pP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行政相对人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540" w:type="dxa"/>
            <w:vMerge w:val="continue"/>
            <w:vAlign w:val="center"/>
          </w:tcPr>
          <w:p>
            <w:pPr>
              <w:widowControl/>
              <w:spacing w:line="240" w:lineRule="exact"/>
              <w:rPr>
                <w:rFonts w:ascii="仿宋_GB2312" w:hAnsi="宋体" w:eastAsia="仿宋_GB2312"/>
                <w:color w:val="000000"/>
                <w:sz w:val="18"/>
                <w:szCs w:val="18"/>
              </w:rPr>
            </w:pPr>
          </w:p>
        </w:tc>
        <w:tc>
          <w:tcPr>
            <w:tcW w:w="720" w:type="dxa"/>
            <w:vMerge w:val="continue"/>
            <w:vAlign w:val="center"/>
          </w:tcPr>
          <w:p>
            <w:pPr>
              <w:widowControl/>
              <w:spacing w:line="240" w:lineRule="exact"/>
              <w:rPr>
                <w:rFonts w:ascii="仿宋_GB2312" w:hAnsi="宋体" w:eastAsia="仿宋_GB2312"/>
                <w:color w:val="000000"/>
                <w:sz w:val="18"/>
                <w:szCs w:val="18"/>
              </w:rPr>
            </w:pPr>
          </w:p>
        </w:tc>
        <w:tc>
          <w:tcPr>
            <w:tcW w:w="1188" w:type="dxa"/>
            <w:vMerge w:val="continue"/>
            <w:vAlign w:val="center"/>
          </w:tcPr>
          <w:p>
            <w:pPr>
              <w:widowControl/>
              <w:spacing w:line="240" w:lineRule="exact"/>
              <w:rPr>
                <w:rFonts w:ascii="仿宋_GB2312" w:hAnsi="宋体" w:eastAsia="仿宋_GB2312"/>
                <w:color w:val="000000"/>
                <w:sz w:val="18"/>
                <w:szCs w:val="18"/>
              </w:rPr>
            </w:pPr>
          </w:p>
        </w:tc>
        <w:tc>
          <w:tcPr>
            <w:tcW w:w="41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行政处罚决定信息，包括：处罚决定书文号、处罚名称、处罚类别、处罚事由、相对人名称、处罚依据、处罚单位、处罚决定日期</w:t>
            </w:r>
          </w:p>
        </w:tc>
        <w:tc>
          <w:tcPr>
            <w:tcW w:w="1800" w:type="dxa"/>
            <w:vMerge w:val="continue"/>
            <w:vAlign w:val="center"/>
          </w:tcPr>
          <w:p>
            <w:pPr>
              <w:widowControl/>
              <w:spacing w:line="240" w:lineRule="exact"/>
              <w:rPr>
                <w:rFonts w:ascii="仿宋_GB2312" w:hAnsi="宋体" w:eastAsia="仿宋_GB2312"/>
                <w:color w:val="000000"/>
                <w:sz w:val="18"/>
                <w:szCs w:val="18"/>
              </w:rPr>
            </w:pPr>
          </w:p>
        </w:tc>
        <w:tc>
          <w:tcPr>
            <w:tcW w:w="144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自信息形成或者变更之日起7个工作日内予以公开</w:t>
            </w:r>
          </w:p>
        </w:tc>
        <w:tc>
          <w:tcPr>
            <w:tcW w:w="720" w:type="dxa"/>
            <w:vMerge w:val="continue"/>
            <w:vAlign w:val="center"/>
          </w:tcPr>
          <w:p>
            <w:pPr>
              <w:widowControl/>
              <w:spacing w:line="240" w:lineRule="exact"/>
              <w:rPr>
                <w:rFonts w:hint="eastAsia" w:ascii="仿宋_GB2312" w:hAnsi="宋体" w:eastAsia="仿宋_GB2312"/>
                <w:color w:val="000000"/>
                <w:sz w:val="18"/>
                <w:szCs w:val="18"/>
              </w:rPr>
            </w:pPr>
          </w:p>
        </w:tc>
        <w:tc>
          <w:tcPr>
            <w:tcW w:w="1080" w:type="dxa"/>
            <w:vAlign w:val="center"/>
          </w:tcPr>
          <w:p>
            <w:pPr>
              <w:widowControl/>
              <w:spacing w:line="240" w:lineRule="exact"/>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96"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664" w:type="dxa"/>
            <w:vAlign w:val="center"/>
          </w:tcPr>
          <w:p>
            <w:pPr>
              <w:widowControl/>
              <w:spacing w:line="240" w:lineRule="exact"/>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r>
    </w:tbl>
    <w:p>
      <w:r>
        <w:rPr>
          <w:rFonts w:hint="eastAsia" w:ascii="楷体_GB2312" w:eastAsia="楷体_GB2312"/>
          <w:sz w:val="30"/>
          <w:szCs w:val="30"/>
        </w:rPr>
        <w:t>备注：考虑到篇幅原因，卫生健康领域基层政务公开标准目录其他内容略。详见《国家卫生健康委办公厅关于印发卫生健康领域基层政务公开标准指引（试行）的通知》（国卫办政务函</w:t>
      </w:r>
      <w:r>
        <w:rPr>
          <w:rFonts w:hint="eastAsia" w:ascii="宋体" w:hAnsi="宋体" w:cs="宋体"/>
          <w:sz w:val="30"/>
          <w:szCs w:val="30"/>
        </w:rPr>
        <w:t>﹝</w:t>
      </w:r>
      <w:r>
        <w:rPr>
          <w:rFonts w:hint="eastAsia" w:ascii="楷体_GB2312" w:eastAsia="楷体_GB2312"/>
          <w:sz w:val="30"/>
          <w:szCs w:val="30"/>
        </w:rPr>
        <w:t>2019</w:t>
      </w:r>
      <w:r>
        <w:rPr>
          <w:rFonts w:hint="eastAsia" w:ascii="宋体" w:hAnsi="宋体" w:cs="宋体"/>
          <w:sz w:val="30"/>
          <w:szCs w:val="30"/>
        </w:rPr>
        <w:t>﹞</w:t>
      </w:r>
      <w:r>
        <w:rPr>
          <w:rFonts w:hint="eastAsia" w:ascii="楷体_GB2312" w:eastAsia="楷体_GB2312"/>
          <w:sz w:val="30"/>
          <w:szCs w:val="30"/>
        </w:rPr>
        <w:t>698号）</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Palatino Linotype">
    <w:panose1 w:val="02040502050505030304"/>
    <w:charset w:val="00"/>
    <w:family w:val="auto"/>
    <w:pitch w:val="default"/>
    <w:sig w:usb0="E0000287" w:usb1="40000013" w:usb2="00000000" w:usb3="00000000" w:csb0="2000019F" w:csb1="00000000"/>
  </w:font>
  <w:font w:name="Lucida Sans Unicode">
    <w:panose1 w:val="020B0602030504020204"/>
    <w:charset w:val="00"/>
    <w:family w:val="auto"/>
    <w:pitch w:val="default"/>
    <w:sig w:usb0="80001AFF" w:usb1="0000396B" w:usb2="00000000" w:usb3="00000000" w:csb0="200000BF" w:csb1="D7F70000"/>
  </w:font>
  <w:font w:name="FangSong_GB2312-Identity-H">
    <w:altName w:val="宋体"/>
    <w:panose1 w:val="00000000000000000000"/>
    <w:charset w:val="86"/>
    <w:family w:val="auto"/>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方正仿宋_GBK">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Meiryo UI">
    <w:panose1 w:val="020B0604030504040204"/>
    <w:charset w:val="80"/>
    <w:family w:val="auto"/>
    <w:pitch w:val="default"/>
    <w:sig w:usb0="E10102FF" w:usb1="EAC7FFFF" w:usb2="00010012" w:usb3="00000000" w:csb0="6002009F" w:csb1="DFD70000"/>
  </w:font>
  <w:font w:name="方正小标宋简体">
    <w:altName w:val="微软雅黑"/>
    <w:panose1 w:val="02010601030101010101"/>
    <w:charset w:val="86"/>
    <w:family w:val="auto"/>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PMingLiU">
    <w:panose1 w:val="02020500000000000000"/>
    <w:charset w:val="88"/>
    <w:family w:val="auto"/>
    <w:pitch w:val="default"/>
    <w:sig w:usb0="A00002FF" w:usb1="28CFFCFA" w:usb2="00000016" w:usb3="00000000" w:csb0="00100001" w:csb1="00000000"/>
  </w:font>
  <w:font w:name="方正舒体">
    <w:altName w:val="宋体"/>
    <w:panose1 w:val="0201060103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隶书">
    <w:altName w:val="微软雅黑"/>
    <w:panose1 w:val="0201050906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等线 Light">
    <w:altName w:val="宋体"/>
    <w:panose1 w:val="02010600030101010101"/>
    <w:charset w:val="88"/>
    <w:family w:val="auto"/>
    <w:pitch w:val="default"/>
    <w:sig w:usb0="00000000" w:usb1="00000000" w:usb2="00000016" w:usb3="00000000" w:csb0="0004000F" w:csb1="00000000"/>
  </w:font>
  <w:font w:name="FZFSK--GBK1-0">
    <w:altName w:val="黑体"/>
    <w:panose1 w:val="00000000000000000000"/>
    <w:charset w:val="86"/>
    <w:family w:val="auto"/>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宋体_x0004_fal">
    <w:altName w:val="宋体"/>
    <w:panose1 w:val="00000000000000000000"/>
    <w:charset w:val="86"/>
    <w:family w:val="auto"/>
    <w:pitch w:val="default"/>
    <w:sig w:usb0="00000000" w:usb1="00000000" w:usb2="00000010" w:usb3="00000000" w:csb0="00040000" w:csb1="00000000"/>
  </w:font>
  <w:font w:name="黑体_x0004_fal">
    <w:altName w:val="黑体"/>
    <w:panose1 w:val="00000000000000000000"/>
    <w:charset w:val="86"/>
    <w:family w:val="auto"/>
    <w:pitch w:val="default"/>
    <w:sig w:usb0="00000000" w:usb1="00000000" w:usb2="00000010" w:usb3="00000000" w:csb0="00040000" w:csb1="00000000"/>
  </w:font>
  <w:font w:name="方正书宋_GBK">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B320F"/>
    <w:rsid w:val="1A2C5964"/>
    <w:rsid w:val="31A66CDC"/>
    <w:rsid w:val="51FA0FE5"/>
    <w:rsid w:val="52DC6300"/>
    <w:rsid w:val="5A9618AC"/>
    <w:rsid w:val="62F671ED"/>
    <w:rsid w:val="68AA4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2020-11-12T03:09:25Z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