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before="0" w:beforeAutospacing="0" w:after="0" w:afterAutospacing="0" w:line="580" w:lineRule="exact"/>
        <w:jc w:val="both"/>
        <w:rPr>
          <w:rFonts w:ascii="黑体" w:eastAsia="黑体" w:cs="Times New Roman"/>
          <w:color w:val="000000"/>
          <w:sz w:val="32"/>
          <w:szCs w:val="32"/>
        </w:rPr>
      </w:pPr>
      <w:r>
        <w:rPr>
          <w:rFonts w:hint="eastAsia" w:ascii="黑体" w:eastAsia="黑体" w:cs="Times New Roman"/>
          <w:color w:val="000000"/>
          <w:sz w:val="32"/>
          <w:szCs w:val="32"/>
        </w:rPr>
        <w:t>附件1</w:t>
      </w:r>
    </w:p>
    <w:p>
      <w:pPr>
        <w:autoSpaceDE w:val="0"/>
        <w:autoSpaceDN w:val="0"/>
        <w:adjustRightInd w:val="0"/>
        <w:snapToGrid w:val="0"/>
        <w:jc w:val="center"/>
        <w:rPr>
          <w:rFonts w:ascii="方正小标宋简体" w:eastAsia="方正小标宋简体" w:cs="华文中宋"/>
          <w:snapToGrid w:val="0"/>
          <w:color w:val="000000"/>
          <w:kern w:val="0"/>
          <w:sz w:val="44"/>
          <w:szCs w:val="44"/>
        </w:rPr>
      </w:pPr>
      <w:r>
        <w:rPr>
          <w:rFonts w:hint="eastAsia" w:ascii="方正小标宋简体" w:eastAsia="方正小标宋简体" w:cs="华文中宋"/>
          <w:snapToGrid w:val="0"/>
          <w:color w:val="000000"/>
          <w:kern w:val="0"/>
          <w:sz w:val="44"/>
          <w:szCs w:val="44"/>
        </w:rPr>
        <w:t>广西示范性托育机构申报表</w:t>
      </w:r>
    </w:p>
    <w:tbl>
      <w:tblPr>
        <w:tblStyle w:val="10"/>
        <w:tblW w:w="9988" w:type="dxa"/>
        <w:jc w:val="center"/>
        <w:tblLayout w:type="fixed"/>
        <w:tblCellMar>
          <w:top w:w="0" w:type="dxa"/>
          <w:left w:w="108" w:type="dxa"/>
          <w:bottom w:w="0" w:type="dxa"/>
          <w:right w:w="108" w:type="dxa"/>
        </w:tblCellMar>
      </w:tblPr>
      <w:tblGrid>
        <w:gridCol w:w="489"/>
        <w:gridCol w:w="634"/>
        <w:gridCol w:w="339"/>
        <w:gridCol w:w="225"/>
        <w:gridCol w:w="245"/>
        <w:gridCol w:w="914"/>
        <w:gridCol w:w="689"/>
        <w:gridCol w:w="32"/>
        <w:gridCol w:w="1023"/>
        <w:gridCol w:w="310"/>
        <w:gridCol w:w="425"/>
        <w:gridCol w:w="945"/>
        <w:gridCol w:w="523"/>
        <w:gridCol w:w="206"/>
        <w:gridCol w:w="1055"/>
        <w:gridCol w:w="730"/>
        <w:gridCol w:w="1204"/>
      </w:tblGrid>
      <w:tr>
        <w:tblPrEx>
          <w:tblCellMar>
            <w:top w:w="0" w:type="dxa"/>
            <w:left w:w="108" w:type="dxa"/>
            <w:bottom w:w="0" w:type="dxa"/>
            <w:right w:w="108" w:type="dxa"/>
          </w:tblCellMar>
        </w:tblPrEx>
        <w:trPr>
          <w:trHeight w:val="567" w:hRule="atLeast"/>
          <w:jc w:val="center"/>
        </w:trPr>
        <w:tc>
          <w:tcPr>
            <w:tcW w:w="489" w:type="dxa"/>
            <w:vMerge w:val="restart"/>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基本情况</w:t>
            </w:r>
          </w:p>
        </w:tc>
        <w:tc>
          <w:tcPr>
            <w:tcW w:w="1198"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托育机构名称</w:t>
            </w:r>
          </w:p>
        </w:tc>
        <w:tc>
          <w:tcPr>
            <w:tcW w:w="1848"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托育机构性质</w:t>
            </w:r>
          </w:p>
        </w:tc>
        <w:tc>
          <w:tcPr>
            <w:tcW w:w="1893" w:type="dxa"/>
            <w:gridSpan w:val="3"/>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261"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负责人</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及电话</w:t>
            </w:r>
          </w:p>
        </w:tc>
        <w:tc>
          <w:tcPr>
            <w:tcW w:w="1934"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cs="华文仿宋"/>
                <w:color w:val="000000"/>
                <w:kern w:val="0"/>
                <w:sz w:val="24"/>
              </w:rPr>
            </w:pPr>
            <w:r>
              <w:rPr>
                <w:rFonts w:hint="eastAsia" w:ascii="仿宋_GB2312" w:eastAsia="仿宋_GB2312" w:cs="华文仿宋"/>
                <w:color w:val="000000"/>
                <w:kern w:val="0"/>
                <w:sz w:val="24"/>
              </w:rPr>
              <w:t>托育机构</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类型</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园所</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地址</w:t>
            </w:r>
          </w:p>
        </w:tc>
        <w:tc>
          <w:tcPr>
            <w:tcW w:w="5088" w:type="dxa"/>
            <w:gridSpan w:val="7"/>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cs="华文仿宋"/>
                <w:color w:val="000000"/>
                <w:kern w:val="0"/>
                <w:sz w:val="24"/>
              </w:rPr>
            </w:pPr>
            <w:r>
              <w:rPr>
                <w:rFonts w:hint="eastAsia" w:ascii="仿宋_GB2312" w:eastAsia="仿宋_GB2312" w:cs="华文仿宋"/>
                <w:color w:val="000000"/>
                <w:kern w:val="0"/>
                <w:sz w:val="24"/>
              </w:rPr>
              <w:t>获得备案</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时间</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cs="华文仿宋"/>
                <w:color w:val="000000"/>
                <w:kern w:val="0"/>
                <w:sz w:val="24"/>
              </w:rPr>
            </w:pPr>
            <w:r>
              <w:rPr>
                <w:rFonts w:hint="eastAsia" w:ascii="仿宋_GB2312" w:eastAsia="仿宋_GB2312" w:cs="华文仿宋"/>
                <w:color w:val="000000"/>
                <w:kern w:val="0"/>
                <w:sz w:val="24"/>
              </w:rPr>
              <w:t>备案回执</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编号</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tc>
        <w:tc>
          <w:tcPr>
            <w:tcW w:w="1261" w:type="dxa"/>
            <w:gridSpan w:val="2"/>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cs="华文仿宋"/>
                <w:color w:val="000000"/>
                <w:kern w:val="0"/>
                <w:sz w:val="24"/>
              </w:rPr>
            </w:pPr>
            <w:r>
              <w:rPr>
                <w:rFonts w:hint="eastAsia" w:ascii="仿宋_GB2312" w:eastAsia="仿宋_GB2312" w:cs="华文仿宋"/>
                <w:color w:val="000000"/>
                <w:kern w:val="0"/>
                <w:sz w:val="24"/>
              </w:rPr>
              <w:t>主办单位</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及负责人</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p>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center"/>
        </w:trPr>
        <w:tc>
          <w:tcPr>
            <w:tcW w:w="489" w:type="dxa"/>
            <w:vMerge w:val="restart"/>
            <w:tcBorders>
              <w:top w:val="single" w:color="auto" w:sz="4" w:space="0"/>
              <w:left w:val="single" w:color="auto" w:sz="4" w:space="0"/>
              <w:bottom w:val="single" w:color="000000"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园舍设施情况</w:t>
            </w: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设置</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情况</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□独立 □合建</w:t>
            </w:r>
          </w:p>
        </w:tc>
        <w:tc>
          <w:tcPr>
            <w:tcW w:w="1365" w:type="dxa"/>
            <w:gridSpan w:val="3"/>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活动室、盥洗室配套</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□是  □否</w:t>
            </w:r>
          </w:p>
        </w:tc>
        <w:tc>
          <w:tcPr>
            <w:tcW w:w="1261" w:type="dxa"/>
            <w:gridSpan w:val="2"/>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hint="eastAsia" w:ascii="仿宋_GB2312" w:eastAsia="仿宋_GB2312" w:cs="华文仿宋"/>
                <w:color w:val="000000"/>
                <w:kern w:val="0"/>
                <w:sz w:val="24"/>
              </w:rPr>
            </w:pPr>
            <w:r>
              <w:rPr>
                <w:rFonts w:hint="eastAsia" w:ascii="仿宋_GB2312" w:eastAsia="仿宋_GB2312" w:cs="华文仿宋"/>
                <w:color w:val="000000"/>
                <w:kern w:val="0"/>
                <w:sz w:val="24"/>
              </w:rPr>
              <w:t>安全、</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卫生制度</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建筑</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面积</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365" w:type="dxa"/>
            <w:gridSpan w:val="3"/>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hint="eastAsia" w:ascii="仿宋_GB2312" w:eastAsia="仿宋_GB2312" w:cs="华文仿宋"/>
                <w:color w:val="000000"/>
                <w:kern w:val="0"/>
                <w:sz w:val="24"/>
              </w:rPr>
            </w:pPr>
            <w:r>
              <w:rPr>
                <w:rFonts w:hint="eastAsia" w:ascii="仿宋_GB2312" w:eastAsia="仿宋_GB2312" w:cs="华文仿宋"/>
                <w:color w:val="000000"/>
                <w:kern w:val="0"/>
                <w:sz w:val="24"/>
              </w:rPr>
              <w:t>户外活动</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场地面积</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261" w:type="dxa"/>
            <w:gridSpan w:val="2"/>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hint="eastAsia" w:ascii="仿宋_GB2312" w:eastAsia="仿宋_GB2312" w:cs="华文仿宋"/>
                <w:color w:val="000000"/>
                <w:kern w:val="0"/>
                <w:sz w:val="24"/>
              </w:rPr>
            </w:pPr>
            <w:r>
              <w:rPr>
                <w:rFonts w:hint="eastAsia" w:ascii="仿宋_GB2312" w:eastAsia="仿宋_GB2312" w:cs="华文仿宋"/>
                <w:color w:val="000000"/>
                <w:kern w:val="0"/>
                <w:sz w:val="24"/>
              </w:rPr>
              <w:t>独立户外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场地</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活动室</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面积</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365" w:type="dxa"/>
            <w:gridSpan w:val="3"/>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服务场所</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性 质</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□自有 □租赁</w:t>
            </w:r>
          </w:p>
        </w:tc>
        <w:tc>
          <w:tcPr>
            <w:tcW w:w="1261" w:type="dxa"/>
            <w:gridSpan w:val="2"/>
            <w:tcBorders>
              <w:top w:val="single" w:color="auto" w:sz="4" w:space="0"/>
              <w:left w:val="nil"/>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供餐情况</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□自行□第三方</w:t>
            </w: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000000"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监控</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设备</w:t>
            </w:r>
          </w:p>
        </w:tc>
        <w:tc>
          <w:tcPr>
            <w:tcW w:w="1848"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c>
          <w:tcPr>
            <w:tcW w:w="1365" w:type="dxa"/>
            <w:gridSpan w:val="3"/>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cs="华文仿宋"/>
                <w:color w:val="000000"/>
                <w:kern w:val="0"/>
                <w:sz w:val="24"/>
              </w:rPr>
            </w:pPr>
            <w:r>
              <w:rPr>
                <w:rFonts w:hint="eastAsia" w:ascii="仿宋_GB2312" w:eastAsia="仿宋_GB2312" w:cs="华文仿宋"/>
                <w:color w:val="000000"/>
                <w:kern w:val="0"/>
                <w:sz w:val="24"/>
              </w:rPr>
              <w:t>监控保存</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期限</w:t>
            </w:r>
          </w:p>
        </w:tc>
        <w:tc>
          <w:tcPr>
            <w:tcW w:w="1893" w:type="dxa"/>
            <w:gridSpan w:val="3"/>
            <w:tcBorders>
              <w:top w:val="nil"/>
              <w:left w:val="nil"/>
              <w:bottom w:val="single" w:color="auto" w:sz="4" w:space="0"/>
              <w:right w:val="single" w:color="auto" w:sz="4" w:space="0"/>
            </w:tcBorders>
            <w:noWrap w:val="0"/>
            <w:vAlign w:val="center"/>
          </w:tcPr>
          <w:p>
            <w:pPr>
              <w:adjustRightInd w:val="0"/>
              <w:snapToGrid w:val="0"/>
              <w:ind w:left="600" w:hanging="600" w:hanging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天</w:t>
            </w:r>
          </w:p>
        </w:tc>
        <w:tc>
          <w:tcPr>
            <w:tcW w:w="1261"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保健室</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center"/>
        </w:trPr>
        <w:tc>
          <w:tcPr>
            <w:tcW w:w="489" w:type="dxa"/>
            <w:vMerge w:val="continue"/>
            <w:tcBorders>
              <w:top w:val="single" w:color="auto" w:sz="4" w:space="0"/>
              <w:left w:val="single" w:color="auto" w:sz="4" w:space="0"/>
              <w:bottom w:val="single" w:color="auto" w:sz="4" w:space="0"/>
              <w:right w:val="single" w:color="000000" w:sz="4" w:space="0"/>
            </w:tcBorders>
            <w:noWrap w:val="0"/>
            <w:vAlign w:val="center"/>
          </w:tcPr>
          <w:p>
            <w:pPr>
              <w:rPr>
                <w:color w:val="000000"/>
              </w:rPr>
            </w:pPr>
          </w:p>
        </w:tc>
        <w:tc>
          <w:tcPr>
            <w:tcW w:w="1198" w:type="dxa"/>
            <w:gridSpan w:val="3"/>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服务</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类型</w:t>
            </w:r>
          </w:p>
        </w:tc>
        <w:tc>
          <w:tcPr>
            <w:tcW w:w="5106" w:type="dxa"/>
            <w:gridSpan w:val="9"/>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□全日托  □半日托  □计时托  □临时托</w:t>
            </w:r>
          </w:p>
        </w:tc>
        <w:tc>
          <w:tcPr>
            <w:tcW w:w="1261"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养育照护计划</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center"/>
        </w:trPr>
        <w:tc>
          <w:tcPr>
            <w:tcW w:w="1123" w:type="dxa"/>
            <w:gridSpan w:val="2"/>
            <w:tcBorders>
              <w:top w:val="single" w:color="auto" w:sz="4" w:space="0"/>
              <w:left w:val="single" w:color="auto" w:sz="4" w:space="0"/>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班额</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规模</w:t>
            </w:r>
          </w:p>
        </w:tc>
        <w:tc>
          <w:tcPr>
            <w:tcW w:w="1723" w:type="dxa"/>
            <w:gridSpan w:val="4"/>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总计      班</w:t>
            </w:r>
          </w:p>
        </w:tc>
        <w:tc>
          <w:tcPr>
            <w:tcW w:w="1744"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乳儿班    班</w:t>
            </w:r>
          </w:p>
        </w:tc>
        <w:tc>
          <w:tcPr>
            <w:tcW w:w="1680"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托小班    班</w:t>
            </w:r>
          </w:p>
        </w:tc>
        <w:tc>
          <w:tcPr>
            <w:tcW w:w="1784"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托大班     班</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混合班     班</w:t>
            </w:r>
          </w:p>
        </w:tc>
      </w:tr>
      <w:tr>
        <w:tblPrEx>
          <w:tblCellMar>
            <w:top w:w="0" w:type="dxa"/>
            <w:left w:w="108" w:type="dxa"/>
            <w:bottom w:w="0" w:type="dxa"/>
            <w:right w:w="108" w:type="dxa"/>
          </w:tblCellMar>
        </w:tblPrEx>
        <w:trPr>
          <w:trHeight w:val="567" w:hRule="atLeast"/>
          <w:jc w:val="center"/>
        </w:trPr>
        <w:tc>
          <w:tcPr>
            <w:tcW w:w="1123" w:type="dxa"/>
            <w:gridSpan w:val="2"/>
            <w:tcBorders>
              <w:top w:val="single" w:color="auto" w:sz="4" w:space="0"/>
              <w:left w:val="single" w:color="auto" w:sz="4" w:space="0"/>
              <w:bottom w:val="single" w:color="auto" w:sz="4" w:space="0"/>
              <w:right w:val="single" w:color="000000"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在托婴幼儿数</w:t>
            </w:r>
          </w:p>
        </w:tc>
        <w:tc>
          <w:tcPr>
            <w:tcW w:w="1723" w:type="dxa"/>
            <w:gridSpan w:val="4"/>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总计      人</w:t>
            </w:r>
          </w:p>
        </w:tc>
        <w:tc>
          <w:tcPr>
            <w:tcW w:w="1744"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乳儿班    人</w:t>
            </w:r>
          </w:p>
        </w:tc>
        <w:tc>
          <w:tcPr>
            <w:tcW w:w="1680"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托小班    人</w:t>
            </w:r>
          </w:p>
        </w:tc>
        <w:tc>
          <w:tcPr>
            <w:tcW w:w="1784" w:type="dxa"/>
            <w:gridSpan w:val="3"/>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托大班     人</w:t>
            </w:r>
          </w:p>
        </w:tc>
        <w:tc>
          <w:tcPr>
            <w:tcW w:w="1934"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混合班     人</w:t>
            </w:r>
          </w:p>
        </w:tc>
      </w:tr>
      <w:tr>
        <w:tblPrEx>
          <w:tblCellMar>
            <w:top w:w="0" w:type="dxa"/>
            <w:left w:w="108" w:type="dxa"/>
            <w:bottom w:w="0" w:type="dxa"/>
            <w:right w:w="108" w:type="dxa"/>
          </w:tblCellMar>
        </w:tblPrEx>
        <w:trPr>
          <w:trHeight w:val="567" w:hRule="atLeast"/>
          <w:jc w:val="center"/>
        </w:trPr>
        <w:tc>
          <w:tcPr>
            <w:tcW w:w="489" w:type="dxa"/>
            <w:vMerge w:val="restart"/>
            <w:tcBorders>
              <w:top w:val="nil"/>
              <w:left w:val="single" w:color="auto" w:sz="4" w:space="0"/>
              <w:bottom w:val="single" w:color="000000"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教职员工情况</w:t>
            </w:r>
          </w:p>
        </w:tc>
        <w:tc>
          <w:tcPr>
            <w:tcW w:w="973"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人数</w:t>
            </w:r>
          </w:p>
        </w:tc>
        <w:tc>
          <w:tcPr>
            <w:tcW w:w="470"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noWrap w:val="0"/>
            <w:vAlign w:val="center"/>
          </w:tcPr>
          <w:p>
            <w:pPr>
              <w:adjustRightInd w:val="0"/>
              <w:snapToGrid w:val="0"/>
              <w:ind w:firstLine="480" w:firstLineChars="20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21"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35"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29"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3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noWrap w:val="0"/>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r>
      <w:tr>
        <w:tblPrEx>
          <w:tblCellMar>
            <w:top w:w="0" w:type="dxa"/>
            <w:left w:w="108" w:type="dxa"/>
            <w:bottom w:w="0" w:type="dxa"/>
            <w:right w:w="108" w:type="dxa"/>
          </w:tblCellMar>
        </w:tblPrEx>
        <w:trPr>
          <w:trHeight w:val="567" w:hRule="atLeast"/>
          <w:jc w:val="center"/>
        </w:trPr>
        <w:tc>
          <w:tcPr>
            <w:tcW w:w="489" w:type="dxa"/>
            <w:vMerge w:val="continue"/>
            <w:tcBorders>
              <w:top w:val="nil"/>
              <w:left w:val="single" w:color="auto" w:sz="4" w:space="0"/>
              <w:bottom w:val="single" w:color="000000" w:sz="4" w:space="0"/>
              <w:right w:val="single" w:color="auto" w:sz="4" w:space="0"/>
            </w:tcBorders>
            <w:noWrap w:val="0"/>
            <w:vAlign w:val="center"/>
          </w:tcPr>
          <w:p>
            <w:pPr>
              <w:rPr>
                <w:color w:val="000000"/>
              </w:rPr>
            </w:pPr>
          </w:p>
        </w:tc>
        <w:tc>
          <w:tcPr>
            <w:tcW w:w="973"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学历合格率</w:t>
            </w:r>
          </w:p>
        </w:tc>
        <w:tc>
          <w:tcPr>
            <w:tcW w:w="470"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1"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noWrap w:val="0"/>
            <w:vAlign w:val="center"/>
          </w:tcPr>
          <w:p>
            <w:pPr>
              <w:adjustRightInd w:val="0"/>
              <w:snapToGrid w:val="0"/>
              <w:ind w:firstLine="720" w:firstLineChars="30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5"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9"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noWrap w:val="0"/>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r>
      <w:tr>
        <w:tblPrEx>
          <w:tblCellMar>
            <w:top w:w="0" w:type="dxa"/>
            <w:left w:w="108" w:type="dxa"/>
            <w:bottom w:w="0" w:type="dxa"/>
            <w:right w:w="108" w:type="dxa"/>
          </w:tblCellMar>
        </w:tblPrEx>
        <w:trPr>
          <w:trHeight w:val="567" w:hRule="atLeast"/>
          <w:jc w:val="center"/>
        </w:trPr>
        <w:tc>
          <w:tcPr>
            <w:tcW w:w="489" w:type="dxa"/>
            <w:vMerge w:val="continue"/>
            <w:tcBorders>
              <w:top w:val="nil"/>
              <w:left w:val="single" w:color="auto" w:sz="4" w:space="0"/>
              <w:bottom w:val="single" w:color="000000" w:sz="4" w:space="0"/>
              <w:right w:val="single" w:color="auto" w:sz="4" w:space="0"/>
            </w:tcBorders>
            <w:noWrap w:val="0"/>
            <w:vAlign w:val="center"/>
          </w:tcPr>
          <w:p>
            <w:pPr>
              <w:rPr>
                <w:color w:val="000000"/>
              </w:rPr>
            </w:pPr>
          </w:p>
        </w:tc>
        <w:tc>
          <w:tcPr>
            <w:tcW w:w="973"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专业合格率</w:t>
            </w:r>
          </w:p>
        </w:tc>
        <w:tc>
          <w:tcPr>
            <w:tcW w:w="470"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1"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noWrap w:val="0"/>
            <w:vAlign w:val="center"/>
          </w:tcPr>
          <w:p>
            <w:pPr>
              <w:adjustRightInd w:val="0"/>
              <w:snapToGrid w:val="0"/>
              <w:ind w:firstLine="720" w:firstLineChars="30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5" w:type="dxa"/>
            <w:gridSpan w:val="2"/>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9" w:type="dxa"/>
            <w:gridSpan w:val="2"/>
            <w:tcBorders>
              <w:top w:val="nil"/>
              <w:left w:val="nil"/>
              <w:bottom w:val="single" w:color="auto" w:sz="4" w:space="0"/>
              <w:right w:val="single" w:color="auto" w:sz="4" w:space="0"/>
            </w:tcBorders>
            <w:noWrap w:val="0"/>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noWrap w:val="0"/>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noWrap w:val="0"/>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r>
      <w:tr>
        <w:tblPrEx>
          <w:tblCellMar>
            <w:top w:w="0" w:type="dxa"/>
            <w:left w:w="108" w:type="dxa"/>
            <w:bottom w:w="0" w:type="dxa"/>
            <w:right w:w="108" w:type="dxa"/>
          </w:tblCellMar>
        </w:tblPrEx>
        <w:trPr>
          <w:trHeight w:val="3687" w:hRule="atLeast"/>
          <w:jc w:val="center"/>
        </w:trPr>
        <w:tc>
          <w:tcPr>
            <w:tcW w:w="9988" w:type="dxa"/>
            <w:gridSpan w:val="17"/>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ascii="仿宋_GB2312" w:eastAsia="仿宋_GB2312" w:cs="华文仿宋"/>
                <w:color w:val="000000"/>
                <w:kern w:val="0"/>
                <w:sz w:val="24"/>
              </w:rPr>
            </w:pPr>
          </w:p>
          <w:p>
            <w:pPr>
              <w:adjustRightInd w:val="0"/>
              <w:snapToGrid w:val="0"/>
              <w:rPr>
                <w:rFonts w:ascii="仿宋_GB2312" w:eastAsia="仿宋_GB2312" w:cs="华文仿宋"/>
                <w:color w:val="000000"/>
                <w:kern w:val="0"/>
                <w:sz w:val="24"/>
              </w:rPr>
            </w:pPr>
            <w:r>
              <w:rPr>
                <w:rFonts w:hint="eastAsia" w:ascii="仿宋_GB2312" w:eastAsia="仿宋_GB2312" w:cs="华文仿宋"/>
                <w:color w:val="000000"/>
                <w:kern w:val="0"/>
                <w:sz w:val="24"/>
              </w:rPr>
              <w:t>县（市、区）主管部门初审意见：</w:t>
            </w: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初评人签字：</w:t>
            </w: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（单位盖章）     单位负责人签字：</w:t>
            </w:r>
          </w:p>
          <w:p>
            <w:pPr>
              <w:adjustRightInd w:val="0"/>
              <w:snapToGrid w:val="0"/>
              <w:jc w:val="right"/>
              <w:rPr>
                <w:rFonts w:ascii="仿宋_GB2312" w:eastAsia="仿宋_GB2312" w:cs="华文仿宋"/>
                <w:color w:val="000000"/>
                <w:kern w:val="0"/>
                <w:sz w:val="24"/>
              </w:rPr>
            </w:pPr>
          </w:p>
          <w:p>
            <w:pPr>
              <w:adjustRightInd w:val="0"/>
              <w:snapToGrid w:val="0"/>
              <w:jc w:val="right"/>
              <w:rPr>
                <w:rFonts w:ascii="仿宋_GB2312" w:eastAsia="仿宋_GB2312" w:cs="华文仿宋"/>
                <w:color w:val="000000"/>
                <w:kern w:val="0"/>
                <w:sz w:val="24"/>
              </w:rPr>
            </w:pPr>
            <w:r>
              <w:rPr>
                <w:rFonts w:hint="eastAsia" w:ascii="仿宋_GB2312" w:eastAsia="仿宋_GB2312" w:cs="华文仿宋"/>
                <w:color w:val="000000"/>
                <w:kern w:val="0"/>
                <w:sz w:val="24"/>
              </w:rPr>
              <w:t>年    月    日</w:t>
            </w:r>
          </w:p>
        </w:tc>
      </w:tr>
    </w:tbl>
    <w:p>
      <w:pPr>
        <w:pStyle w:val="22"/>
        <w:spacing w:before="0" w:beforeAutospacing="0" w:after="0" w:afterAutospacing="0" w:line="580" w:lineRule="exact"/>
        <w:ind w:firstLine="640" w:firstLineChars="200"/>
        <w:jc w:val="both"/>
        <w:rPr>
          <w:rFonts w:ascii="Times New Roman" w:eastAsia="仿宋_GB2312" w:cs="Times New Roman"/>
          <w:color w:val="000000"/>
          <w:sz w:val="32"/>
          <w:szCs w:val="32"/>
        </w:rPr>
        <w:sectPr>
          <w:headerReference r:id="rId3" w:type="default"/>
          <w:footerReference r:id="rId4" w:type="default"/>
          <w:footerReference r:id="rId5" w:type="even"/>
          <w:pgSz w:w="11905" w:h="16838"/>
          <w:pgMar w:top="1701" w:right="1417" w:bottom="1417" w:left="1701" w:header="850" w:footer="992" w:gutter="0"/>
          <w:pgNumType w:fmt="decimal"/>
          <w:cols w:space="720" w:num="1"/>
          <w:titlePg/>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line="460" w:lineRule="exact"/>
        <w:textAlignment w:val="auto"/>
        <w:rPr>
          <w:rFonts w:ascii="黑体" w:eastAsia="黑体" w:cs="仿宋"/>
          <w:snapToGrid w:val="0"/>
          <w:color w:val="000000"/>
          <w:kern w:val="0"/>
          <w:sz w:val="32"/>
        </w:rPr>
      </w:pPr>
      <w:r>
        <w:rPr>
          <w:rFonts w:hint="eastAsia" w:ascii="黑体" w:eastAsia="黑体" w:cs="仿宋"/>
          <w:snapToGrid w:val="0"/>
          <w:color w:val="000000"/>
          <w:kern w:val="0"/>
          <w:sz w:val="32"/>
        </w:rPr>
        <w:t>附件2</w:t>
      </w: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广西示范性托育机构评分表</w:t>
      </w:r>
    </w:p>
    <w:p>
      <w:pPr>
        <w:keepNext w:val="0"/>
        <w:keepLines w:val="0"/>
        <w:pageBreakBefore w:val="0"/>
        <w:widowControl w:val="0"/>
        <w:kinsoku/>
        <w:wordWrap/>
        <w:overflowPunct/>
        <w:topLinePunct w:val="0"/>
        <w:autoSpaceDE w:val="0"/>
        <w:autoSpaceDN w:val="0"/>
        <w:bidi w:val="0"/>
        <w:adjustRightInd w:val="0"/>
        <w:snapToGrid w:val="0"/>
        <w:jc w:val="left"/>
        <w:textAlignment w:val="auto"/>
        <w:rPr>
          <w:rFonts w:ascii="楷体_GB2312" w:eastAsia="楷体_GB2312" w:cs="仿宋"/>
          <w:snapToGrid w:val="0"/>
          <w:color w:val="000000"/>
          <w:sz w:val="28"/>
          <w:szCs w:val="28"/>
        </w:rPr>
      </w:pPr>
      <w:r>
        <w:rPr>
          <w:rFonts w:hint="eastAsia" w:ascii="楷体_GB2312" w:eastAsia="楷体_GB2312" w:cs="仿宋"/>
          <w:snapToGrid w:val="0"/>
          <w:color w:val="000000"/>
          <w:sz w:val="28"/>
          <w:szCs w:val="28"/>
        </w:rPr>
        <w:t xml:space="preserve">机构名称（盖章）：                      </w:t>
      </w:r>
    </w:p>
    <w:p>
      <w:pPr>
        <w:autoSpaceDE w:val="0"/>
        <w:autoSpaceDN w:val="0"/>
        <w:adjustRightInd w:val="0"/>
        <w:snapToGrid w:val="0"/>
        <w:spacing w:before="156"/>
        <w:jc w:val="left"/>
        <w:rPr>
          <w:rFonts w:ascii="仿宋" w:eastAsia="仿宋" w:cs="仿宋"/>
          <w:snapToGrid w:val="0"/>
          <w:color w:val="000000"/>
          <w:sz w:val="32"/>
          <w:szCs w:val="32"/>
        </w:rPr>
      </w:pPr>
      <w:r>
        <w:rPr>
          <w:rFonts w:hint="eastAsia" w:ascii="楷体_GB2312" w:eastAsia="楷体_GB2312" w:cs="仿宋"/>
          <w:snapToGrid w:val="0"/>
          <w:color w:val="000000"/>
          <w:sz w:val="28"/>
          <w:szCs w:val="28"/>
        </w:rPr>
        <w:t xml:space="preserve">机构负责人：                  县级初审单位（盖章）：          </w:t>
      </w:r>
      <w:r>
        <w:rPr>
          <w:rFonts w:hint="eastAsia" w:ascii="仿宋" w:eastAsia="仿宋" w:cs="仿宋"/>
          <w:snapToGrid w:val="0"/>
          <w:color w:val="000000"/>
          <w:sz w:val="32"/>
          <w:szCs w:val="32"/>
        </w:rPr>
        <w:t xml:space="preserve"> </w:t>
      </w:r>
      <w:r>
        <w:rPr>
          <w:rFonts w:hint="eastAsia" w:ascii="楷体_GB2312" w:eastAsia="楷体_GB2312" w:cs="仿宋"/>
          <w:snapToGrid w:val="0"/>
          <w:color w:val="000000"/>
          <w:sz w:val="28"/>
          <w:szCs w:val="28"/>
        </w:rPr>
        <w:t xml:space="preserve">  市级验收单位（盖章）：</w:t>
      </w:r>
    </w:p>
    <w:tbl>
      <w:tblPr>
        <w:tblStyle w:val="10"/>
        <w:tblW w:w="15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55"/>
        <w:gridCol w:w="6333"/>
        <w:gridCol w:w="524"/>
        <w:gridCol w:w="1259"/>
        <w:gridCol w:w="2519"/>
        <w:gridCol w:w="734"/>
        <w:gridCol w:w="105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jc w:val="center"/>
        </w:trPr>
        <w:tc>
          <w:tcPr>
            <w:tcW w:w="1586" w:type="dxa"/>
            <w:gridSpan w:val="2"/>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评估内容</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评 估 标 准</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分值</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评估方法</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评分办法</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机构自评</w:t>
            </w: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县级初审评分</w:t>
            </w: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黑体" w:hAnsi="黑体" w:eastAsia="黑体" w:cs="黑体"/>
                <w:b w:val="0"/>
                <w:bCs/>
                <w:color w:val="000000"/>
                <w:kern w:val="0"/>
                <w:sz w:val="24"/>
              </w:rPr>
            </w:pPr>
            <w:r>
              <w:rPr>
                <w:rFonts w:hint="eastAsia" w:ascii="黑体" w:hAnsi="黑体" w:eastAsia="黑体" w:cs="黑体"/>
                <w:b w:val="0"/>
                <w:bCs/>
                <w:color w:val="000000"/>
                <w:kern w:val="0"/>
                <w:sz w:val="24"/>
              </w:rPr>
              <w:t>市级验收评分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586" w:type="dxa"/>
            <w:gridSpan w:val="2"/>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r>
              <w:rPr>
                <w:rFonts w:hint="eastAsia" w:ascii="仿宋_GB2312" w:eastAsia="仿宋_GB2312" w:cs="华文仿宋"/>
                <w:b w:val="0"/>
                <w:bCs/>
                <w:color w:val="000000"/>
                <w:kern w:val="0"/>
                <w:sz w:val="24"/>
                <w:szCs w:val="24"/>
              </w:rPr>
              <w:t>必备条件</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w:t>
            </w:r>
            <w:r>
              <w:rPr>
                <w:rFonts w:hint="eastAsia" w:ascii="仿宋_GB2312" w:eastAsia="仿宋_GB2312" w:cs="华文仿宋"/>
                <w:b w:val="0"/>
                <w:bCs/>
                <w:color w:val="000000"/>
                <w:sz w:val="24"/>
              </w:rPr>
              <w:t>1.具有合法的举办资质，事业单位性质机构取得事业单位登记证书；非营利性质机构取得社会服务机构登记证书；营利性机构取得营业执照。</w:t>
            </w:r>
            <w:r>
              <w:rPr>
                <w:rFonts w:hint="eastAsia" w:ascii="仿宋_GB2312" w:eastAsia="仿宋_GB2312" w:cs="华文仿宋"/>
                <w:b w:val="0"/>
                <w:bCs/>
                <w:color w:val="000000"/>
                <w:sz w:val="24"/>
                <w:szCs w:val="24"/>
              </w:rPr>
              <w:t>业务范围明确“托育服务”内容。</w:t>
            </w:r>
            <w:r>
              <w:rPr>
                <w:rFonts w:hint="eastAsia" w:ascii="仿宋_GB2312" w:eastAsia="仿宋_GB2312" w:cs="华文仿宋"/>
                <w:b w:val="0"/>
                <w:bCs/>
                <w:color w:val="000000"/>
                <w:sz w:val="24"/>
                <w:lang w:eastAsia="en-US"/>
              </w:rPr>
              <w:t>实际运营满1年。</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无合法资质证明，业务范围未明确“托育服务”，实际运营不满1年的不能申报。</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86" w:type="dxa"/>
            <w:gridSpan w:val="2"/>
            <w:vMerge w:val="continue"/>
            <w:tcBorders>
              <w:left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★2.取得县（市、区）卫生健康主管部门的“托育机构备案回执”。</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未取得备案回执的不能申报。</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86" w:type="dxa"/>
            <w:gridSpan w:val="2"/>
            <w:vMerge w:val="continue"/>
            <w:tcBorders>
              <w:left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★3.三年内机构无责任事故、未受到行政处罚、无失信记录。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出现责任事故的不能申报。</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86" w:type="dxa"/>
            <w:gridSpan w:val="2"/>
            <w:vMerge w:val="continue"/>
            <w:tcBorders>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rPr>
              <w:t>★</w:t>
            </w:r>
            <w:r>
              <w:rPr>
                <w:rFonts w:hint="eastAsia" w:ascii="仿宋_GB2312" w:eastAsia="仿宋_GB2312" w:cs="华文仿宋"/>
                <w:b w:val="0"/>
                <w:bCs/>
                <w:color w:val="000000"/>
                <w:kern w:val="0"/>
                <w:sz w:val="24"/>
                <w:szCs w:val="24"/>
                <w:highlight w:val="none"/>
                <w:lang w:val="en-US" w:eastAsia="zh-CN"/>
              </w:rPr>
              <w:t>4.托育机构不得设置在四层及四层以上、地下室或半地下室。</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highlight w:val="none"/>
              </w:rPr>
            </w:pP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rPr>
              <w:t>现场查看查阅资料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eastAsia="仿宋_GB2312" w:cs="华文仿宋"/>
                <w:b w:val="0"/>
                <w:bCs/>
                <w:color w:val="000000"/>
                <w:sz w:val="24"/>
                <w:szCs w:val="24"/>
                <w:lang w:eastAsia="zh-CN"/>
              </w:rPr>
            </w:pPr>
            <w:r>
              <w:rPr>
                <w:rFonts w:hint="eastAsia" w:ascii="仿宋_GB2312" w:eastAsia="仿宋_GB2312" w:cs="华文仿宋"/>
                <w:b w:val="0"/>
                <w:bCs/>
                <w:color w:val="000000"/>
                <w:sz w:val="24"/>
                <w:szCs w:val="24"/>
                <w:lang w:eastAsia="zh-CN"/>
              </w:rPr>
              <w:t>场地不符合要求的不能申报。</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楷体_GB2312" w:eastAsia="楷体_GB2312" w:cs="华文仿宋"/>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31"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A1</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机构设置</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270</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B1</w:t>
            </w:r>
          </w:p>
          <w:p>
            <w:pPr>
              <w:adjustRightInd w:val="0"/>
              <w:snapToGrid w:val="0"/>
              <w:jc w:val="center"/>
              <w:rPr>
                <w:rFonts w:ascii="仿宋_GB2312" w:eastAsia="仿宋_GB2312" w:cs="华文仿宋"/>
                <w:b w:val="0"/>
                <w:bCs/>
                <w:color w:val="000000"/>
                <w:kern w:val="0"/>
                <w:szCs w:val="21"/>
              </w:rPr>
            </w:pPr>
            <w:r>
              <w:rPr>
                <w:rFonts w:hint="eastAsia" w:ascii="仿宋_GB2312" w:eastAsia="仿宋_GB2312" w:cs="华文仿宋"/>
                <w:b w:val="0"/>
                <w:bCs/>
                <w:color w:val="000000"/>
                <w:kern w:val="0"/>
                <w:sz w:val="24"/>
                <w:szCs w:val="24"/>
              </w:rPr>
              <w:t>机</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构</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资</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质</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40</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rPr>
              <w:t>▲</w:t>
            </w:r>
            <w:r>
              <w:rPr>
                <w:rFonts w:hint="eastAsia" w:ascii="仿宋_GB2312" w:eastAsia="仿宋_GB2312" w:cs="华文仿宋"/>
                <w:b w:val="0"/>
                <w:bCs/>
                <w:color w:val="000000"/>
                <w:sz w:val="24"/>
                <w:lang w:val="en-US" w:eastAsia="zh-CN"/>
              </w:rPr>
              <w:t>5</w:t>
            </w:r>
            <w:r>
              <w:rPr>
                <w:rFonts w:hint="eastAsia" w:ascii="仿宋_GB2312" w:eastAsia="仿宋_GB2312" w:cs="华文仿宋"/>
                <w:b w:val="0"/>
                <w:bCs/>
                <w:color w:val="000000"/>
                <w:sz w:val="24"/>
              </w:rPr>
              <w:t>.</w:t>
            </w:r>
            <w:r>
              <w:rPr>
                <w:rFonts w:hint="eastAsia" w:ascii="仿宋_GB2312" w:eastAsia="仿宋_GB2312" w:cs="华文仿宋"/>
                <w:b w:val="0"/>
                <w:bCs/>
                <w:color w:val="000000"/>
                <w:sz w:val="24"/>
                <w:szCs w:val="24"/>
              </w:rPr>
              <w:t>托育机构名称符合相关命名规范。</w:t>
            </w:r>
          </w:p>
        </w:tc>
        <w:tc>
          <w:tcPr>
            <w:tcW w:w="524" w:type="dxa"/>
            <w:tcBorders>
              <w:top w:val="single" w:color="000000" w:sz="8" w:space="0"/>
              <w:left w:val="single" w:color="000000" w:sz="8" w:space="0"/>
              <w:bottom w:val="single" w:color="auto" w:sz="4"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达到要求得20分，否则不得分。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rPr>
              <w:t>▲</w:t>
            </w:r>
            <w:r>
              <w:rPr>
                <w:rFonts w:hint="eastAsia" w:ascii="仿宋_GB2312" w:eastAsia="仿宋_GB2312" w:cs="华文仿宋"/>
                <w:b w:val="0"/>
                <w:bCs/>
                <w:color w:val="000000"/>
                <w:sz w:val="24"/>
                <w:lang w:val="en-US" w:eastAsia="zh-CN"/>
              </w:rPr>
              <w:t>6</w:t>
            </w:r>
            <w:r>
              <w:rPr>
                <w:rFonts w:hint="eastAsia" w:ascii="仿宋_GB2312" w:eastAsia="仿宋_GB2312" w:cs="华文仿宋"/>
                <w:b w:val="0"/>
                <w:bCs/>
                <w:color w:val="000000"/>
                <w:sz w:val="24"/>
              </w:rPr>
              <w:t>.取得县级及县级以上妇幼保健机构出具评价为“合格”的卫生评价报告；自行加工膳食的，取得县级市场监管部门颁发的《食品经营许可证》，委托第三方加工膳食的机构须提供双方委托供餐协议书以及第三方的《营业执照》及《食品经营许可证》；</w:t>
            </w:r>
            <w:r>
              <w:rPr>
                <w:rFonts w:hint="eastAsia" w:ascii="仿宋_GB2312" w:eastAsia="仿宋_GB2312" w:cs="华文仿宋"/>
                <w:b w:val="0"/>
                <w:bCs/>
                <w:color w:val="000000"/>
                <w:sz w:val="24"/>
                <w:highlight w:val="none"/>
              </w:rPr>
              <w:t>通过消防合格检查。</w:t>
            </w:r>
          </w:p>
        </w:tc>
        <w:tc>
          <w:tcPr>
            <w:tcW w:w="524" w:type="dxa"/>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A1</w:t>
            </w:r>
          </w:p>
          <w:p>
            <w:pPr>
              <w:adjustRightInd w:val="0"/>
              <w:snapToGrid w:val="0"/>
              <w:jc w:val="center"/>
              <w:rPr>
                <w:rFonts w:hint="eastAsia"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机</w:t>
            </w:r>
          </w:p>
          <w:p>
            <w:pPr>
              <w:adjustRightInd w:val="0"/>
              <w:snapToGrid w:val="0"/>
              <w:jc w:val="center"/>
              <w:rPr>
                <w:rFonts w:hint="eastAsia"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构</w:t>
            </w:r>
          </w:p>
          <w:p>
            <w:pPr>
              <w:adjustRightInd w:val="0"/>
              <w:snapToGrid w:val="0"/>
              <w:jc w:val="center"/>
              <w:rPr>
                <w:rFonts w:hint="eastAsia"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置</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270</w:t>
            </w:r>
          </w:p>
          <w:p>
            <w:pPr>
              <w:adjustRightInd w:val="0"/>
              <w:snapToGrid w:val="0"/>
              <w:jc w:val="center"/>
              <w:rPr>
                <w:b w:val="0"/>
                <w:bCs/>
                <w:color w:val="000000"/>
              </w:rPr>
            </w:pPr>
            <w:r>
              <w:rPr>
                <w:rFonts w:hint="eastAsia" w:ascii="仿宋_GB2312" w:eastAsia="仿宋_GB2312" w:cs="华文仿宋"/>
                <w:b w:val="0"/>
                <w:bCs/>
                <w:color w:val="000000"/>
                <w:kern w:val="0"/>
                <w:sz w:val="24"/>
                <w:szCs w:val="24"/>
                <w:lang w:eastAsia="en-US"/>
              </w:rPr>
              <w:t>分</w:t>
            </w:r>
          </w:p>
        </w:tc>
        <w:tc>
          <w:tcPr>
            <w:tcW w:w="855"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B2</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经</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费</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理</w:t>
            </w:r>
          </w:p>
          <w:p>
            <w:pPr>
              <w:keepNext w:val="0"/>
              <w:keepLines w:val="0"/>
              <w:pageBreakBefore w:val="0"/>
              <w:widowControl w:val="0"/>
              <w:kinsoku/>
              <w:wordWrap/>
              <w:overflowPunct/>
              <w:topLinePunct w:val="0"/>
              <w:autoSpaceDE/>
              <w:autoSpaceDN/>
              <w:bidi w:val="0"/>
              <w:spacing w:line="300" w:lineRule="exact"/>
              <w:textAlignment w:val="auto"/>
              <w:rPr>
                <w:b w:val="0"/>
                <w:bCs/>
                <w:color w:val="000000"/>
              </w:rPr>
            </w:pPr>
            <w:r>
              <w:rPr>
                <w:rFonts w:hint="eastAsia" w:ascii="仿宋_GB2312" w:eastAsia="仿宋_GB2312" w:cs="华文仿宋"/>
                <w:b w:val="0"/>
                <w:bCs/>
                <w:color w:val="000000"/>
                <w:kern w:val="0"/>
                <w:sz w:val="24"/>
                <w:szCs w:val="24"/>
              </w:rPr>
              <w:t>25分</w:t>
            </w:r>
          </w:p>
        </w:tc>
        <w:tc>
          <w:tcPr>
            <w:tcW w:w="6333"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lang w:val="en-US" w:eastAsia="zh-CN"/>
              </w:rPr>
              <w:t>7</w:t>
            </w:r>
            <w:r>
              <w:rPr>
                <w:rFonts w:hint="eastAsia" w:ascii="仿宋_GB2312" w:eastAsia="仿宋_GB2312" w:cs="华文仿宋"/>
                <w:b w:val="0"/>
                <w:bCs/>
                <w:color w:val="000000"/>
                <w:sz w:val="24"/>
                <w:szCs w:val="24"/>
              </w:rPr>
              <w:t>.有必要的办园资金和稳定、合法的经费来源，严格执行国家财务制度，依法使用资金，不得挪用、占用或抽逃经费。</w:t>
            </w:r>
          </w:p>
        </w:tc>
        <w:tc>
          <w:tcPr>
            <w:tcW w:w="524" w:type="dxa"/>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全部达到要求得10分，否则不得分。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sz w:val="24"/>
                <w:szCs w:val="24"/>
                <w:lang w:val="en-US" w:eastAsia="zh-CN"/>
              </w:rPr>
              <w:t>8</w:t>
            </w:r>
            <w:r>
              <w:rPr>
                <w:rFonts w:hint="eastAsia" w:ascii="仿宋_GB2312" w:eastAsia="仿宋_GB2312" w:cs="华文仿宋"/>
                <w:b w:val="0"/>
                <w:bCs/>
                <w:color w:val="000000"/>
                <w:sz w:val="24"/>
                <w:szCs w:val="24"/>
              </w:rPr>
              <w:t>.落实收费公示制度；向家长出具收费凭据；无乱收费等现象。</w:t>
            </w:r>
          </w:p>
        </w:tc>
        <w:tc>
          <w:tcPr>
            <w:tcW w:w="524" w:type="dxa"/>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15</w:t>
            </w:r>
          </w:p>
        </w:tc>
        <w:tc>
          <w:tcPr>
            <w:tcW w:w="125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right w:val="single" w:color="000000" w:sz="8" w:space="0"/>
            </w:tcBorders>
            <w:noWrap w:val="0"/>
            <w:vAlign w:val="center"/>
          </w:tcPr>
          <w:p>
            <w:pPr>
              <w:adjustRightInd w:val="0"/>
              <w:snapToGrid w:val="0"/>
              <w:spacing w:line="280" w:lineRule="exact"/>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全部达到要求得15分；每1项不达要求扣5分，扣完为止。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855" w:type="dxa"/>
            <w:vMerge w:val="restart"/>
            <w:tcBorders>
              <w:left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3</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场</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地</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用</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房</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70</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lang w:val="en-US" w:eastAsia="zh-CN"/>
              </w:rPr>
              <w:t>9</w:t>
            </w:r>
            <w:r>
              <w:rPr>
                <w:rFonts w:hint="eastAsia" w:ascii="仿宋_GB2312" w:eastAsia="仿宋_GB2312" w:cs="华文仿宋"/>
                <w:b w:val="0"/>
                <w:bCs/>
                <w:color w:val="000000"/>
                <w:sz w:val="24"/>
                <w:szCs w:val="24"/>
              </w:rPr>
              <w:t>.产权明晰，自有产权或租赁期不少于三年的租赁场地；园舍设置在地质条件较好、交通便利、符合卫生和环保要求的，远离对婴幼儿成长有危害的、喧闹脏乱的建筑、设施、公共娱乐场所和集贸市场等环境地带；场地周围无污染源和噪音；采光通风良好。</w:t>
            </w:r>
          </w:p>
        </w:tc>
        <w:tc>
          <w:tcPr>
            <w:tcW w:w="524" w:type="dxa"/>
            <w:tcBorders>
              <w:top w:val="single" w:color="auto" w:sz="4"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default" w:ascii="仿宋_GB2312" w:eastAsia="华文仿宋" w:cs="华文仿宋"/>
                <w:b w:val="0"/>
                <w:bCs/>
                <w:color w:val="000000"/>
                <w:kern w:val="0"/>
                <w:sz w:val="24"/>
                <w:szCs w:val="24"/>
                <w:highlight w:val="none"/>
                <w:lang w:val="en-US" w:eastAsia="zh-CN"/>
              </w:rPr>
            </w:pPr>
            <w:r>
              <w:rPr>
                <w:rFonts w:hint="eastAsia" w:ascii="楷体_GB2312" w:eastAsia="楷体_GB2312" w:cs="华文仿宋"/>
                <w:b w:val="0"/>
                <w:bCs/>
                <w:color w:val="000000"/>
                <w:kern w:val="0"/>
                <w:sz w:val="24"/>
                <w:highlight w:val="none"/>
              </w:rPr>
              <w:t>▲</w:t>
            </w:r>
            <w:r>
              <w:rPr>
                <w:rFonts w:hint="eastAsia" w:ascii="仿宋_GB2312" w:eastAsia="仿宋_GB2312" w:cs="华文仿宋"/>
                <w:b w:val="0"/>
                <w:bCs/>
                <w:color w:val="000000"/>
                <w:sz w:val="24"/>
                <w:szCs w:val="24"/>
                <w:highlight w:val="none"/>
                <w:lang w:val="en-US" w:eastAsia="zh-CN"/>
              </w:rPr>
              <w:t>10</w:t>
            </w:r>
            <w:r>
              <w:rPr>
                <w:rFonts w:hint="eastAsia" w:ascii="仿宋_GB2312" w:eastAsia="仿宋_GB2312" w:cs="华文仿宋"/>
                <w:b w:val="0"/>
                <w:bCs/>
                <w:color w:val="000000"/>
                <w:sz w:val="24"/>
                <w:szCs w:val="24"/>
                <w:highlight w:val="none"/>
              </w:rPr>
              <w:t>.婴幼儿生活用房</w:t>
            </w:r>
            <w:r>
              <w:rPr>
                <w:rFonts w:hint="eastAsia" w:ascii="仿宋_GB2312" w:eastAsia="仿宋_GB2312" w:cs="华文仿宋"/>
                <w:b w:val="0"/>
                <w:bCs/>
                <w:color w:val="000000"/>
                <w:sz w:val="24"/>
                <w:szCs w:val="24"/>
                <w:highlight w:val="none"/>
                <w:lang w:eastAsia="zh-CN"/>
              </w:rPr>
              <w:t>宜</w:t>
            </w:r>
            <w:r>
              <w:rPr>
                <w:rFonts w:hint="eastAsia" w:ascii="仿宋_GB2312" w:eastAsia="仿宋_GB2312" w:cs="华文仿宋"/>
                <w:b w:val="0"/>
                <w:bCs/>
                <w:color w:val="000000"/>
                <w:sz w:val="24"/>
                <w:szCs w:val="24"/>
                <w:highlight w:val="none"/>
              </w:rPr>
              <w:t>设置在二层及以下</w:t>
            </w:r>
            <w:r>
              <w:rPr>
                <w:rFonts w:hint="eastAsia" w:ascii="仿宋_GB2312" w:eastAsia="仿宋_GB2312" w:cs="华文仿宋"/>
                <w:b w:val="0"/>
                <w:bCs/>
                <w:color w:val="000000"/>
                <w:sz w:val="24"/>
                <w:szCs w:val="24"/>
                <w:highlight w:val="none"/>
                <w:lang w:eastAsia="zh-CN"/>
              </w:rPr>
              <w:t>；</w:t>
            </w:r>
            <w:r>
              <w:rPr>
                <w:rFonts w:hint="eastAsia" w:ascii="仿宋_GB2312" w:eastAsia="仿宋_GB2312" w:cs="华文仿宋"/>
                <w:b w:val="0"/>
                <w:bCs/>
                <w:color w:val="000000"/>
                <w:sz w:val="24"/>
                <w:szCs w:val="24"/>
                <w:highlight w:val="none"/>
              </w:rPr>
              <w:t>室外活动场地人均面积不低于2</w:t>
            </w:r>
            <w:r>
              <w:rPr>
                <w:rFonts w:hint="eastAsia" w:ascii="仿宋_GB2312" w:hAnsi="仿宋_GB2312" w:eastAsia="华文仿宋" w:cs="华文仿宋"/>
                <w:b w:val="0"/>
                <w:bCs/>
                <w:color w:val="000000"/>
                <w:sz w:val="24"/>
                <w:szCs w:val="24"/>
                <w:highlight w:val="none"/>
              </w:rPr>
              <w:t>㎡</w:t>
            </w:r>
            <w:r>
              <w:rPr>
                <w:rFonts w:hint="eastAsia" w:ascii="仿宋_GB2312" w:hAnsi="仿宋_GB2312" w:eastAsia="华文仿宋" w:cs="华文仿宋"/>
                <w:b w:val="0"/>
                <w:bCs/>
                <w:color w:val="000000"/>
                <w:sz w:val="24"/>
                <w:szCs w:val="24"/>
                <w:highlight w:val="none"/>
                <w:lang w:eastAsia="zh-CN"/>
              </w:rPr>
              <w:t>，</w:t>
            </w:r>
            <w:r>
              <w:rPr>
                <w:rFonts w:hint="eastAsia" w:ascii="仿宋_GB2312" w:eastAsia="仿宋_GB2312" w:cs="华文仿宋"/>
                <w:b w:val="0"/>
                <w:bCs/>
                <w:color w:val="000000"/>
                <w:sz w:val="24"/>
                <w:szCs w:val="24"/>
                <w:highlight w:val="none"/>
              </w:rPr>
              <w:t>在保障安全的前提下，可利用本机构附近的公共场地作为室外活动场地</w:t>
            </w:r>
            <w:r>
              <w:rPr>
                <w:rFonts w:hint="eastAsia" w:ascii="仿宋_GB2312" w:hAnsi="仿宋_GB2312" w:eastAsia="仿宋_GB2312" w:cs="仿宋_GB2312"/>
                <w:color w:val="000000"/>
                <w:spacing w:val="5"/>
                <w:sz w:val="24"/>
                <w:szCs w:val="24"/>
                <w:highlight w:val="none"/>
                <w:lang w:eastAsia="zh-CN"/>
              </w:rPr>
              <w:t>，</w:t>
            </w:r>
            <w:r>
              <w:rPr>
                <w:rFonts w:hint="eastAsia" w:ascii="仿宋_GB2312" w:hAnsi="仿宋_GB2312" w:eastAsia="仿宋_GB2312" w:cs="仿宋_GB2312"/>
                <w:color w:val="000000"/>
                <w:spacing w:val="5"/>
                <w:sz w:val="24"/>
                <w:szCs w:val="24"/>
                <w:highlight w:val="none"/>
                <w:lang w:val="en-US" w:eastAsia="zh-CN"/>
              </w:rPr>
              <w:t>且与生活用房相隔不超过50米，设有符合安全规范的人防、物防设施</w:t>
            </w:r>
            <w:r>
              <w:rPr>
                <w:rFonts w:hint="eastAsia" w:ascii="仿宋_GB2312" w:hAnsi="仿宋_GB2312" w:eastAsia="仿宋_GB2312" w:cs="仿宋_GB2312"/>
                <w:color w:val="000000"/>
                <w:spacing w:val="5"/>
                <w:sz w:val="24"/>
                <w:szCs w:val="24"/>
                <w:highlight w:val="none"/>
                <w:lang w:eastAsia="zh-CN"/>
              </w:rPr>
              <w:t>；场地用房</w:t>
            </w:r>
            <w:r>
              <w:rPr>
                <w:rFonts w:hint="eastAsia" w:ascii="仿宋_GB2312" w:eastAsia="仿宋_GB2312" w:cs="华文仿宋"/>
                <w:b w:val="0"/>
                <w:bCs/>
                <w:color w:val="000000"/>
                <w:sz w:val="24"/>
                <w:highlight w:val="none"/>
                <w:lang w:eastAsia="zh-CN"/>
              </w:rPr>
              <w:t>应符合</w:t>
            </w:r>
            <w:r>
              <w:rPr>
                <w:rFonts w:hint="eastAsia" w:ascii="仿宋_GB2312" w:eastAsia="仿宋_GB2312" w:cs="华文仿宋"/>
                <w:b w:val="0"/>
                <w:bCs/>
                <w:color w:val="000000"/>
                <w:sz w:val="24"/>
                <w:highlight w:val="none"/>
              </w:rPr>
              <w:t>《</w:t>
            </w:r>
            <w:r>
              <w:rPr>
                <w:rFonts w:hint="eastAsia" w:ascii="仿宋_GB2312" w:eastAsia="仿宋_GB2312" w:cs="华文仿宋"/>
                <w:b w:val="0"/>
                <w:bCs/>
                <w:color w:val="000000"/>
                <w:sz w:val="24"/>
                <w:highlight w:val="none"/>
                <w:lang w:eastAsia="zh-CN"/>
              </w:rPr>
              <w:t>托育机构消防安全指南</w:t>
            </w:r>
            <w:r>
              <w:rPr>
                <w:rFonts w:hint="eastAsia" w:ascii="仿宋_GB2312" w:eastAsia="仿宋_GB2312" w:cs="华文仿宋"/>
                <w:b w:val="0"/>
                <w:bCs/>
                <w:color w:val="000000"/>
                <w:sz w:val="24"/>
                <w:highlight w:val="none"/>
              </w:rPr>
              <w:t>》的要求</w:t>
            </w:r>
            <w:r>
              <w:rPr>
                <w:rFonts w:hint="eastAsia" w:ascii="仿宋_GB2312" w:eastAsia="仿宋_GB2312" w:cs="华文仿宋"/>
                <w:b w:val="0"/>
                <w:bCs/>
                <w:color w:val="000000"/>
                <w:sz w:val="24"/>
                <w:szCs w:val="24"/>
                <w:highlight w:val="none"/>
                <w:lang w:eastAsia="zh-CN"/>
              </w:rPr>
              <w:t>，</w:t>
            </w:r>
            <w:r>
              <w:rPr>
                <w:rFonts w:hint="eastAsia" w:ascii="仿宋_GB2312" w:eastAsia="仿宋_GB2312" w:cs="华文仿宋"/>
                <w:b w:val="0"/>
                <w:bCs/>
                <w:color w:val="000000"/>
                <w:sz w:val="24"/>
                <w:highlight w:val="none"/>
                <w:lang w:val="en-US" w:eastAsia="zh-CN"/>
              </w:rPr>
              <w:t>保持</w:t>
            </w:r>
            <w:r>
              <w:rPr>
                <w:rFonts w:hint="eastAsia" w:ascii="仿宋_GB2312" w:eastAsia="仿宋_GB2312" w:cs="华文仿宋"/>
                <w:b w:val="0"/>
                <w:bCs/>
                <w:color w:val="000000"/>
                <w:sz w:val="24"/>
                <w:highlight w:val="none"/>
                <w:lang w:eastAsia="zh-CN"/>
              </w:rPr>
              <w:t>疏散通道畅通，</w:t>
            </w:r>
            <w:r>
              <w:rPr>
                <w:rFonts w:hint="eastAsia" w:ascii="仿宋_GB2312" w:hAnsi="仿宋_GB2312" w:eastAsia="仿宋_GB2312" w:cs="仿宋_GB2312"/>
                <w:color w:val="000000"/>
                <w:spacing w:val="5"/>
                <w:sz w:val="24"/>
                <w:szCs w:val="24"/>
                <w:highlight w:val="none"/>
                <w:lang w:eastAsia="zh-CN"/>
              </w:rPr>
              <w:t>房间面积大于</w:t>
            </w:r>
            <w:r>
              <w:rPr>
                <w:rFonts w:hint="eastAsia" w:ascii="仿宋_GB2312" w:hAnsi="仿宋_GB2312" w:eastAsia="仿宋_GB2312" w:cs="仿宋_GB2312"/>
                <w:color w:val="000000"/>
                <w:spacing w:val="5"/>
                <w:sz w:val="24"/>
                <w:szCs w:val="24"/>
                <w:highlight w:val="none"/>
                <w:lang w:val="en-US" w:eastAsia="zh-CN"/>
              </w:rPr>
              <w:t>50</w:t>
            </w:r>
            <w:r>
              <w:rPr>
                <w:rFonts w:hint="eastAsia" w:ascii="仿宋_GB2312" w:hAnsi="仿宋_GB2312" w:eastAsia="华文仿宋" w:cs="华文仿宋"/>
                <w:b w:val="0"/>
                <w:bCs/>
                <w:color w:val="000000"/>
                <w:sz w:val="24"/>
                <w:szCs w:val="24"/>
                <w:highlight w:val="none"/>
              </w:rPr>
              <w:t>㎡</w:t>
            </w:r>
            <w:r>
              <w:rPr>
                <w:rFonts w:hint="eastAsia" w:ascii="仿宋_GB2312" w:hAnsi="仿宋_GB2312" w:eastAsia="华文仿宋" w:cs="华文仿宋"/>
                <w:b w:val="0"/>
                <w:bCs/>
                <w:color w:val="000000"/>
                <w:sz w:val="24"/>
                <w:szCs w:val="24"/>
                <w:highlight w:val="none"/>
                <w:lang w:eastAsia="zh-CN"/>
              </w:rPr>
              <w:t>的</w:t>
            </w:r>
            <w:r>
              <w:rPr>
                <w:rFonts w:hint="eastAsia" w:ascii="仿宋_GB2312" w:eastAsia="仿宋_GB2312" w:cs="华文仿宋"/>
                <w:b w:val="0"/>
                <w:bCs/>
                <w:color w:val="000000"/>
                <w:sz w:val="24"/>
                <w:highlight w:val="none"/>
                <w:lang w:eastAsia="zh-CN"/>
              </w:rPr>
              <w:t>疏散门不少于</w:t>
            </w:r>
            <w:r>
              <w:rPr>
                <w:rFonts w:hint="eastAsia" w:ascii="仿宋_GB2312" w:eastAsia="仿宋_GB2312" w:cs="华文仿宋"/>
                <w:b w:val="0"/>
                <w:bCs/>
                <w:color w:val="000000"/>
                <w:sz w:val="24"/>
                <w:highlight w:val="none"/>
                <w:lang w:val="en-US" w:eastAsia="zh-CN"/>
              </w:rPr>
              <w:t>2个。</w:t>
            </w:r>
          </w:p>
        </w:tc>
        <w:tc>
          <w:tcPr>
            <w:tcW w:w="524" w:type="dxa"/>
            <w:tcBorders>
              <w:top w:val="single" w:color="auto" w:sz="4"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lang w:val="en-US" w:eastAsia="zh-CN"/>
              </w:rPr>
              <w:t>5</w:t>
            </w:r>
            <w:r>
              <w:rPr>
                <w:rFonts w:hint="eastAsia" w:ascii="仿宋_GB2312" w:eastAsia="仿宋_GB2312" w:cs="华文仿宋"/>
                <w:b w:val="0"/>
                <w:bCs/>
                <w:color w:val="000000"/>
                <w:kern w:val="0"/>
                <w:sz w:val="24"/>
                <w:szCs w:val="24"/>
                <w:highlight w:val="none"/>
              </w:rPr>
              <w:t>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rPr>
              <w:t>现场查看</w:t>
            </w:r>
          </w:p>
          <w:p>
            <w:pPr>
              <w:adjustRightInd w:val="0"/>
              <w:snapToGrid w:val="0"/>
              <w:rPr>
                <w:rFonts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kern w:val="0"/>
                <w:sz w:val="24"/>
                <w:szCs w:val="24"/>
                <w:highlight w:val="none"/>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highlight w:val="none"/>
              </w:rPr>
            </w:pPr>
            <w:r>
              <w:rPr>
                <w:rFonts w:hint="eastAsia" w:ascii="仿宋_GB2312" w:eastAsia="仿宋_GB2312" w:cs="华文仿宋"/>
                <w:b w:val="0"/>
                <w:bCs/>
                <w:color w:val="000000"/>
                <w:sz w:val="24"/>
                <w:szCs w:val="24"/>
                <w:highlight w:val="none"/>
              </w:rPr>
              <w:t>全部达到要求得</w:t>
            </w:r>
            <w:r>
              <w:rPr>
                <w:rFonts w:hint="eastAsia" w:ascii="仿宋_GB2312" w:eastAsia="仿宋_GB2312" w:cs="华文仿宋"/>
                <w:b w:val="0"/>
                <w:bCs/>
                <w:color w:val="000000"/>
                <w:sz w:val="24"/>
                <w:szCs w:val="24"/>
                <w:highlight w:val="none"/>
                <w:lang w:val="en-US" w:eastAsia="zh-CN"/>
              </w:rPr>
              <w:t>50</w:t>
            </w:r>
            <w:r>
              <w:rPr>
                <w:rFonts w:hint="eastAsia" w:ascii="仿宋_GB2312" w:eastAsia="仿宋_GB2312" w:cs="华文仿宋"/>
                <w:b w:val="0"/>
                <w:bCs/>
                <w:color w:val="000000"/>
                <w:sz w:val="24"/>
                <w:szCs w:val="24"/>
                <w:highlight w:val="none"/>
              </w:rPr>
              <w:t>分；婴幼儿生活用房设置</w:t>
            </w:r>
            <w:r>
              <w:rPr>
                <w:rFonts w:hint="eastAsia" w:ascii="仿宋_GB2312" w:eastAsia="仿宋_GB2312" w:cs="华文仿宋"/>
                <w:b w:val="0"/>
                <w:bCs/>
                <w:color w:val="000000"/>
                <w:sz w:val="24"/>
                <w:szCs w:val="24"/>
                <w:highlight w:val="none"/>
                <w:lang w:eastAsia="zh-CN"/>
              </w:rPr>
              <w:t>在三层的扣</w:t>
            </w:r>
            <w:r>
              <w:rPr>
                <w:rFonts w:hint="eastAsia" w:ascii="仿宋_GB2312" w:eastAsia="仿宋_GB2312" w:cs="华文仿宋"/>
                <w:b w:val="0"/>
                <w:bCs/>
                <w:color w:val="000000"/>
                <w:sz w:val="24"/>
                <w:szCs w:val="24"/>
                <w:highlight w:val="none"/>
                <w:lang w:val="en-US" w:eastAsia="zh-CN"/>
              </w:rPr>
              <w:t>10分</w:t>
            </w:r>
            <w:r>
              <w:rPr>
                <w:rFonts w:hint="eastAsia" w:ascii="仿宋_GB2312" w:eastAsia="仿宋_GB2312" w:cs="华文仿宋"/>
                <w:b w:val="0"/>
                <w:bCs/>
                <w:color w:val="000000"/>
                <w:sz w:val="24"/>
                <w:szCs w:val="24"/>
                <w:highlight w:val="none"/>
                <w:lang w:eastAsia="zh-CN"/>
              </w:rPr>
              <w:t>；</w:t>
            </w:r>
            <w:r>
              <w:rPr>
                <w:rFonts w:hint="eastAsia" w:ascii="仿宋_GB2312" w:eastAsia="仿宋_GB2312" w:cs="华文仿宋"/>
                <w:b w:val="0"/>
                <w:bCs/>
                <w:color w:val="000000"/>
                <w:sz w:val="24"/>
                <w:szCs w:val="24"/>
                <w:highlight w:val="none"/>
              </w:rPr>
              <w:t>室外活动场地不符合要求</w:t>
            </w:r>
            <w:r>
              <w:rPr>
                <w:rFonts w:hint="eastAsia" w:ascii="仿宋_GB2312" w:eastAsia="仿宋_GB2312" w:cs="华文仿宋"/>
                <w:b w:val="0"/>
                <w:bCs/>
                <w:color w:val="000000"/>
                <w:sz w:val="24"/>
                <w:szCs w:val="24"/>
                <w:highlight w:val="none"/>
                <w:lang w:eastAsia="zh-CN"/>
              </w:rPr>
              <w:t>，根据实际情况</w:t>
            </w:r>
            <w:r>
              <w:rPr>
                <w:rFonts w:hint="eastAsia" w:ascii="仿宋_GB2312" w:eastAsia="仿宋_GB2312" w:cs="华文仿宋"/>
                <w:b w:val="0"/>
                <w:bCs/>
                <w:color w:val="000000"/>
                <w:sz w:val="24"/>
                <w:szCs w:val="24"/>
                <w:highlight w:val="none"/>
              </w:rPr>
              <w:t>扣</w:t>
            </w:r>
            <w:r>
              <w:rPr>
                <w:rFonts w:hint="eastAsia" w:ascii="仿宋_GB2312" w:eastAsia="仿宋_GB2312" w:cs="华文仿宋"/>
                <w:b w:val="0"/>
                <w:bCs/>
                <w:color w:val="000000"/>
                <w:sz w:val="24"/>
                <w:szCs w:val="24"/>
                <w:highlight w:val="none"/>
                <w:lang w:eastAsia="zh-CN"/>
              </w:rPr>
              <w:t>分，扣完</w:t>
            </w:r>
            <w:r>
              <w:rPr>
                <w:rFonts w:hint="eastAsia" w:ascii="仿宋_GB2312" w:eastAsia="仿宋_GB2312" w:cs="华文仿宋"/>
                <w:b w:val="0"/>
                <w:bCs/>
                <w:color w:val="000000"/>
                <w:sz w:val="24"/>
                <w:szCs w:val="24"/>
                <w:highlight w:val="none"/>
                <w:lang w:val="en-US" w:eastAsia="zh-CN"/>
              </w:rPr>
              <w:t>10</w:t>
            </w:r>
            <w:r>
              <w:rPr>
                <w:rFonts w:hint="eastAsia" w:ascii="仿宋_GB2312" w:eastAsia="仿宋_GB2312" w:cs="华文仿宋"/>
                <w:b w:val="0"/>
                <w:bCs/>
                <w:color w:val="000000"/>
                <w:sz w:val="24"/>
                <w:szCs w:val="24"/>
                <w:highlight w:val="none"/>
              </w:rPr>
              <w:t>分</w:t>
            </w:r>
            <w:r>
              <w:rPr>
                <w:rFonts w:hint="eastAsia" w:ascii="仿宋_GB2312" w:eastAsia="仿宋_GB2312" w:cs="华文仿宋"/>
                <w:b w:val="0"/>
                <w:bCs/>
                <w:color w:val="000000"/>
                <w:sz w:val="24"/>
                <w:szCs w:val="24"/>
                <w:highlight w:val="none"/>
                <w:lang w:eastAsia="zh-CN"/>
              </w:rPr>
              <w:t>为止；</w:t>
            </w:r>
            <w:r>
              <w:rPr>
                <w:rFonts w:hint="eastAsia" w:ascii="仿宋_GB2312" w:eastAsia="仿宋_GB2312" w:cs="华文仿宋"/>
                <w:b w:val="0"/>
                <w:bCs/>
                <w:color w:val="000000"/>
                <w:sz w:val="24"/>
                <w:szCs w:val="24"/>
                <w:highlight w:val="none"/>
              </w:rPr>
              <w:t>消防</w:t>
            </w:r>
            <w:r>
              <w:rPr>
                <w:rFonts w:hint="eastAsia" w:ascii="仿宋_GB2312" w:eastAsia="仿宋_GB2312" w:cs="华文仿宋"/>
                <w:b w:val="0"/>
                <w:bCs/>
                <w:color w:val="000000"/>
                <w:sz w:val="24"/>
                <w:szCs w:val="24"/>
                <w:highlight w:val="none"/>
                <w:lang w:eastAsia="zh-CN"/>
              </w:rPr>
              <w:t>不符合</w:t>
            </w:r>
            <w:r>
              <w:rPr>
                <w:rFonts w:hint="eastAsia" w:ascii="仿宋_GB2312" w:eastAsia="仿宋_GB2312" w:cs="华文仿宋"/>
                <w:b w:val="0"/>
                <w:bCs/>
                <w:color w:val="000000"/>
                <w:sz w:val="24"/>
                <w:szCs w:val="24"/>
                <w:highlight w:val="none"/>
              </w:rPr>
              <w:t>规范</w:t>
            </w:r>
            <w:r>
              <w:rPr>
                <w:rFonts w:hint="eastAsia" w:ascii="仿宋_GB2312" w:eastAsia="仿宋_GB2312" w:cs="华文仿宋"/>
                <w:b w:val="0"/>
                <w:bCs/>
                <w:color w:val="000000"/>
                <w:sz w:val="24"/>
                <w:szCs w:val="24"/>
                <w:highlight w:val="none"/>
                <w:lang w:eastAsia="zh-CN"/>
              </w:rPr>
              <w:t>的，根据实际情况扣分，扣完</w:t>
            </w:r>
            <w:r>
              <w:rPr>
                <w:rFonts w:hint="eastAsia" w:ascii="仿宋_GB2312" w:eastAsia="仿宋_GB2312" w:cs="华文仿宋"/>
                <w:b w:val="0"/>
                <w:bCs/>
                <w:color w:val="000000"/>
                <w:sz w:val="24"/>
                <w:szCs w:val="24"/>
                <w:highlight w:val="none"/>
                <w:lang w:val="en-US" w:eastAsia="zh-CN"/>
              </w:rPr>
              <w:t>30分为止。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default" w:ascii="仿宋_GB2312" w:eastAsia="仿宋_GB2312" w:cs="华文仿宋"/>
                <w:b w:val="0"/>
                <w:bCs/>
                <w:color w:val="000000"/>
                <w:kern w:val="0"/>
                <w:sz w:val="24"/>
                <w:szCs w:val="24"/>
                <w:lang w:val="en-US" w:eastAsia="zh-CN"/>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A1</w:t>
            </w:r>
          </w:p>
          <w:p>
            <w:pPr>
              <w:adjustRightInd w:val="0"/>
              <w:snapToGrid w:val="0"/>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机</w:t>
            </w:r>
          </w:p>
          <w:p>
            <w:pPr>
              <w:adjustRightInd w:val="0"/>
              <w:snapToGrid w:val="0"/>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构</w:t>
            </w:r>
          </w:p>
          <w:p>
            <w:pPr>
              <w:adjustRightInd w:val="0"/>
              <w:snapToGrid w:val="0"/>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设</w:t>
            </w:r>
          </w:p>
          <w:p>
            <w:pPr>
              <w:adjustRightInd w:val="0"/>
              <w:snapToGrid w:val="0"/>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置</w:t>
            </w:r>
          </w:p>
          <w:p>
            <w:pPr>
              <w:adjustRightInd w:val="0"/>
              <w:snapToGrid w:val="0"/>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270</w:t>
            </w:r>
          </w:p>
          <w:p>
            <w:pPr>
              <w:adjustRightInd w:val="0"/>
              <w:snapToGrid w:val="0"/>
              <w:jc w:val="center"/>
              <w:rPr>
                <w:b w:val="0"/>
                <w:bCs/>
                <w:color w:val="000000"/>
              </w:rPr>
            </w:pPr>
            <w:r>
              <w:rPr>
                <w:rFonts w:hint="eastAsia" w:ascii="仿宋_GB2312" w:eastAsia="仿宋_GB2312" w:cs="华文仿宋"/>
                <w:b w:val="0"/>
                <w:bCs/>
                <w:color w:val="000000"/>
                <w:sz w:val="24"/>
              </w:rPr>
              <w:t>分</w:t>
            </w:r>
          </w:p>
        </w:tc>
        <w:tc>
          <w:tcPr>
            <w:tcW w:w="855"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B4</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施</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备</w:t>
            </w:r>
          </w:p>
          <w:p>
            <w:pPr>
              <w:adjustRightInd w:val="0"/>
              <w:snapToGrid w:val="0"/>
              <w:jc w:val="center"/>
              <w:rPr>
                <w:rFonts w:hint="eastAsia"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115分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sz w:val="24"/>
                <w:szCs w:val="24"/>
              </w:rPr>
              <w:t>1</w:t>
            </w:r>
            <w:r>
              <w:rPr>
                <w:rFonts w:hint="eastAsia" w:ascii="仿宋_GB2312" w:eastAsia="仿宋_GB2312" w:cs="华文仿宋"/>
                <w:b w:val="0"/>
                <w:bCs/>
                <w:color w:val="000000"/>
                <w:sz w:val="24"/>
                <w:szCs w:val="24"/>
                <w:lang w:val="en-US" w:eastAsia="zh-CN"/>
              </w:rPr>
              <w:t>1</w:t>
            </w:r>
            <w:r>
              <w:rPr>
                <w:rFonts w:hint="eastAsia" w:ascii="仿宋_GB2312" w:eastAsia="仿宋_GB2312" w:cs="华文仿宋"/>
                <w:b w:val="0"/>
                <w:bCs/>
                <w:color w:val="000000"/>
                <w:sz w:val="24"/>
                <w:szCs w:val="24"/>
              </w:rPr>
              <w:t>.配备照明、通风、防暑降温和保暖等设备</w:t>
            </w:r>
            <w:r>
              <w:rPr>
                <w:rFonts w:hint="eastAsia" w:ascii="仿宋_GB2312" w:eastAsia="仿宋_GB2312" w:cs="华文仿宋"/>
                <w:b w:val="0"/>
                <w:bCs/>
                <w:color w:val="000000"/>
                <w:sz w:val="24"/>
                <w:szCs w:val="24"/>
                <w:lang w:eastAsia="zh-CN"/>
              </w:rPr>
              <w:t>；</w:t>
            </w:r>
            <w:r>
              <w:rPr>
                <w:rFonts w:hint="eastAsia" w:ascii="仿宋_GB2312" w:eastAsia="仿宋_GB2312" w:cs="华文仿宋"/>
                <w:b w:val="0"/>
                <w:bCs/>
                <w:color w:val="000000"/>
                <w:sz w:val="24"/>
                <w:szCs w:val="24"/>
              </w:rPr>
              <w:t>按照每立方米1.5瓦计算配备紫外线杀菌灯</w:t>
            </w:r>
            <w:r>
              <w:rPr>
                <w:rFonts w:hint="eastAsia" w:ascii="仿宋_GB2312" w:eastAsia="仿宋_GB2312" w:cs="华文仿宋"/>
                <w:b w:val="0"/>
                <w:bCs/>
                <w:color w:val="000000"/>
                <w:sz w:val="24"/>
                <w:szCs w:val="24"/>
                <w:lang w:eastAsia="zh-CN"/>
              </w:rPr>
              <w:t>；</w:t>
            </w:r>
            <w:r>
              <w:rPr>
                <w:rFonts w:hint="eastAsia" w:ascii="仿宋_GB2312" w:eastAsia="仿宋_GB2312" w:cs="华文仿宋"/>
                <w:b w:val="0"/>
                <w:bCs/>
                <w:color w:val="000000"/>
                <w:sz w:val="24"/>
                <w:szCs w:val="24"/>
              </w:rPr>
              <w:t>各班应配有独立使用的生活单元，每个生活单元应按相关的建筑规范进行分区，包括睡眠区、活动区、配餐区、清洁区、卫生间、储藏区等专用区域；其中睡眠区（房）配有符合婴幼儿安全与卫生要求的午睡床铺和被褥等，确保</w:t>
            </w:r>
            <w:r>
              <w:rPr>
                <w:rFonts w:hint="eastAsia" w:ascii="仿宋_GB2312" w:hAnsi="仿宋_GB2312" w:eastAsia="仿宋_GB2312" w:cs="仿宋_GB2312"/>
                <w:color w:val="000000"/>
                <w:sz w:val="24"/>
                <w:szCs w:val="24"/>
                <w:lang w:val="en-US" w:eastAsia="zh-CN"/>
              </w:rPr>
              <w:t>1人1床1巾</w:t>
            </w:r>
            <w:r>
              <w:rPr>
                <w:rFonts w:hint="eastAsia" w:ascii="仿宋_GB2312" w:eastAsia="仿宋_GB2312" w:cs="华文仿宋"/>
                <w:b w:val="0"/>
                <w:bCs/>
                <w:color w:val="000000"/>
                <w:sz w:val="24"/>
                <w:szCs w:val="24"/>
                <w:lang w:eastAsia="zh-CN"/>
              </w:rPr>
              <w:t>；</w:t>
            </w:r>
            <w:r>
              <w:rPr>
                <w:rFonts w:hint="eastAsia" w:ascii="仿宋_GB2312" w:eastAsia="仿宋_GB2312" w:cs="华文仿宋"/>
                <w:b w:val="0"/>
                <w:bCs/>
                <w:color w:val="000000"/>
                <w:sz w:val="24"/>
                <w:szCs w:val="24"/>
              </w:rPr>
              <w:t>设有独立厕所，设置盥洗和如厕等相关专用设备，尿布台至少1个，流动水龙头数量与婴幼儿人数的比例为1:5，婴幼儿专用坐便器（</w:t>
            </w:r>
            <w:r>
              <w:rPr>
                <w:rFonts w:hint="eastAsia" w:ascii="仿宋_GB2312" w:hAnsi="仿宋_GB2312" w:eastAsia="仿宋_GB2312" w:cs="仿宋_GB2312"/>
                <w:color w:val="000000"/>
                <w:sz w:val="24"/>
                <w:szCs w:val="24"/>
                <w:lang w:val="en-US" w:eastAsia="zh-CN"/>
              </w:rPr>
              <w:t>或坐便椅</w:t>
            </w:r>
            <w:r>
              <w:rPr>
                <w:rFonts w:hint="eastAsia" w:ascii="仿宋_GB2312" w:eastAsia="仿宋_GB2312" w:cs="华文仿宋"/>
                <w:b w:val="0"/>
                <w:bCs/>
                <w:color w:val="000000"/>
                <w:sz w:val="24"/>
                <w:szCs w:val="24"/>
              </w:rPr>
              <w:t>）至少2个/班，小便器至少2个/班；室内配有消毒柜、口杯架、毛巾架、保温桶等生活设施，确保1人2巾。</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eastAsia="仿宋_GB2312" w:cs="华文仿宋"/>
                <w:b w:val="0"/>
                <w:bCs/>
                <w:color w:val="000000"/>
                <w:sz w:val="24"/>
                <w:szCs w:val="24"/>
              </w:rPr>
            </w:pPr>
            <w:r>
              <w:rPr>
                <w:rFonts w:hint="eastAsia" w:ascii="仿宋_GB2312" w:eastAsia="仿宋_GB2312" w:cs="华文仿宋"/>
                <w:b w:val="0"/>
                <w:bCs/>
                <w:color w:val="000000"/>
                <w:sz w:val="24"/>
                <w:szCs w:val="24"/>
              </w:rPr>
              <w:t>全部达到要求得30分；每1项不达要求扣5分，扣完为止。</w:t>
            </w:r>
          </w:p>
          <w:p>
            <w:pPr>
              <w:adjustRightInd w:val="0"/>
              <w:snapToGrid w:val="0"/>
              <w:rPr>
                <w:rFonts w:hint="eastAsia" w:ascii="仿宋_GB2312" w:eastAsia="仿宋_GB2312" w:cs="华文仿宋"/>
                <w:b w:val="0"/>
                <w:bCs/>
                <w:color w:val="000000"/>
                <w:sz w:val="24"/>
                <w:szCs w:val="24"/>
                <w:lang w:val="en-US" w:eastAsia="zh-CN"/>
              </w:rPr>
            </w:pP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1</w:t>
            </w:r>
            <w:r>
              <w:rPr>
                <w:rFonts w:hint="eastAsia" w:ascii="仿宋_GB2312" w:eastAsia="仿宋_GB2312" w:cs="华文仿宋"/>
                <w:b w:val="0"/>
                <w:bCs/>
                <w:color w:val="000000"/>
                <w:sz w:val="24"/>
                <w:szCs w:val="24"/>
                <w:lang w:val="en-US" w:eastAsia="zh-CN"/>
              </w:rPr>
              <w:t>2</w:t>
            </w:r>
            <w:r>
              <w:rPr>
                <w:rFonts w:hint="eastAsia" w:ascii="仿宋_GB2312" w:eastAsia="仿宋_GB2312" w:cs="华文仿宋"/>
                <w:b w:val="0"/>
                <w:bCs/>
                <w:color w:val="000000"/>
                <w:sz w:val="24"/>
                <w:szCs w:val="24"/>
              </w:rPr>
              <w:t>.自行加工膳食的机构应设置满足供餐需要的厨房，且场地、设备符合相关规定，且办理《食品经营许可证》；实行明厨亮灶及色标管理。非自行加工膳食的机构可不设厨房，但应设置与供餐规模相适应并符合食品安全管理规定的备餐间。</w:t>
            </w:r>
            <w:r>
              <w:rPr>
                <w:rFonts w:hint="eastAsia" w:ascii="仿宋_GB2312" w:eastAsia="仿宋_GB2312" w:cs="华文仿宋"/>
                <w:b w:val="0"/>
                <w:bCs/>
                <w:color w:val="000000"/>
                <w:sz w:val="24"/>
                <w:szCs w:val="24"/>
                <w:lang w:eastAsia="en-US"/>
              </w:rPr>
              <w:t>备餐间不低于6</w:t>
            </w:r>
            <w:r>
              <w:rPr>
                <w:rFonts w:hint="eastAsia" w:ascii="仿宋_GB2312" w:hAnsi="仿宋_GB2312" w:eastAsia="华文仿宋" w:cs="华文仿宋"/>
                <w:b w:val="0"/>
                <w:bCs/>
                <w:color w:val="000000"/>
                <w:sz w:val="24"/>
                <w:szCs w:val="24"/>
                <w:lang w:eastAsia="en-US"/>
              </w:rPr>
              <w:t>㎡</w:t>
            </w:r>
            <w:r>
              <w:rPr>
                <w:rFonts w:hint="eastAsia" w:ascii="仿宋_GB2312" w:eastAsia="仿宋_GB2312" w:cs="华文仿宋"/>
                <w:b w:val="0"/>
                <w:bCs/>
                <w:color w:val="000000"/>
                <w:sz w:val="24"/>
                <w:szCs w:val="24"/>
                <w:lang w:eastAsia="en-US"/>
              </w:rPr>
              <w:t>。</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达到要求得20分</w:t>
            </w:r>
            <w:r>
              <w:rPr>
                <w:rFonts w:hint="eastAsia" w:ascii="仿宋_GB2312" w:eastAsia="仿宋_GB2312" w:cs="华文仿宋"/>
                <w:b w:val="0"/>
                <w:bCs/>
                <w:color w:val="000000"/>
                <w:sz w:val="24"/>
              </w:rPr>
              <w:t>；每1项不达要求扣5分，扣完为止。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1</w:t>
            </w:r>
            <w:r>
              <w:rPr>
                <w:rFonts w:hint="eastAsia" w:ascii="仿宋_GB2312" w:eastAsia="仿宋_GB2312" w:cs="华文仿宋"/>
                <w:b w:val="0"/>
                <w:bCs/>
                <w:color w:val="000000"/>
                <w:sz w:val="24"/>
                <w:szCs w:val="24"/>
                <w:lang w:val="en-US" w:eastAsia="zh-CN"/>
              </w:rPr>
              <w:t>3</w:t>
            </w:r>
            <w:r>
              <w:rPr>
                <w:rFonts w:hint="eastAsia" w:ascii="仿宋_GB2312" w:eastAsia="仿宋_GB2312" w:cs="华文仿宋"/>
                <w:b w:val="0"/>
                <w:bCs/>
                <w:color w:val="000000"/>
                <w:sz w:val="24"/>
                <w:szCs w:val="24"/>
              </w:rPr>
              <w:t>.机构内需设置办公室、</w:t>
            </w:r>
            <w:r>
              <w:rPr>
                <w:rFonts w:hint="eastAsia" w:ascii="仿宋_GB2312" w:hAnsi="仿宋_GB2312" w:eastAsia="仿宋_GB2312" w:cs="仿宋_GB2312"/>
                <w:color w:val="000000"/>
                <w:sz w:val="24"/>
                <w:szCs w:val="24"/>
                <w:lang w:val="en-US" w:eastAsia="zh-CN"/>
              </w:rPr>
              <w:t>儿童保健室并在旁边配有独立的隔离观察室、</w:t>
            </w:r>
            <w:r>
              <w:rPr>
                <w:rFonts w:hint="eastAsia" w:ascii="仿宋_GB2312" w:eastAsia="仿宋_GB2312" w:cs="华文仿宋"/>
                <w:b w:val="0"/>
                <w:bCs/>
                <w:color w:val="000000"/>
                <w:sz w:val="24"/>
                <w:szCs w:val="24"/>
              </w:rPr>
              <w:t>厨房（或配餐间）、洗涤消毒间等管理配套用房；儿童保健室设置流动水（代流动水）、</w:t>
            </w:r>
            <w:r>
              <w:rPr>
                <w:rFonts w:hint="eastAsia" w:ascii="仿宋_GB2312" w:hAnsi="仿宋_GB2312" w:eastAsia="仿宋_GB2312" w:cs="仿宋_GB2312"/>
                <w:color w:val="000000"/>
                <w:sz w:val="24"/>
                <w:szCs w:val="24"/>
                <w:lang w:val="en-US" w:eastAsia="zh-CN"/>
              </w:rPr>
              <w:t>坐便器（椅）、</w:t>
            </w:r>
            <w:r>
              <w:rPr>
                <w:rFonts w:hint="eastAsia" w:ascii="仿宋_GB2312" w:eastAsia="仿宋_GB2312" w:cs="华文仿宋"/>
                <w:b w:val="0"/>
                <w:bCs/>
                <w:color w:val="000000"/>
                <w:sz w:val="24"/>
                <w:szCs w:val="24"/>
              </w:rPr>
              <w:t>观察床、身高计</w:t>
            </w:r>
            <w:r>
              <w:rPr>
                <w:rFonts w:hint="eastAsia" w:ascii="仿宋_GB2312" w:eastAsia="仿宋_GB2312" w:cs="华文仿宋"/>
                <w:b w:val="0"/>
                <w:bCs/>
                <w:color w:val="000000"/>
                <w:sz w:val="24"/>
                <w:szCs w:val="24"/>
                <w:lang w:eastAsia="zh-CN"/>
              </w:rPr>
              <w:t>或量床</w:t>
            </w:r>
            <w:r>
              <w:rPr>
                <w:rFonts w:hint="eastAsia" w:ascii="仿宋_GB2312" w:eastAsia="仿宋_GB2312" w:cs="华文仿宋"/>
                <w:b w:val="0"/>
                <w:bCs/>
                <w:color w:val="000000"/>
                <w:sz w:val="24"/>
                <w:szCs w:val="24"/>
              </w:rPr>
              <w:t>、体重秤、药品柜和紫外线消毒灯等卫生保健设施；配有</w:t>
            </w:r>
            <w:r>
              <w:rPr>
                <w:rFonts w:hint="eastAsia" w:ascii="仿宋_GB2312" w:hAnsi="仿宋_GB2312" w:eastAsia="仿宋_GB2312" w:cs="仿宋_GB2312"/>
                <w:color w:val="000000"/>
                <w:sz w:val="24"/>
                <w:szCs w:val="24"/>
                <w:lang w:val="en-US" w:eastAsia="zh-CN"/>
              </w:rPr>
              <w:t>测温仪体温计</w:t>
            </w:r>
            <w:r>
              <w:rPr>
                <w:rFonts w:hint="eastAsia" w:ascii="仿宋_GB2312" w:eastAsia="仿宋_GB2312" w:cs="华文仿宋"/>
                <w:b w:val="0"/>
                <w:bCs/>
                <w:color w:val="000000"/>
                <w:sz w:val="24"/>
                <w:szCs w:val="24"/>
              </w:rPr>
              <w:t>、消毒压舌板、手电筒、免洗手部消毒液等晨检用品。</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15</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达到要求得15分；每1项不达要求扣</w:t>
            </w:r>
            <w:r>
              <w:rPr>
                <w:rFonts w:hint="eastAsia" w:ascii="仿宋_GB2312" w:eastAsia="仿宋_GB2312" w:cs="华文仿宋"/>
                <w:b w:val="0"/>
                <w:bCs/>
                <w:color w:val="000000"/>
                <w:sz w:val="24"/>
                <w:szCs w:val="24"/>
                <w:lang w:val="en-US" w:eastAsia="zh-CN"/>
              </w:rPr>
              <w:t>3</w:t>
            </w:r>
            <w:r>
              <w:rPr>
                <w:rFonts w:hint="eastAsia" w:ascii="仿宋_GB2312" w:eastAsia="仿宋_GB2312" w:cs="华文仿宋"/>
                <w:b w:val="0"/>
                <w:bCs/>
                <w:color w:val="000000"/>
                <w:sz w:val="24"/>
                <w:szCs w:val="24"/>
              </w:rPr>
              <w:t>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A1</w:t>
            </w:r>
          </w:p>
          <w:p>
            <w:pPr>
              <w:adjustRightInd w:val="0"/>
              <w:snapToGrid w:val="0"/>
              <w:spacing w:line="300" w:lineRule="exact"/>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机</w:t>
            </w:r>
          </w:p>
          <w:p>
            <w:pPr>
              <w:adjustRightInd w:val="0"/>
              <w:snapToGrid w:val="0"/>
              <w:spacing w:line="300" w:lineRule="exact"/>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构</w:t>
            </w:r>
          </w:p>
          <w:p>
            <w:pPr>
              <w:adjustRightInd w:val="0"/>
              <w:snapToGrid w:val="0"/>
              <w:spacing w:line="300" w:lineRule="exact"/>
              <w:jc w:val="center"/>
              <w:rPr>
                <w:rFonts w:hint="eastAsia" w:ascii="仿宋_GB2312" w:eastAsia="仿宋_GB2312" w:cs="华文仿宋"/>
                <w:b w:val="0"/>
                <w:bCs/>
                <w:color w:val="000000"/>
                <w:sz w:val="24"/>
              </w:rPr>
            </w:pPr>
            <w:r>
              <w:rPr>
                <w:rFonts w:hint="eastAsia" w:ascii="仿宋_GB2312" w:eastAsia="仿宋_GB2312" w:cs="华文仿宋"/>
                <w:b w:val="0"/>
                <w:bCs/>
                <w:color w:val="000000"/>
                <w:sz w:val="24"/>
              </w:rPr>
              <w:t>设</w:t>
            </w:r>
          </w:p>
          <w:p>
            <w:pPr>
              <w:adjustRightInd w:val="0"/>
              <w:snapToGrid w:val="0"/>
              <w:spacing w:line="30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置</w:t>
            </w:r>
          </w:p>
          <w:p>
            <w:pPr>
              <w:adjustRightInd w:val="0"/>
              <w:snapToGrid w:val="0"/>
              <w:spacing w:line="30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270</w:t>
            </w:r>
          </w:p>
          <w:p>
            <w:pPr>
              <w:adjustRightInd w:val="0"/>
              <w:snapToGrid w:val="0"/>
              <w:spacing w:line="300" w:lineRule="exact"/>
              <w:jc w:val="center"/>
              <w:rPr>
                <w:b w:val="0"/>
                <w:bCs/>
                <w:color w:val="000000"/>
              </w:rPr>
            </w:pPr>
            <w:r>
              <w:rPr>
                <w:rFonts w:hint="eastAsia" w:ascii="仿宋_GB2312" w:eastAsia="仿宋_GB2312" w:cs="华文仿宋"/>
                <w:b w:val="0"/>
                <w:bCs/>
                <w:color w:val="000000"/>
                <w:sz w:val="24"/>
              </w:rPr>
              <w:t>分</w:t>
            </w:r>
          </w:p>
        </w:tc>
        <w:tc>
          <w:tcPr>
            <w:tcW w:w="855"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B4</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施</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备</w:t>
            </w:r>
          </w:p>
          <w:p>
            <w:pPr>
              <w:rPr>
                <w:b w:val="0"/>
                <w:bCs/>
                <w:color w:val="000000"/>
              </w:rPr>
            </w:pPr>
            <w:r>
              <w:rPr>
                <w:rFonts w:hint="eastAsia" w:ascii="仿宋_GB2312" w:eastAsia="仿宋_GB2312" w:cs="华文仿宋"/>
                <w:b w:val="0"/>
                <w:bCs/>
                <w:color w:val="000000"/>
                <w:kern w:val="0"/>
                <w:sz w:val="24"/>
                <w:szCs w:val="24"/>
              </w:rPr>
              <w:t>115分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1</w:t>
            </w:r>
            <w:r>
              <w:rPr>
                <w:rFonts w:hint="eastAsia" w:ascii="仿宋_GB2312" w:eastAsia="仿宋_GB2312" w:cs="华文仿宋"/>
                <w:b w:val="0"/>
                <w:bCs/>
                <w:color w:val="000000"/>
                <w:sz w:val="24"/>
                <w:lang w:val="en-US" w:eastAsia="zh-CN"/>
              </w:rPr>
              <w:t>4</w:t>
            </w:r>
            <w:r>
              <w:rPr>
                <w:rFonts w:hint="eastAsia" w:ascii="仿宋_GB2312" w:eastAsia="仿宋_GB2312" w:cs="华文仿宋"/>
                <w:b w:val="0"/>
                <w:bCs/>
                <w:color w:val="000000"/>
                <w:sz w:val="24"/>
              </w:rPr>
              <w:t>.玩教具种类丰富、数量充足，每班至少20种；符合年龄特点、安全质量标准和环保要求，操作性和实用性强；婴幼儿绘本图书种类丰富、内容健康，生均5册以上；配备充足和适宜的玩具收纳柜或玩具架等；户外玩具和活动器械品种多样、数量充足，配置合理。</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2"/>
                <w:sz w:val="24"/>
                <w:szCs w:val="22"/>
                <w:highlight w:val="none"/>
                <w:lang w:val="en-US" w:eastAsia="zh-CN" w:bidi="ar-SA"/>
              </w:rPr>
            </w:pPr>
            <w:r>
              <w:rPr>
                <w:rFonts w:hint="eastAsia" w:ascii="仿宋_GB2312" w:eastAsia="仿宋_GB2312" w:cs="华文仿宋"/>
                <w:b w:val="0"/>
                <w:bCs/>
                <w:color w:val="000000"/>
                <w:sz w:val="24"/>
                <w:highlight w:val="none"/>
              </w:rPr>
              <w:t>15</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现场查看</w:t>
            </w:r>
          </w:p>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达到要求得15分；每1项不达要求扣3分，扣完为止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▲1</w:t>
            </w:r>
            <w:r>
              <w:rPr>
                <w:rFonts w:hint="eastAsia" w:ascii="仿宋_GB2312" w:eastAsia="仿宋_GB2312" w:cs="华文仿宋"/>
                <w:b w:val="0"/>
                <w:bCs/>
                <w:color w:val="000000"/>
                <w:sz w:val="24"/>
                <w:lang w:val="en-US" w:eastAsia="zh-CN"/>
              </w:rPr>
              <w:t>5</w:t>
            </w:r>
            <w:r>
              <w:rPr>
                <w:rFonts w:hint="eastAsia" w:ascii="仿宋_GB2312" w:eastAsia="仿宋_GB2312" w:cs="华文仿宋"/>
                <w:b w:val="0"/>
                <w:bCs/>
                <w:color w:val="000000"/>
                <w:sz w:val="24"/>
              </w:rPr>
              <w:t>.机构设有保安岗（室）；配备盾牌、钢叉、警棍、一键式报警系统等安保设施设备；严格按照《建筑设计防火规范》的要求，设置室内消火栓系统、消防烟感或喷淋系统，</w:t>
            </w:r>
            <w:r>
              <w:rPr>
                <w:rFonts w:hint="eastAsia" w:ascii="仿宋_GB2312" w:eastAsia="仿宋_GB2312" w:cs="华文仿宋"/>
                <w:b w:val="0"/>
                <w:bCs/>
                <w:color w:val="000000"/>
                <w:sz w:val="24"/>
                <w:highlight w:val="none"/>
                <w:lang w:eastAsia="zh-CN"/>
              </w:rPr>
              <w:t>应设置应急照明灯和灯光疏散指示标志，</w:t>
            </w:r>
            <w:r>
              <w:rPr>
                <w:rFonts w:hint="eastAsia" w:ascii="仿宋_GB2312" w:eastAsia="仿宋_GB2312" w:cs="华文仿宋"/>
                <w:b w:val="0"/>
                <w:bCs/>
                <w:color w:val="000000"/>
                <w:sz w:val="24"/>
              </w:rPr>
              <w:t>配备灭火器等消防器材。</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2"/>
                <w:sz w:val="24"/>
                <w:szCs w:val="22"/>
                <w:highlight w:val="none"/>
                <w:lang w:val="en-US" w:eastAsia="zh-CN" w:bidi="ar-SA"/>
              </w:rPr>
            </w:pPr>
            <w:r>
              <w:rPr>
                <w:rFonts w:hint="eastAsia" w:ascii="仿宋_GB2312" w:eastAsia="仿宋_GB2312" w:cs="华文仿宋"/>
                <w:b w:val="0"/>
                <w:bCs/>
                <w:color w:val="000000"/>
                <w:sz w:val="24"/>
                <w:highlight w:val="none"/>
                <w:lang w:val="en-US" w:eastAsia="zh-CN"/>
              </w:rPr>
              <w:t>15</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现场查看</w:t>
            </w:r>
          </w:p>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达到要求得</w:t>
            </w:r>
            <w:r>
              <w:rPr>
                <w:rFonts w:hint="eastAsia" w:ascii="仿宋_GB2312" w:eastAsia="仿宋_GB2312" w:cs="华文仿宋"/>
                <w:b w:val="0"/>
                <w:bCs/>
                <w:color w:val="000000"/>
                <w:sz w:val="24"/>
                <w:lang w:val="en-US" w:eastAsia="zh-CN"/>
              </w:rPr>
              <w:t>15</w:t>
            </w:r>
            <w:r>
              <w:rPr>
                <w:rFonts w:hint="eastAsia" w:ascii="仿宋_GB2312" w:eastAsia="仿宋_GB2312" w:cs="华文仿宋"/>
                <w:b w:val="0"/>
                <w:bCs/>
                <w:color w:val="000000"/>
                <w:sz w:val="24"/>
              </w:rPr>
              <w:t>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sz w:val="24"/>
              </w:rPr>
              <w:t>1</w:t>
            </w:r>
            <w:r>
              <w:rPr>
                <w:rFonts w:hint="eastAsia" w:ascii="仿宋_GB2312" w:eastAsia="仿宋_GB2312" w:cs="华文仿宋"/>
                <w:b w:val="0"/>
                <w:bCs/>
                <w:color w:val="000000"/>
                <w:sz w:val="24"/>
                <w:lang w:val="en-US" w:eastAsia="zh-CN"/>
              </w:rPr>
              <w:t>6</w:t>
            </w:r>
            <w:r>
              <w:rPr>
                <w:rFonts w:hint="eastAsia" w:ascii="仿宋_GB2312" w:eastAsia="仿宋_GB2312" w:cs="华文仿宋"/>
                <w:b w:val="0"/>
                <w:bCs/>
                <w:color w:val="000000"/>
                <w:sz w:val="24"/>
              </w:rPr>
              <w:t>.设置全天24小时运行的视频监控系统；全面覆盖婴幼儿生活、活动区域和食品加工制作区域；录像资料保存期不少于90天；全园设有网络覆盖和配有计算机，每班配备音像播放、摄影摄像等设备。</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现场查看</w:t>
            </w:r>
          </w:p>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2"/>
                <w:lang w:val="en-US" w:eastAsia="zh-CN" w:bidi="ar-SA"/>
              </w:rPr>
            </w:pPr>
            <w:r>
              <w:rPr>
                <w:rFonts w:hint="eastAsia" w:ascii="仿宋_GB2312" w:eastAsia="仿宋_GB2312" w:cs="华文仿宋"/>
                <w:b w:val="0"/>
                <w:bCs/>
                <w:color w:val="000000"/>
                <w:sz w:val="24"/>
              </w:rPr>
              <w:t>全部达到要求得20分，每1项不达要求扣5分，扣完为止。未安装监控系统或录像资料保存期不达90天的扣20分。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31"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300" w:lineRule="exact"/>
              <w:jc w:val="center"/>
              <w:rPr>
                <w:b w:val="0"/>
                <w:bCs/>
                <w:color w:val="000000"/>
              </w:rPr>
            </w:pP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B5</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规</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模</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与</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班</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额</w:t>
            </w:r>
          </w:p>
          <w:p>
            <w:pPr>
              <w:adjustRightInd w:val="0"/>
              <w:snapToGrid w:val="0"/>
              <w:spacing w:line="240" w:lineRule="exact"/>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20分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1</w:t>
            </w:r>
            <w:r>
              <w:rPr>
                <w:rFonts w:hint="eastAsia" w:ascii="仿宋_GB2312" w:eastAsia="仿宋_GB2312" w:cs="华文仿宋"/>
                <w:b w:val="0"/>
                <w:bCs/>
                <w:color w:val="000000"/>
                <w:sz w:val="24"/>
                <w:lang w:val="en-US" w:eastAsia="zh-CN"/>
              </w:rPr>
              <w:t>7</w:t>
            </w:r>
            <w:r>
              <w:rPr>
                <w:rFonts w:hint="eastAsia" w:ascii="仿宋_GB2312" w:eastAsia="仿宋_GB2312" w:cs="华文仿宋"/>
                <w:b w:val="0"/>
                <w:bCs/>
                <w:color w:val="000000"/>
                <w:sz w:val="24"/>
              </w:rPr>
              <w:t>.托育机构规模合理，班型和班额符合规定：</w:t>
            </w:r>
          </w:p>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乳儿班（6-12个月）每班不超过10人；</w:t>
            </w:r>
          </w:p>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托小班（12-24个月）每班不超过15人；</w:t>
            </w:r>
          </w:p>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托大班（24-36个月）每班不超过20人；</w:t>
            </w:r>
          </w:p>
          <w:p>
            <w:pPr>
              <w:adjustRightInd w:val="0"/>
              <w:snapToGrid w:val="0"/>
              <w:jc w:val="left"/>
              <w:rPr>
                <w:rFonts w:ascii="仿宋_GB2312" w:eastAsia="仿宋_GB2312" w:cs="华文仿宋"/>
                <w:b w:val="0"/>
                <w:bCs/>
                <w:color w:val="000000"/>
                <w:sz w:val="24"/>
              </w:rPr>
            </w:pPr>
            <w:r>
              <w:rPr>
                <w:rFonts w:hint="eastAsia" w:ascii="仿宋_GB2312" w:eastAsia="仿宋_GB2312" w:cs="华文仿宋"/>
                <w:b w:val="0"/>
                <w:bCs/>
                <w:color w:val="000000"/>
                <w:sz w:val="24"/>
              </w:rPr>
              <w:t>混合班（18个月以上）每班不超过18人。</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r>
              <w:rPr>
                <w:rFonts w:hint="eastAsia" w:ascii="仿宋_GB2312" w:eastAsia="仿宋_GB2312" w:cs="华文仿宋"/>
                <w:b w:val="0"/>
                <w:bCs/>
                <w:color w:val="000000"/>
                <w:sz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现场查看</w:t>
            </w:r>
          </w:p>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rPr>
            </w:pPr>
            <w:r>
              <w:rPr>
                <w:rFonts w:hint="eastAsia" w:ascii="仿宋_GB2312" w:eastAsia="仿宋_GB2312" w:cs="华文仿宋"/>
                <w:b w:val="0"/>
                <w:bCs/>
                <w:color w:val="000000"/>
                <w:sz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31"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A2</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安</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全</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卫</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190</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B6</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制</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度</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预</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案</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val="en-US" w:eastAsia="zh-CN"/>
              </w:rPr>
              <w:t>6</w:t>
            </w:r>
            <w:r>
              <w:rPr>
                <w:rFonts w:hint="eastAsia" w:ascii="仿宋_GB2312" w:eastAsia="仿宋_GB2312" w:cs="华文仿宋"/>
                <w:b w:val="0"/>
                <w:bCs/>
                <w:color w:val="000000"/>
                <w:kern w:val="0"/>
                <w:sz w:val="24"/>
                <w:szCs w:val="24"/>
              </w:rPr>
              <w:t>0</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1</w:t>
            </w:r>
            <w:r>
              <w:rPr>
                <w:rFonts w:hint="eastAsia" w:ascii="仿宋_GB2312" w:eastAsia="仿宋_GB2312" w:cs="华文仿宋"/>
                <w:b w:val="0"/>
                <w:bCs/>
                <w:color w:val="000000"/>
                <w:kern w:val="0"/>
                <w:sz w:val="24"/>
                <w:szCs w:val="24"/>
                <w:lang w:val="en-US" w:eastAsia="zh-CN"/>
              </w:rPr>
              <w:t>8</w:t>
            </w:r>
            <w:r>
              <w:rPr>
                <w:rFonts w:hint="eastAsia" w:ascii="仿宋_GB2312" w:eastAsia="仿宋_GB2312" w:cs="华文仿宋"/>
                <w:b w:val="0"/>
                <w:bCs/>
                <w:color w:val="000000"/>
                <w:kern w:val="0"/>
                <w:sz w:val="24"/>
                <w:szCs w:val="24"/>
              </w:rPr>
              <w:t>.建立托育机构安全管理主体责任制度，制定卫生保健、场地设施、消防、食品安全、药品安全、婴幼儿接送交接、一日生活活动组织和婴幼儿就寝值守等管理制度，并落实到位、有检查记录。定期组织维修保养消防设施器材、安全标志及其他安全设施，保持疏散通道、安全出口畅通。</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全部达到要求得20分；有1项内容不达要求扣2分，扣完为止。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spacing w:line="240" w:lineRule="exact"/>
              <w:jc w:val="center"/>
              <w:rPr>
                <w:rFonts w:ascii="仿宋_GB2312" w:eastAsia="仿宋_GB2312" w:cs="华文仿宋"/>
                <w:b w:val="0"/>
                <w:bCs/>
                <w:color w:val="000000"/>
                <w:kern w:val="0"/>
                <w:sz w:val="24"/>
                <w:szCs w:val="24"/>
              </w:rPr>
            </w:pPr>
          </w:p>
        </w:tc>
        <w:tc>
          <w:tcPr>
            <w:tcW w:w="855" w:type="dxa"/>
            <w:vMerge w:val="continue"/>
            <w:tcBorders>
              <w:top w:val="single" w:color="000000" w:sz="8" w:space="0"/>
              <w:left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w:t>
            </w:r>
            <w:r>
              <w:rPr>
                <w:rFonts w:hint="eastAsia" w:ascii="仿宋_GB2312" w:eastAsia="仿宋_GB2312" w:cs="华文仿宋"/>
                <w:b w:val="0"/>
                <w:bCs/>
                <w:color w:val="000000"/>
                <w:kern w:val="0"/>
                <w:sz w:val="24"/>
                <w:szCs w:val="24"/>
                <w:lang w:val="en-US" w:eastAsia="zh-CN"/>
              </w:rPr>
              <w:t>9</w:t>
            </w:r>
            <w:r>
              <w:rPr>
                <w:rFonts w:hint="eastAsia" w:ascii="仿宋_GB2312" w:eastAsia="仿宋_GB2312" w:cs="华文仿宋"/>
                <w:b w:val="0"/>
                <w:bCs/>
                <w:color w:val="000000"/>
                <w:kern w:val="0"/>
                <w:sz w:val="24"/>
                <w:szCs w:val="24"/>
              </w:rPr>
              <w:t>.落实托育机构责任保险项目，有效</w:t>
            </w:r>
            <w:r>
              <w:rPr>
                <w:rFonts w:ascii="仿宋_GB2312" w:eastAsia="仿宋_GB2312" w:cs="华文仿宋"/>
                <w:b w:val="0"/>
                <w:bCs/>
                <w:color w:val="000000"/>
                <w:kern w:val="0"/>
                <w:sz w:val="24"/>
                <w:szCs w:val="24"/>
              </w:rPr>
              <w:t>化解托育机构</w:t>
            </w:r>
            <w:r>
              <w:rPr>
                <w:rFonts w:hint="eastAsia" w:ascii="仿宋_GB2312" w:eastAsia="仿宋_GB2312" w:cs="华文仿宋"/>
                <w:b w:val="0"/>
                <w:bCs/>
                <w:color w:val="000000"/>
                <w:kern w:val="0"/>
                <w:sz w:val="24"/>
                <w:szCs w:val="24"/>
              </w:rPr>
              <w:t xml:space="preserve">的运行风险。 </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r>
              <w:rPr>
                <w:rFonts w:hint="eastAsia" w:ascii="仿宋_GB2312" w:eastAsia="仿宋_GB2312" w:cs="华文仿宋"/>
                <w:b w:val="0"/>
                <w:bCs/>
                <w:color w:val="000000"/>
                <w:sz w:val="24"/>
                <w:lang w:eastAsia="en-US"/>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购买托育机构责任保险项目得10分，否则不得分。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val="en-US" w:eastAsia="zh-CN"/>
              </w:rPr>
              <w:t>20</w:t>
            </w:r>
            <w:r>
              <w:rPr>
                <w:rFonts w:hint="eastAsia" w:ascii="仿宋_GB2312" w:eastAsia="仿宋_GB2312" w:cs="华文仿宋"/>
                <w:b w:val="0"/>
                <w:bCs/>
                <w:color w:val="000000"/>
                <w:kern w:val="0"/>
                <w:sz w:val="24"/>
                <w:szCs w:val="24"/>
              </w:rPr>
              <w:t>.制定处置重大自然灾害、食品安全事故、传染病疫情、火灾、踩踏、暴力等突发事件的应急预案；每半年向教职工和家长分别进行安全教育方面的专题培训至少1次；每季度各班级开展1次交通安全、消防安全教育培训；每季度全园开展洪水、地震、火灾等灾害事故的紧急疏散演练；在紧急情况下必须优先保障婴幼儿的安全。</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w:t>
            </w:r>
            <w:r>
              <w:rPr>
                <w:rFonts w:hint="eastAsia" w:ascii="仿宋_GB2312" w:eastAsia="仿宋_GB2312" w:cs="华文仿宋"/>
                <w:b w:val="0"/>
                <w:bCs/>
                <w:color w:val="000000"/>
                <w:sz w:val="24"/>
                <w:szCs w:val="24"/>
                <w:lang w:val="en-US" w:eastAsia="zh-CN"/>
              </w:rPr>
              <w:t>2</w:t>
            </w:r>
            <w:r>
              <w:rPr>
                <w:rFonts w:hint="eastAsia" w:ascii="仿宋_GB2312" w:eastAsia="仿宋_GB2312" w:cs="华文仿宋"/>
                <w:b w:val="0"/>
                <w:bCs/>
                <w:color w:val="000000"/>
                <w:sz w:val="24"/>
                <w:szCs w:val="24"/>
              </w:rPr>
              <w:t>0分；每1项不达要求扣</w:t>
            </w:r>
            <w:r>
              <w:rPr>
                <w:rFonts w:hint="eastAsia" w:ascii="仿宋_GB2312" w:eastAsia="仿宋_GB2312" w:cs="华文仿宋"/>
                <w:b w:val="0"/>
                <w:bCs/>
                <w:color w:val="000000"/>
                <w:sz w:val="24"/>
                <w:szCs w:val="24"/>
                <w:lang w:val="en-US" w:eastAsia="zh-CN"/>
              </w:rPr>
              <w:t>4</w:t>
            </w:r>
            <w:r>
              <w:rPr>
                <w:rFonts w:hint="eastAsia" w:ascii="仿宋_GB2312" w:eastAsia="仿宋_GB2312" w:cs="华文仿宋"/>
                <w:b w:val="0"/>
                <w:bCs/>
                <w:color w:val="000000"/>
                <w:sz w:val="24"/>
                <w:szCs w:val="24"/>
              </w:rPr>
              <w:t>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855" w:type="dxa"/>
            <w:vMerge w:val="continue"/>
            <w:tcBorders>
              <w:left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1</w:t>
            </w:r>
            <w:r>
              <w:rPr>
                <w:rFonts w:hint="eastAsia" w:ascii="仿宋_GB2312" w:eastAsia="仿宋_GB2312" w:cs="华文仿宋"/>
                <w:b w:val="0"/>
                <w:bCs/>
                <w:color w:val="000000"/>
                <w:kern w:val="0"/>
                <w:sz w:val="24"/>
                <w:szCs w:val="24"/>
              </w:rPr>
              <w:t>.建立饮用水管理档案；每半年进行饮用水水质监测1次；涉水产品持有效卫生许可批件；供水设备（设施）有日常管理记录；确保婴幼儿按需饮用温开水。</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达到要求得10分；每1项不达要求扣2分，扣完为止。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731" w:type="dxa"/>
            <w:vMerge w:val="continue"/>
            <w:tcBorders>
              <w:left w:val="single" w:color="000000" w:sz="8" w:space="0"/>
              <w:right w:val="single" w:color="000000" w:sz="8" w:space="0"/>
            </w:tcBorders>
            <w:noWrap w:val="0"/>
            <w:vAlign w:val="center"/>
          </w:tcPr>
          <w:p>
            <w:pPr>
              <w:jc w:val="center"/>
              <w:rPr>
                <w:b w:val="0"/>
                <w:bCs/>
                <w:color w:val="000000"/>
              </w:rPr>
            </w:pPr>
          </w:p>
        </w:tc>
        <w:tc>
          <w:tcPr>
            <w:tcW w:w="855" w:type="dxa"/>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B7</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膳</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食</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饮</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水</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val="en-US" w:eastAsia="zh-CN"/>
              </w:rPr>
              <w:t>4</w:t>
            </w:r>
            <w:r>
              <w:rPr>
                <w:rFonts w:hint="eastAsia" w:ascii="仿宋_GB2312" w:eastAsia="仿宋_GB2312" w:cs="华文仿宋"/>
                <w:b w:val="0"/>
                <w:bCs/>
                <w:color w:val="000000"/>
                <w:kern w:val="0"/>
                <w:sz w:val="24"/>
                <w:szCs w:val="24"/>
              </w:rPr>
              <w:t>0</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left"/>
              <w:rPr>
                <w:rFonts w:ascii="楷体_GB2312" w:eastAsia="楷体_GB2312" w:cs="华文仿宋"/>
                <w:b w:val="0"/>
                <w:bCs/>
                <w:color w:val="000000"/>
                <w:kern w:val="0"/>
                <w:sz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严格执行食品安全管理，厨房设有洗、切、烹、煮的专用区域；配有食品储藏、加工、餐具消毒等设备，做到生熟分开；建立食品原料采购索证制度、餐炊具消毒管理制度、食品留样制度，严格把好食物采购、贮存、加工关；有防鼠、防蝇、防蟑螂等设施；第三方供餐则查阅其《营业执照》《食品经营许可证》</w:t>
            </w:r>
            <w:r>
              <w:rPr>
                <w:rFonts w:hint="eastAsia" w:ascii="仿宋_GB2312" w:hAnsi="仿宋_GB2312" w:eastAsia="仿宋_GB2312" w:cs="仿宋_GB2312"/>
                <w:color w:val="000000"/>
                <w:sz w:val="24"/>
                <w:szCs w:val="24"/>
                <w:lang w:val="en-US" w:eastAsia="zh-CN"/>
              </w:rPr>
              <w:t>以及原材料采购的凭证</w:t>
            </w:r>
            <w:r>
              <w:rPr>
                <w:rFonts w:hint="eastAsia" w:ascii="仿宋_GB2312" w:eastAsia="仿宋_GB2312" w:cs="华文仿宋"/>
                <w:b w:val="0"/>
                <w:bCs/>
                <w:color w:val="000000"/>
                <w:kern w:val="0"/>
                <w:sz w:val="24"/>
                <w:szCs w:val="24"/>
              </w:rPr>
              <w:t>。</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eastAsia="仿宋_GB2312" w:cs="华文仿宋"/>
                <w:b w:val="0"/>
                <w:bCs/>
                <w:color w:val="000000"/>
                <w:kern w:val="0"/>
                <w:sz w:val="24"/>
                <w:szCs w:val="24"/>
                <w:lang w:eastAsia="zh-CN"/>
              </w:rPr>
            </w:pPr>
            <w:r>
              <w:rPr>
                <w:rFonts w:hint="eastAsia" w:ascii="仿宋_GB2312" w:eastAsia="仿宋_GB2312" w:cs="华文仿宋"/>
                <w:b w:val="0"/>
                <w:bCs/>
                <w:color w:val="000000"/>
                <w:kern w:val="0"/>
                <w:sz w:val="24"/>
                <w:szCs w:val="24"/>
                <w:highlight w:val="none"/>
                <w:lang w:val="en-US" w:eastAsia="zh-CN"/>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达到要求得</w:t>
            </w:r>
            <w:r>
              <w:rPr>
                <w:rFonts w:hint="eastAsia" w:ascii="仿宋_GB2312" w:eastAsia="仿宋_GB2312" w:cs="华文仿宋"/>
                <w:b w:val="0"/>
                <w:bCs/>
                <w:color w:val="000000"/>
                <w:sz w:val="24"/>
                <w:szCs w:val="24"/>
                <w:lang w:val="en-US" w:eastAsia="zh-CN"/>
              </w:rPr>
              <w:t>20</w:t>
            </w:r>
            <w:r>
              <w:rPr>
                <w:rFonts w:hint="eastAsia" w:ascii="仿宋_GB2312" w:eastAsia="仿宋_GB2312" w:cs="华文仿宋"/>
                <w:b w:val="0"/>
                <w:bCs/>
                <w:color w:val="000000"/>
                <w:sz w:val="24"/>
                <w:szCs w:val="24"/>
              </w:rPr>
              <w:t>分；每1项不达要求扣</w:t>
            </w:r>
            <w:r>
              <w:rPr>
                <w:rFonts w:hint="eastAsia" w:ascii="仿宋_GB2312" w:eastAsia="仿宋_GB2312" w:cs="华文仿宋"/>
                <w:b w:val="0"/>
                <w:bCs/>
                <w:color w:val="000000"/>
                <w:sz w:val="24"/>
                <w:szCs w:val="24"/>
                <w:lang w:val="en-US" w:eastAsia="zh-CN"/>
              </w:rPr>
              <w:t>4</w:t>
            </w:r>
            <w:r>
              <w:rPr>
                <w:rFonts w:hint="eastAsia" w:ascii="仿宋_GB2312" w:eastAsia="仿宋_GB2312" w:cs="华文仿宋"/>
                <w:b w:val="0"/>
                <w:bCs/>
                <w:color w:val="000000"/>
                <w:sz w:val="24"/>
                <w:szCs w:val="24"/>
              </w:rPr>
              <w:t>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华文仿宋" w:eastAsia="华文仿宋" w:cs="华文仿宋"/>
                <w:b w:val="0"/>
                <w:bCs/>
                <w:color w:val="000000"/>
                <w:kern w:val="0"/>
                <w:sz w:val="24"/>
                <w:szCs w:val="24"/>
                <w:lang w:eastAsia="zh-CN"/>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731" w:type="dxa"/>
            <w:vMerge w:val="restart"/>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A2</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安</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全</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卫</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生</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190</w:t>
            </w:r>
          </w:p>
          <w:p>
            <w:pPr>
              <w:jc w:val="center"/>
              <w:rPr>
                <w:b w:val="0"/>
                <w:bCs/>
                <w:color w:val="000000"/>
              </w:rPr>
            </w:pPr>
            <w:r>
              <w:rPr>
                <w:rFonts w:hint="eastAsia" w:ascii="仿宋_GB2312" w:eastAsia="仿宋_GB2312" w:cs="华文仿宋"/>
                <w:b w:val="0"/>
                <w:bCs/>
                <w:color w:val="000000"/>
                <w:kern w:val="0"/>
                <w:sz w:val="24"/>
                <w:szCs w:val="24"/>
                <w:lang w:eastAsia="en-US"/>
              </w:rPr>
              <w:t>分</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B7</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膳</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食</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饮</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水</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仿宋_GB2312" w:eastAsia="仿宋_GB2312" w:cs="华文仿宋"/>
                <w:b w:val="0"/>
                <w:bCs/>
                <w:color w:val="000000"/>
                <w:kern w:val="0"/>
                <w:sz w:val="24"/>
                <w:szCs w:val="24"/>
                <w:lang w:val="en-US" w:eastAsia="zh-CN"/>
              </w:rPr>
            </w:pPr>
            <w:r>
              <w:rPr>
                <w:rFonts w:hint="eastAsia" w:ascii="仿宋_GB2312" w:eastAsia="仿宋_GB2312" w:cs="华文仿宋"/>
                <w:b w:val="0"/>
                <w:bCs/>
                <w:color w:val="000000"/>
                <w:kern w:val="0"/>
                <w:sz w:val="24"/>
                <w:szCs w:val="24"/>
                <w:lang w:val="en-US" w:eastAsia="zh-CN"/>
              </w:rPr>
              <w:t>40</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left"/>
              <w:rPr>
                <w:rFonts w:hint="eastAsia" w:ascii="楷体_GB2312" w:hAnsi="Calibri" w:eastAsia="楷体_GB2312" w:cs="华文仿宋"/>
                <w:b w:val="0"/>
                <w:bCs/>
                <w:color w:val="000000"/>
                <w:kern w:val="0"/>
                <w:sz w:val="24"/>
                <w:szCs w:val="22"/>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3</w:t>
            </w:r>
            <w:r>
              <w:rPr>
                <w:rFonts w:hint="eastAsia" w:ascii="仿宋_GB2312" w:eastAsia="仿宋_GB2312" w:cs="华文仿宋"/>
                <w:b w:val="0"/>
                <w:bCs/>
                <w:color w:val="000000"/>
                <w:kern w:val="0"/>
                <w:sz w:val="24"/>
                <w:szCs w:val="24"/>
              </w:rPr>
              <w:t>.每季度进行</w:t>
            </w:r>
            <w:r>
              <w:rPr>
                <w:rFonts w:hint="eastAsia" w:ascii="仿宋_GB2312" w:eastAsia="仿宋_GB2312" w:cs="华文仿宋"/>
                <w:b w:val="0"/>
                <w:bCs/>
                <w:color w:val="000000"/>
                <w:kern w:val="0"/>
                <w:sz w:val="24"/>
                <w:szCs w:val="24"/>
                <w:lang w:val="en-US" w:eastAsia="zh-CN"/>
              </w:rPr>
              <w:t>1</w:t>
            </w:r>
            <w:r>
              <w:rPr>
                <w:rFonts w:hint="eastAsia" w:ascii="仿宋_GB2312" w:eastAsia="仿宋_GB2312" w:cs="华文仿宋"/>
                <w:b w:val="0"/>
                <w:bCs/>
                <w:color w:val="000000"/>
                <w:kern w:val="0"/>
                <w:sz w:val="24"/>
                <w:szCs w:val="24"/>
              </w:rPr>
              <w:t>次儿童膳食营养分析评估，通过专业膳食营养评估结果分年龄段科学制定每周食谱，并向家长公示，注重营养均衡，搭配合理，保证婴幼儿合理膳食；婴幼儿伙食与成人伙食分开；严格执行食品留样不少于125克及48小时的规定，专人管理食品留样并有记录；1年内无食品安全事故。</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731" w:type="dxa"/>
            <w:vMerge w:val="continue"/>
            <w:tcBorders>
              <w:left w:val="single" w:color="000000" w:sz="8" w:space="0"/>
              <w:right w:val="single" w:color="000000" w:sz="8" w:space="0"/>
            </w:tcBorders>
            <w:noWrap w:val="0"/>
            <w:vAlign w:val="center"/>
          </w:tcPr>
          <w:p>
            <w:pPr>
              <w:jc w:val="center"/>
              <w:rPr>
                <w:rFonts w:hint="eastAsia" w:ascii="仿宋_GB2312" w:eastAsia="仿宋_GB2312" w:cs="华文仿宋"/>
                <w:b w:val="0"/>
                <w:bCs/>
                <w:color w:val="000000"/>
                <w:kern w:val="0"/>
                <w:sz w:val="24"/>
                <w:szCs w:val="24"/>
                <w:lang w:eastAsia="en-US"/>
              </w:rPr>
            </w:pP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B8</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消</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毒</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制</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度</w:t>
            </w:r>
          </w:p>
          <w:p>
            <w:pPr>
              <w:adjustRightInd w:val="0"/>
              <w:snapToGrid w:val="0"/>
              <w:spacing w:line="260" w:lineRule="exact"/>
              <w:jc w:val="center"/>
              <w:rPr>
                <w:rFonts w:ascii="仿宋_GB2312" w:hAnsi="Calibri" w:eastAsia="仿宋_GB2312" w:cs="华文仿宋"/>
                <w:b w:val="0"/>
                <w:bCs/>
                <w:color w:val="000000"/>
                <w:kern w:val="0"/>
                <w:sz w:val="24"/>
                <w:szCs w:val="24"/>
                <w:lang w:val="en-US" w:eastAsia="en-US" w:bidi="ar-SA"/>
              </w:rPr>
            </w:pPr>
            <w:r>
              <w:rPr>
                <w:rFonts w:hint="eastAsia" w:ascii="仿宋_GB2312" w:eastAsia="仿宋_GB2312" w:cs="华文仿宋"/>
                <w:b w:val="0"/>
                <w:bCs/>
                <w:color w:val="000000"/>
                <w:kern w:val="0"/>
                <w:sz w:val="24"/>
              </w:rPr>
              <w:t>20分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lang w:val="en-US" w:eastAsia="zh-CN"/>
              </w:rPr>
              <w:t>24</w:t>
            </w:r>
            <w:r>
              <w:rPr>
                <w:rFonts w:hint="eastAsia" w:ascii="仿宋_GB2312" w:eastAsia="仿宋_GB2312" w:cs="华文仿宋"/>
                <w:b w:val="0"/>
                <w:bCs/>
                <w:color w:val="000000"/>
                <w:kern w:val="0"/>
                <w:sz w:val="24"/>
                <w:szCs w:val="24"/>
              </w:rPr>
              <w:t>.建立卫生消毒制度，严格按照规定做好空气、餐具、家具、玩教具及图书、卧具、生活用品等七类对象的预防性消毒，并有记录。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31" w:type="dxa"/>
            <w:vMerge w:val="continue"/>
            <w:tcBorders>
              <w:left w:val="single" w:color="000000" w:sz="8" w:space="0"/>
              <w:right w:val="single" w:color="000000" w:sz="8" w:space="0"/>
            </w:tcBorders>
            <w:noWrap w:val="0"/>
            <w:vAlign w:val="center"/>
          </w:tcPr>
          <w:p>
            <w:pPr>
              <w:jc w:val="center"/>
              <w:rPr>
                <w:rFonts w:hint="eastAsia" w:ascii="仿宋_GB2312" w:eastAsia="仿宋_GB2312" w:cs="华文仿宋"/>
                <w:b w:val="0"/>
                <w:bCs/>
                <w:color w:val="000000"/>
                <w:kern w:val="0"/>
                <w:sz w:val="24"/>
                <w:szCs w:val="24"/>
                <w:lang w:eastAsia="en-US"/>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B9</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健</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康</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管</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理</w:t>
            </w:r>
          </w:p>
          <w:p>
            <w:pPr>
              <w:adjustRightInd w:val="0"/>
              <w:snapToGrid w:val="0"/>
              <w:spacing w:line="220" w:lineRule="exact"/>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50分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5</w:t>
            </w:r>
            <w:r>
              <w:rPr>
                <w:rFonts w:hint="eastAsia" w:ascii="仿宋_GB2312" w:eastAsia="仿宋_GB2312" w:cs="华文仿宋"/>
                <w:b w:val="0"/>
                <w:bCs/>
                <w:color w:val="000000"/>
                <w:kern w:val="0"/>
                <w:sz w:val="24"/>
                <w:szCs w:val="24"/>
              </w:rPr>
              <w:t>.</w:t>
            </w:r>
            <w:r>
              <w:rPr>
                <w:rFonts w:hint="eastAsia" w:ascii="仿宋_GB2312" w:eastAsia="仿宋_GB2312" w:cs="华文仿宋"/>
                <w:b w:val="0"/>
                <w:bCs/>
                <w:color w:val="000000"/>
                <w:kern w:val="0"/>
                <w:sz w:val="24"/>
                <w:szCs w:val="24"/>
                <w:highlight w:val="none"/>
              </w:rPr>
              <w:t>教职工持《托幼机构工作人员健康合格证》上岗；每年组织在岗教职工</w:t>
            </w:r>
            <w:r>
              <w:rPr>
                <w:rFonts w:hint="eastAsia" w:ascii="仿宋_GB2312" w:eastAsia="仿宋_GB2312" w:cs="华文仿宋"/>
                <w:b w:val="0"/>
                <w:bCs/>
                <w:color w:val="000000"/>
                <w:kern w:val="0"/>
                <w:sz w:val="24"/>
                <w:szCs w:val="24"/>
                <w:highlight w:val="none"/>
                <w:lang w:eastAsia="zh-CN"/>
              </w:rPr>
              <w:t>进行</w:t>
            </w:r>
            <w:r>
              <w:rPr>
                <w:rFonts w:hint="eastAsia" w:ascii="仿宋_GB2312" w:eastAsia="仿宋_GB2312" w:cs="华文仿宋"/>
                <w:b w:val="0"/>
                <w:bCs/>
                <w:color w:val="000000"/>
                <w:kern w:val="0"/>
                <w:sz w:val="24"/>
                <w:szCs w:val="24"/>
                <w:highlight w:val="none"/>
              </w:rPr>
              <w:t>健康检查，并取得年检合格。</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达到要求得20分；每1人不达要求扣4分，扣完为止。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731" w:type="dxa"/>
            <w:vMerge w:val="continue"/>
            <w:tcBorders>
              <w:left w:val="single" w:color="000000" w:sz="8" w:space="0"/>
              <w:right w:val="single" w:color="000000" w:sz="8" w:space="0"/>
            </w:tcBorders>
            <w:noWrap w:val="0"/>
            <w:vAlign w:val="center"/>
          </w:tcPr>
          <w:p>
            <w:pPr>
              <w:jc w:val="center"/>
              <w:rPr>
                <w:rFonts w:hint="eastAsia" w:ascii="仿宋_GB2312" w:eastAsia="仿宋_GB2312" w:cs="华文仿宋"/>
                <w:b w:val="0"/>
                <w:bCs/>
                <w:color w:val="000000"/>
                <w:kern w:val="0"/>
                <w:sz w:val="24"/>
                <w:szCs w:val="24"/>
                <w:lang w:eastAsia="en-US"/>
              </w:rPr>
            </w:pPr>
          </w:p>
        </w:tc>
        <w:tc>
          <w:tcPr>
            <w:tcW w:w="855" w:type="dxa"/>
            <w:vMerge w:val="continue"/>
            <w:tcBorders>
              <w:left w:val="single" w:color="000000" w:sz="8" w:space="0"/>
              <w:right w:val="single" w:color="000000" w:sz="8" w:space="0"/>
            </w:tcBorders>
            <w:noWrap w:val="0"/>
            <w:vAlign w:val="center"/>
          </w:tcPr>
          <w:p>
            <w:pPr>
              <w:adjustRightInd w:val="0"/>
              <w:snapToGrid w:val="0"/>
              <w:spacing w:line="22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6</w:t>
            </w:r>
            <w:r>
              <w:rPr>
                <w:rFonts w:hint="eastAsia" w:ascii="仿宋_GB2312" w:eastAsia="仿宋_GB2312" w:cs="华文仿宋"/>
                <w:b w:val="0"/>
                <w:bCs/>
                <w:color w:val="000000"/>
                <w:kern w:val="0"/>
                <w:sz w:val="24"/>
                <w:szCs w:val="24"/>
              </w:rPr>
              <w:t>.建立婴幼儿健康档案，特殊儿童专档管理，入园体检率达100%，离开机构3个月以上返回时应重新体检；所有婴幼儿入园（所）时均查验预防接种证；每年健康检查2次，每半年测身高、视力、听力1次，每季度量体重1次；对婴幼儿发展状况定期进行分析、评价，及时向家长反馈结果。</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31" w:type="dxa"/>
            <w:vMerge w:val="continue"/>
            <w:tcBorders>
              <w:left w:val="single" w:color="000000" w:sz="8" w:space="0"/>
              <w:right w:val="single" w:color="000000" w:sz="8" w:space="0"/>
            </w:tcBorders>
            <w:noWrap w:val="0"/>
            <w:vAlign w:val="center"/>
          </w:tcPr>
          <w:p>
            <w:pPr>
              <w:jc w:val="center"/>
              <w:rPr>
                <w:rFonts w:hint="eastAsia" w:ascii="仿宋_GB2312" w:eastAsia="仿宋_GB2312" w:cs="华文仿宋"/>
                <w:b w:val="0"/>
                <w:bCs/>
                <w:color w:val="000000"/>
                <w:kern w:val="0"/>
                <w:sz w:val="24"/>
                <w:szCs w:val="24"/>
                <w:lang w:eastAsia="en-US"/>
              </w:rPr>
            </w:pPr>
          </w:p>
        </w:tc>
        <w:tc>
          <w:tcPr>
            <w:tcW w:w="855"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20" w:lineRule="exact"/>
              <w:jc w:val="center"/>
              <w:rPr>
                <w:rFonts w:hint="eastAsia" w:ascii="仿宋_GB2312" w:hAnsi="Calibri" w:eastAsia="仿宋_GB2312" w:cs="华文仿宋"/>
                <w:b w:val="0"/>
                <w:bCs/>
                <w:color w:val="000000"/>
                <w:kern w:val="0"/>
                <w:sz w:val="24"/>
                <w:szCs w:val="24"/>
                <w:lang w:val="en-US" w:eastAsia="zh-CN" w:bidi="ar-SA"/>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7</w:t>
            </w:r>
            <w:r>
              <w:rPr>
                <w:rFonts w:hint="eastAsia" w:ascii="仿宋_GB2312" w:eastAsia="仿宋_GB2312" w:cs="华文仿宋"/>
                <w:b w:val="0"/>
                <w:bCs/>
                <w:color w:val="000000"/>
                <w:kern w:val="0"/>
                <w:sz w:val="24"/>
                <w:szCs w:val="24"/>
              </w:rPr>
              <w:t>.婴幼儿出勤率高，对缺勤情况有追踪记录；保健人员做好晨午检和全日健康观察，发现婴幼儿身体、精神、行为、发展等表现异常时，应及时采取有效措施送医，并通知婴幼儿监护人。</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731" w:type="dxa"/>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A2</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安</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全</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卫</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生</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190</w:t>
            </w:r>
          </w:p>
          <w:p>
            <w:pPr>
              <w:keepNext w:val="0"/>
              <w:keepLines w:val="0"/>
              <w:pageBreakBefore w:val="0"/>
              <w:widowControl w:val="0"/>
              <w:kinsoku/>
              <w:wordWrap/>
              <w:overflowPunct/>
              <w:topLinePunct w:val="0"/>
              <w:autoSpaceDE/>
              <w:autoSpaceDN/>
              <w:bidi w:val="0"/>
              <w:spacing w:line="260" w:lineRule="exact"/>
              <w:jc w:val="center"/>
              <w:textAlignment w:val="auto"/>
              <w:rPr>
                <w:b w:val="0"/>
                <w:bCs/>
                <w:color w:val="000000"/>
              </w:rPr>
            </w:pPr>
            <w:r>
              <w:rPr>
                <w:rFonts w:hint="eastAsia" w:ascii="仿宋_GB2312" w:eastAsia="仿宋_GB2312" w:cs="华文仿宋"/>
                <w:b w:val="0"/>
                <w:bCs/>
                <w:color w:val="000000"/>
                <w:kern w:val="0"/>
                <w:sz w:val="24"/>
                <w:szCs w:val="24"/>
                <w:lang w:eastAsia="en-US"/>
              </w:rPr>
              <w:t>分</w:t>
            </w:r>
          </w:p>
        </w:tc>
        <w:tc>
          <w:tcPr>
            <w:tcW w:w="85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B10</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疾</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病</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防</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控</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Calibri" w:eastAsia="仿宋_GB2312" w:cs="华文仿宋"/>
                <w:b w:val="0"/>
                <w:bCs/>
                <w:color w:val="000000"/>
                <w:kern w:val="0"/>
                <w:sz w:val="24"/>
                <w:szCs w:val="24"/>
                <w:lang w:val="en-US" w:eastAsia="en-US" w:bidi="ar-SA"/>
              </w:rPr>
            </w:pPr>
            <w:r>
              <w:rPr>
                <w:rFonts w:hint="eastAsia" w:ascii="仿宋_GB2312" w:eastAsia="仿宋_GB2312" w:cs="华文仿宋"/>
                <w:b w:val="0"/>
                <w:bCs/>
                <w:color w:val="000000"/>
                <w:kern w:val="0"/>
                <w:sz w:val="24"/>
                <w:szCs w:val="24"/>
              </w:rPr>
              <w:t>20分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8</w:t>
            </w:r>
            <w:r>
              <w:rPr>
                <w:rFonts w:hint="eastAsia" w:ascii="仿宋_GB2312" w:eastAsia="仿宋_GB2312" w:cs="华文仿宋"/>
                <w:b w:val="0"/>
                <w:bCs/>
                <w:color w:val="000000"/>
                <w:kern w:val="0"/>
                <w:sz w:val="24"/>
                <w:szCs w:val="24"/>
              </w:rPr>
              <w:t>.建立传染病防控、流程、预案、病儿隔离等制度；做好疾病预防控制和婴幼儿健康管理工作；有充足的疫情防控物资储备，保障应急状态情况下的物资需求；按国家免疫规划督促在托婴幼儿进行计划内预防接种。</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31"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A</w:t>
            </w:r>
            <w:r>
              <w:rPr>
                <w:rFonts w:hint="eastAsia" w:ascii="仿宋_GB2312" w:eastAsia="仿宋_GB2312" w:cs="华文仿宋"/>
                <w:b w:val="0"/>
                <w:bCs/>
                <w:color w:val="000000"/>
                <w:kern w:val="0"/>
                <w:sz w:val="24"/>
                <w:szCs w:val="24"/>
              </w:rPr>
              <w:t>3</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员</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工</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队</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伍</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170</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分</w:t>
            </w:r>
          </w:p>
        </w:tc>
        <w:tc>
          <w:tcPr>
            <w:tcW w:w="855"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11</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配</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备</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与</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资</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质</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70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2</w:t>
            </w:r>
            <w:r>
              <w:rPr>
                <w:rFonts w:hint="eastAsia" w:ascii="仿宋_GB2312" w:eastAsia="仿宋_GB2312" w:cs="华文仿宋"/>
                <w:b w:val="0"/>
                <w:bCs/>
                <w:color w:val="000000"/>
                <w:kern w:val="0"/>
                <w:sz w:val="24"/>
                <w:szCs w:val="24"/>
                <w:lang w:val="en-US" w:eastAsia="zh-CN"/>
              </w:rPr>
              <w:t>9</w:t>
            </w:r>
            <w:r>
              <w:rPr>
                <w:rFonts w:hint="eastAsia" w:ascii="仿宋_GB2312" w:eastAsia="仿宋_GB2312" w:cs="华文仿宋"/>
                <w:b w:val="0"/>
                <w:bCs/>
                <w:color w:val="000000"/>
                <w:kern w:val="0"/>
                <w:sz w:val="24"/>
                <w:szCs w:val="24"/>
              </w:rPr>
              <w:t>.托育机构3个班</w:t>
            </w:r>
            <w:r>
              <w:rPr>
                <w:rFonts w:hint="eastAsia" w:ascii="仿宋_GB2312" w:eastAsia="仿宋_GB2312" w:cs="华文仿宋"/>
                <w:b w:val="0"/>
                <w:bCs/>
                <w:color w:val="000000"/>
                <w:kern w:val="0"/>
                <w:sz w:val="24"/>
                <w:szCs w:val="24"/>
                <w:lang w:eastAsia="zh-CN"/>
              </w:rPr>
              <w:t>及以下应</w:t>
            </w:r>
            <w:r>
              <w:rPr>
                <w:rFonts w:hint="eastAsia" w:ascii="仿宋_GB2312" w:eastAsia="仿宋_GB2312" w:cs="华文仿宋"/>
                <w:b w:val="0"/>
                <w:bCs/>
                <w:color w:val="000000"/>
                <w:kern w:val="0"/>
                <w:sz w:val="24"/>
                <w:szCs w:val="24"/>
              </w:rPr>
              <w:t>设专职负责人1人，4个班</w:t>
            </w:r>
            <w:r>
              <w:rPr>
                <w:rFonts w:hint="eastAsia" w:ascii="仿宋_GB2312" w:eastAsia="仿宋_GB2312" w:cs="华文仿宋"/>
                <w:b w:val="0"/>
                <w:bCs/>
                <w:color w:val="000000"/>
                <w:kern w:val="0"/>
                <w:sz w:val="24"/>
                <w:szCs w:val="24"/>
                <w:lang w:eastAsia="zh-CN"/>
              </w:rPr>
              <w:t>及</w:t>
            </w:r>
            <w:r>
              <w:rPr>
                <w:rFonts w:hint="eastAsia" w:ascii="仿宋_GB2312" w:eastAsia="仿宋_GB2312" w:cs="华文仿宋"/>
                <w:b w:val="0"/>
                <w:bCs/>
                <w:color w:val="000000"/>
                <w:kern w:val="0"/>
                <w:sz w:val="24"/>
                <w:szCs w:val="24"/>
              </w:rPr>
              <w:t>以上</w:t>
            </w:r>
            <w:r>
              <w:rPr>
                <w:rFonts w:hint="eastAsia" w:ascii="仿宋_GB2312" w:eastAsia="仿宋_GB2312" w:cs="华文仿宋"/>
                <w:b w:val="0"/>
                <w:bCs/>
                <w:color w:val="000000"/>
                <w:kern w:val="0"/>
                <w:sz w:val="24"/>
                <w:szCs w:val="24"/>
                <w:lang w:eastAsia="zh-CN"/>
              </w:rPr>
              <w:t>应</w:t>
            </w:r>
            <w:r>
              <w:rPr>
                <w:rFonts w:hint="eastAsia" w:ascii="仿宋_GB2312" w:eastAsia="仿宋_GB2312" w:cs="华文仿宋"/>
                <w:b w:val="0"/>
                <w:bCs/>
                <w:color w:val="000000"/>
                <w:kern w:val="0"/>
                <w:sz w:val="24"/>
                <w:szCs w:val="24"/>
              </w:rPr>
              <w:t>设专职正、副园长（主任）至少2人，托幼一体化的园所要有专职分管领导；负责人具备大专以上学历，有从事儿童保育教育或卫生健康等相关管理工作3年以上的经历，且经托育机构负责人岗位培训合格。</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lang w:val="en-US" w:eastAsia="zh-CN"/>
              </w:rPr>
              <w:t>30</w:t>
            </w:r>
            <w:r>
              <w:rPr>
                <w:rFonts w:hint="eastAsia" w:ascii="仿宋_GB2312" w:eastAsia="仿宋_GB2312" w:cs="华文仿宋"/>
                <w:b w:val="0"/>
                <w:bCs/>
                <w:color w:val="000000"/>
                <w:kern w:val="0"/>
                <w:sz w:val="24"/>
                <w:szCs w:val="24"/>
              </w:rPr>
              <w:t>.保育人员具有婴幼儿照护经验或相关专业背景，接受过婴幼儿保育相关培训和心理健康知识培训，取得幼儿教师职业资格证、育婴员或婴幼儿照护相关专项职业能力证书；保育人员与婴幼儿的比例应当不低于：乳儿班1:3，托小班1:5，托大班1:7，混合班1:6。</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全部达到要求得30分；每1人不达要求扣3分，扣完为止。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1</w:t>
            </w:r>
            <w:r>
              <w:rPr>
                <w:rFonts w:hint="eastAsia" w:ascii="仿宋_GB2312" w:eastAsia="仿宋_GB2312" w:cs="华文仿宋"/>
                <w:b w:val="0"/>
                <w:bCs/>
                <w:color w:val="000000"/>
                <w:kern w:val="0"/>
                <w:sz w:val="24"/>
                <w:szCs w:val="24"/>
              </w:rPr>
              <w:t>.保健人员、保安人员、炊事人员按规定配备，持证上岗。</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全部达到要求得20分；每1人不达要求扣</w:t>
            </w:r>
            <w:r>
              <w:rPr>
                <w:rFonts w:hint="eastAsia" w:ascii="仿宋_GB2312" w:eastAsia="仿宋_GB2312" w:cs="华文仿宋"/>
                <w:b w:val="0"/>
                <w:bCs/>
                <w:color w:val="000000"/>
                <w:sz w:val="24"/>
                <w:szCs w:val="24"/>
                <w:highlight w:val="none"/>
                <w:lang w:val="en-US" w:eastAsia="zh-CN"/>
              </w:rPr>
              <w:t>5</w:t>
            </w:r>
            <w:r>
              <w:rPr>
                <w:rFonts w:hint="eastAsia" w:ascii="仿宋_GB2312" w:eastAsia="仿宋_GB2312" w:cs="华文仿宋"/>
                <w:b w:val="0"/>
                <w:bCs/>
                <w:color w:val="000000"/>
                <w:sz w:val="24"/>
                <w:szCs w:val="24"/>
                <w:highlight w:val="none"/>
              </w:rPr>
              <w:t>分</w:t>
            </w:r>
            <w:r>
              <w:rPr>
                <w:rFonts w:hint="eastAsia" w:ascii="仿宋_GB2312" w:eastAsia="仿宋_GB2312" w:cs="华文仿宋"/>
                <w:b w:val="0"/>
                <w:bCs/>
                <w:color w:val="000000"/>
                <w:sz w:val="24"/>
                <w:szCs w:val="24"/>
              </w:rPr>
              <w:t>，扣完为止。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12 专</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业</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培</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训</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.建立培训学习制度，制定有效的培训学习计划；有目的、有计划的开展园内培训，每季度至少1次。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855"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2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3</w:t>
            </w:r>
            <w:r>
              <w:rPr>
                <w:rFonts w:hint="eastAsia" w:ascii="仿宋_GB2312" w:eastAsia="仿宋_GB2312" w:cs="华文仿宋"/>
                <w:b w:val="0"/>
                <w:bCs/>
                <w:color w:val="000000"/>
                <w:kern w:val="0"/>
                <w:sz w:val="24"/>
                <w:szCs w:val="24"/>
              </w:rPr>
              <w:t>.积极参加县级以上相关部门组织的专业培训、岗位知识培训等，通过集中培训、在线学习等方式，不断提高工作人员的专业能力、职业道德和心理健康水平。</w:t>
            </w:r>
          </w:p>
        </w:tc>
        <w:tc>
          <w:tcPr>
            <w:tcW w:w="524" w:type="dxa"/>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达到要求得10分，否则不得分。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A</w:t>
            </w:r>
            <w:r>
              <w:rPr>
                <w:rFonts w:hint="eastAsia" w:ascii="仿宋_GB2312" w:eastAsia="仿宋_GB2312" w:cs="华文仿宋"/>
                <w:b w:val="0"/>
                <w:bCs/>
                <w:color w:val="000000"/>
                <w:kern w:val="0"/>
                <w:sz w:val="24"/>
                <w:szCs w:val="24"/>
              </w:rPr>
              <w:t>3</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员</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工</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队</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伍</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170</w:t>
            </w:r>
          </w:p>
          <w:p>
            <w:pPr>
              <w:jc w:val="center"/>
              <w:rPr>
                <w:b w:val="0"/>
                <w:bCs/>
                <w:color w:val="000000"/>
              </w:rPr>
            </w:pPr>
            <w:r>
              <w:rPr>
                <w:rFonts w:hint="eastAsia" w:ascii="仿宋_GB2312" w:eastAsia="仿宋_GB2312" w:cs="华文仿宋"/>
                <w:b w:val="0"/>
                <w:bCs/>
                <w:color w:val="000000"/>
                <w:kern w:val="0"/>
                <w:sz w:val="24"/>
                <w:szCs w:val="24"/>
                <w:lang w:eastAsia="en-US"/>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13</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职</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业</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道</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德</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40</w:t>
            </w:r>
          </w:p>
          <w:p>
            <w:pPr>
              <w:jc w:val="center"/>
              <w:rPr>
                <w:b w:val="0"/>
                <w:bCs/>
                <w:color w:val="000000"/>
              </w:rPr>
            </w:pP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4</w:t>
            </w:r>
            <w:r>
              <w:rPr>
                <w:rFonts w:hint="eastAsia" w:ascii="仿宋_GB2312" w:eastAsia="仿宋_GB2312" w:cs="华文仿宋"/>
                <w:b w:val="0"/>
                <w:bCs/>
                <w:color w:val="000000"/>
                <w:kern w:val="0"/>
                <w:sz w:val="24"/>
                <w:szCs w:val="24"/>
              </w:rPr>
              <w:t>.从业人员应当具有完全民事行为能力和良好的职业道德，身心健康，热爱婴幼儿照护事业；不得聘用有犯罪记录的、吸毒记录的、精神病史的和虐童记录的及其他不适宜从事托育服务的。</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rPr>
              <w:t>全部达到要求得20分；每1人不达要求扣5分，扣完为止。聘用不适宜从事托育服务人员的扣20分。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bottom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5</w:t>
            </w:r>
            <w:r>
              <w:rPr>
                <w:rFonts w:hint="eastAsia" w:ascii="仿宋_GB2312" w:eastAsia="仿宋_GB2312" w:cs="华文仿宋"/>
                <w:b w:val="0"/>
                <w:bCs/>
                <w:color w:val="000000"/>
                <w:kern w:val="0"/>
                <w:sz w:val="24"/>
                <w:szCs w:val="24"/>
              </w:rPr>
              <w:t>.具有正确的儿童观、</w:t>
            </w:r>
            <w:r>
              <w:rPr>
                <w:rFonts w:hint="eastAsia" w:ascii="仿宋_GB2312" w:eastAsia="仿宋_GB2312" w:cs="华文仿宋"/>
                <w:b w:val="0"/>
                <w:bCs/>
                <w:color w:val="000000"/>
                <w:kern w:val="0"/>
                <w:sz w:val="24"/>
                <w:szCs w:val="24"/>
                <w:lang w:eastAsia="zh-CN"/>
              </w:rPr>
              <w:t>保</w:t>
            </w:r>
            <w:r>
              <w:rPr>
                <w:rFonts w:hint="eastAsia" w:ascii="仿宋_GB2312" w:eastAsia="仿宋_GB2312" w:cs="华文仿宋"/>
                <w:b w:val="0"/>
                <w:bCs/>
                <w:color w:val="000000"/>
                <w:kern w:val="0"/>
                <w:sz w:val="24"/>
                <w:szCs w:val="24"/>
              </w:rPr>
              <w:t>育观，尊重婴幼儿人格，维护婴幼儿合法权益，平等对待每一个婴幼儿；不歧视婴幼儿，无体罚、变相体罚现象。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14</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权</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益</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障</w:t>
            </w:r>
          </w:p>
          <w:p>
            <w:pPr>
              <w:jc w:val="center"/>
              <w:rPr>
                <w:b w:val="0"/>
                <w:bCs/>
                <w:color w:val="000000"/>
              </w:rPr>
            </w:pPr>
            <w:r>
              <w:rPr>
                <w:rFonts w:hint="eastAsia" w:ascii="仿宋_GB2312" w:eastAsia="仿宋_GB2312" w:cs="华文仿宋"/>
                <w:b w:val="0"/>
                <w:bCs/>
                <w:color w:val="000000"/>
                <w:kern w:val="0"/>
                <w:sz w:val="24"/>
                <w:szCs w:val="24"/>
              </w:rPr>
              <w:t>40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6</w:t>
            </w:r>
            <w:r>
              <w:rPr>
                <w:rFonts w:hint="eastAsia" w:ascii="仿宋_GB2312" w:eastAsia="仿宋_GB2312" w:cs="华文仿宋"/>
                <w:b w:val="0"/>
                <w:bCs/>
                <w:color w:val="000000"/>
                <w:kern w:val="0"/>
                <w:sz w:val="24"/>
                <w:szCs w:val="24"/>
              </w:rPr>
              <w:t>.机构建立人事档案管理制度，对工作人员任用和聘用有规范程序，各岗位人员档案健全、信息详实，如人员身份证明、基本情况、学历证明、职业资质证明、附有年检时效的健康证明等。</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达到要求得20分；每人每项不达要求扣2分，扣完为止。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bottom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3</w:t>
            </w:r>
            <w:r>
              <w:rPr>
                <w:rFonts w:hint="eastAsia" w:ascii="仿宋_GB2312" w:eastAsia="仿宋_GB2312" w:cs="华文仿宋"/>
                <w:b w:val="0"/>
                <w:bCs/>
                <w:color w:val="000000"/>
                <w:kern w:val="0"/>
                <w:sz w:val="24"/>
                <w:szCs w:val="24"/>
                <w:lang w:val="en-US" w:eastAsia="zh-CN"/>
              </w:rPr>
              <w:t>7</w:t>
            </w:r>
            <w:r>
              <w:rPr>
                <w:rFonts w:hint="eastAsia" w:ascii="仿宋_GB2312" w:eastAsia="仿宋_GB2312" w:cs="华文仿宋"/>
                <w:b w:val="0"/>
                <w:bCs/>
                <w:color w:val="000000"/>
                <w:kern w:val="0"/>
                <w:sz w:val="24"/>
                <w:szCs w:val="24"/>
              </w:rPr>
              <w:t>.按规定与员工签订聘用或劳动合同（协议）；工资按时足额发放，并按规定缴纳相关社会保险。</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现场座谈</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00" w:lineRule="exac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全部达到要求得20分；每1项不达要求扣10分，扣完为止。未按规定签订劳动合同的扣20分。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31"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A4</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育</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照</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护</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200</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rPr>
              <w:t>分</w:t>
            </w:r>
          </w:p>
        </w:tc>
        <w:tc>
          <w:tcPr>
            <w:tcW w:w="855" w:type="dxa"/>
            <w:vMerge w:val="restart"/>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eastAsia="en-US"/>
              </w:rPr>
              <w:t>B</w:t>
            </w:r>
            <w:r>
              <w:rPr>
                <w:rFonts w:hint="eastAsia" w:ascii="仿宋_GB2312" w:eastAsia="仿宋_GB2312" w:cs="华文仿宋"/>
                <w:b w:val="0"/>
                <w:bCs/>
                <w:color w:val="000000"/>
                <w:kern w:val="0"/>
                <w:sz w:val="24"/>
                <w:szCs w:val="24"/>
              </w:rPr>
              <w:t>15</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照</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护</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原</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则</w:t>
            </w:r>
          </w:p>
          <w:p>
            <w:pPr>
              <w:adjustRightInd w:val="0"/>
              <w:snapToGrid w:val="0"/>
              <w:spacing w:line="30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widowControl/>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snapToGrid w:val="0"/>
                <w:color w:val="000000"/>
                <w:kern w:val="0"/>
                <w:sz w:val="24"/>
                <w:szCs w:val="24"/>
              </w:rPr>
              <w:t>3</w:t>
            </w:r>
            <w:r>
              <w:rPr>
                <w:rFonts w:hint="eastAsia" w:ascii="仿宋_GB2312" w:eastAsia="仿宋_GB2312" w:cs="华文仿宋"/>
                <w:b w:val="0"/>
                <w:bCs/>
                <w:snapToGrid w:val="0"/>
                <w:color w:val="000000"/>
                <w:kern w:val="0"/>
                <w:sz w:val="24"/>
                <w:szCs w:val="24"/>
                <w:lang w:val="en-US" w:eastAsia="zh-CN"/>
              </w:rPr>
              <w:t>8</w:t>
            </w:r>
            <w:r>
              <w:rPr>
                <w:rFonts w:hint="eastAsia" w:ascii="仿宋_GB2312" w:eastAsia="仿宋_GB2312" w:cs="华文仿宋"/>
                <w:b w:val="0"/>
                <w:bCs/>
                <w:snapToGrid w:val="0"/>
                <w:color w:val="000000"/>
                <w:kern w:val="0"/>
                <w:sz w:val="24"/>
                <w:szCs w:val="24"/>
              </w:rPr>
              <w:t>.坚持儿童优先，保障儿童权利；尊重婴幼儿成长特点和规律，关注个体差异，促进每个婴幼儿全面发展；提供支持性环境，细致观察婴幼儿健康状况；理解和熟悉其生理和心理的需求，并及时给予积极的回应。</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top w:val="single" w:color="000000" w:sz="8" w:space="0"/>
              <w:left w:val="single" w:color="000000" w:sz="8" w:space="0"/>
              <w:bottom w:val="single" w:color="auto" w:sz="4"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widowControl/>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snapToGrid w:val="0"/>
                <w:color w:val="000000"/>
                <w:kern w:val="0"/>
                <w:sz w:val="24"/>
                <w:szCs w:val="24"/>
              </w:rPr>
              <w:t>3</w:t>
            </w:r>
            <w:r>
              <w:rPr>
                <w:rFonts w:hint="eastAsia" w:ascii="仿宋_GB2312" w:eastAsia="仿宋_GB2312" w:cs="华文仿宋"/>
                <w:b w:val="0"/>
                <w:bCs/>
                <w:snapToGrid w:val="0"/>
                <w:color w:val="000000"/>
                <w:kern w:val="0"/>
                <w:sz w:val="24"/>
                <w:szCs w:val="24"/>
                <w:lang w:val="en-US" w:eastAsia="zh-CN"/>
              </w:rPr>
              <w:t>9</w:t>
            </w:r>
            <w:r>
              <w:rPr>
                <w:rFonts w:hint="eastAsia" w:ascii="仿宋_GB2312" w:eastAsia="仿宋_GB2312" w:cs="华文仿宋"/>
                <w:b w:val="0"/>
                <w:bCs/>
                <w:snapToGrid w:val="0"/>
                <w:color w:val="000000"/>
                <w:kern w:val="0"/>
                <w:sz w:val="24"/>
                <w:szCs w:val="24"/>
              </w:rPr>
              <w:t>.按照国家和地方的相关标准和规范，最大限度地保护婴幼儿的安全和健康；合理安排婴幼儿的生活和游戏，满足婴幼儿生长发育的需要。</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A4</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育</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照</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护</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200</w:t>
            </w:r>
          </w:p>
          <w:p>
            <w:pPr>
              <w:adjustRightInd w:val="0"/>
              <w:snapToGrid w:val="0"/>
              <w:spacing w:line="260" w:lineRule="exact"/>
              <w:jc w:val="center"/>
              <w:rPr>
                <w:b w:val="0"/>
                <w:bCs/>
                <w:color w:val="000000"/>
              </w:rPr>
            </w:pPr>
            <w:r>
              <w:rPr>
                <w:rFonts w:hint="eastAsia" w:ascii="仿宋_GB2312" w:eastAsia="仿宋_GB2312" w:cs="华文仿宋"/>
                <w:b w:val="0"/>
                <w:bCs/>
                <w:color w:val="000000"/>
                <w:kern w:val="0"/>
                <w:sz w:val="24"/>
                <w:szCs w:val="24"/>
              </w:rPr>
              <w:t>分</w:t>
            </w:r>
          </w:p>
        </w:tc>
        <w:tc>
          <w:tcPr>
            <w:tcW w:w="855" w:type="dxa"/>
            <w:vMerge w:val="restart"/>
            <w:tcBorders>
              <w:top w:val="single" w:color="auto" w:sz="4"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B16</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育</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要</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点</w:t>
            </w:r>
          </w:p>
          <w:p>
            <w:pPr>
              <w:rPr>
                <w:b w:val="0"/>
                <w:bCs/>
                <w:color w:val="000000"/>
              </w:rPr>
            </w:pPr>
            <w:r>
              <w:rPr>
                <w:rFonts w:hint="eastAsia" w:ascii="仿宋_GB2312" w:eastAsia="仿宋_GB2312" w:cs="华文仿宋"/>
                <w:b w:val="0"/>
                <w:bCs/>
                <w:color w:val="000000"/>
                <w:kern w:val="0"/>
                <w:sz w:val="24"/>
                <w:szCs w:val="24"/>
              </w:rPr>
              <w:t>80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lang w:val="en-US" w:eastAsia="zh-CN"/>
              </w:rPr>
              <w:t>40</w:t>
            </w:r>
            <w:r>
              <w:rPr>
                <w:rFonts w:hint="eastAsia" w:ascii="仿宋_GB2312" w:eastAsia="仿宋_GB2312" w:cs="华文仿宋"/>
                <w:b w:val="0"/>
                <w:bCs/>
                <w:color w:val="000000"/>
                <w:kern w:val="0"/>
                <w:sz w:val="24"/>
                <w:szCs w:val="24"/>
              </w:rPr>
              <w:t>.尊重婴幼儿的生长特点；</w:t>
            </w:r>
            <w:r>
              <w:rPr>
                <w:rFonts w:hint="eastAsia" w:ascii="仿宋_GB2312" w:eastAsia="仿宋_GB2312" w:cs="华文仿宋"/>
                <w:b w:val="0"/>
                <w:bCs/>
                <w:snapToGrid w:val="0"/>
                <w:color w:val="000000"/>
                <w:kern w:val="0"/>
                <w:sz w:val="24"/>
                <w:szCs w:val="24"/>
              </w:rPr>
              <w:t>重视顺应喂养和情感交流；</w:t>
            </w:r>
            <w:r>
              <w:rPr>
                <w:rFonts w:hint="eastAsia" w:ascii="仿宋_GB2312" w:eastAsia="仿宋_GB2312" w:cs="华文仿宋"/>
                <w:b w:val="0"/>
                <w:bCs/>
                <w:color w:val="000000"/>
                <w:kern w:val="0"/>
                <w:sz w:val="24"/>
                <w:szCs w:val="24"/>
              </w:rPr>
              <w:t>以游戏为主要活动形式；每天游戏时间不少于3小时。</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snapToGrid w:val="0"/>
                <w:color w:val="000000"/>
                <w:kern w:val="0"/>
                <w:sz w:val="24"/>
                <w:szCs w:val="24"/>
              </w:rPr>
              <w:t>4</w:t>
            </w:r>
            <w:r>
              <w:rPr>
                <w:rFonts w:hint="eastAsia" w:ascii="仿宋_GB2312" w:eastAsia="仿宋_GB2312" w:cs="华文仿宋"/>
                <w:b w:val="0"/>
                <w:bCs/>
                <w:snapToGrid w:val="0"/>
                <w:color w:val="000000"/>
                <w:kern w:val="0"/>
                <w:sz w:val="24"/>
                <w:szCs w:val="24"/>
                <w:lang w:val="en-US" w:eastAsia="zh-CN"/>
              </w:rPr>
              <w:t>1</w:t>
            </w:r>
            <w:r>
              <w:rPr>
                <w:rFonts w:hint="eastAsia" w:ascii="仿宋_GB2312" w:eastAsia="仿宋_GB2312" w:cs="华文仿宋"/>
                <w:b w:val="0"/>
                <w:bCs/>
                <w:snapToGrid w:val="0"/>
                <w:color w:val="000000"/>
                <w:kern w:val="0"/>
                <w:sz w:val="24"/>
                <w:szCs w:val="24"/>
              </w:rPr>
              <w:t>.保育照护形式多样，动静交替，室内室外活动兼顾；</w:t>
            </w:r>
            <w:r>
              <w:rPr>
                <w:rFonts w:hint="eastAsia" w:ascii="仿宋_GB2312" w:eastAsia="仿宋_GB2312" w:cs="华文仿宋"/>
                <w:b w:val="0"/>
                <w:bCs/>
                <w:color w:val="000000"/>
                <w:kern w:val="0"/>
                <w:sz w:val="24"/>
                <w:szCs w:val="24"/>
              </w:rPr>
              <w:t>合理安排每日饮食、饮水、喂奶、如厕、盥洗、清洁、睡眠、穿脱衣物、游戏等活动；正餐间隔时间3～3.5小时，午睡时间不少于2.5小时；每日户外活动不少于2小时，寒冷、炎热季节或特殊天气情况下可酌情调整。</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both"/>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.保育人员</w:t>
            </w:r>
            <w:r>
              <w:rPr>
                <w:rFonts w:hint="eastAsia" w:ascii="仿宋_GB2312" w:eastAsia="仿宋_GB2312" w:cs="华文仿宋"/>
                <w:b w:val="0"/>
                <w:bCs/>
                <w:color w:val="000000"/>
                <w:kern w:val="0"/>
                <w:sz w:val="24"/>
                <w:szCs w:val="24"/>
                <w:lang w:eastAsia="zh-CN"/>
              </w:rPr>
              <w:t>在日常照护过程中应</w:t>
            </w:r>
            <w:r>
              <w:rPr>
                <w:rFonts w:hint="eastAsia" w:ascii="仿宋_GB2312" w:eastAsia="仿宋_GB2312" w:cs="华文仿宋"/>
                <w:b w:val="0"/>
                <w:bCs/>
                <w:color w:val="000000"/>
                <w:kern w:val="0"/>
                <w:sz w:val="24"/>
                <w:szCs w:val="24"/>
              </w:rPr>
              <w:t>多与婴幼儿进行面对面地个别交流</w:t>
            </w:r>
            <w:r>
              <w:rPr>
                <w:rFonts w:hint="eastAsia" w:ascii="仿宋_GB2312" w:eastAsia="仿宋_GB2312" w:cs="华文仿宋"/>
                <w:b w:val="0"/>
                <w:bCs/>
                <w:color w:val="000000"/>
                <w:kern w:val="0"/>
                <w:sz w:val="24"/>
                <w:szCs w:val="24"/>
                <w:lang w:eastAsia="zh-CN"/>
              </w:rPr>
              <w:t>，在</w:t>
            </w:r>
            <w:r>
              <w:rPr>
                <w:rFonts w:hint="eastAsia" w:ascii="仿宋_GB2312" w:eastAsia="仿宋_GB2312" w:cs="华文仿宋"/>
                <w:b w:val="0"/>
                <w:bCs/>
                <w:color w:val="000000"/>
                <w:kern w:val="0"/>
                <w:sz w:val="24"/>
                <w:szCs w:val="24"/>
              </w:rPr>
              <w:t>各种</w:t>
            </w:r>
            <w:r>
              <w:rPr>
                <w:rFonts w:hint="eastAsia" w:ascii="仿宋_GB2312" w:eastAsia="仿宋_GB2312" w:cs="华文仿宋"/>
                <w:b w:val="0"/>
                <w:bCs/>
                <w:color w:val="000000"/>
                <w:kern w:val="0"/>
                <w:sz w:val="24"/>
                <w:szCs w:val="24"/>
                <w:lang w:eastAsia="zh-CN"/>
              </w:rPr>
              <w:t>集体</w:t>
            </w:r>
            <w:r>
              <w:rPr>
                <w:rFonts w:hint="eastAsia" w:ascii="仿宋_GB2312" w:eastAsia="仿宋_GB2312" w:cs="华文仿宋"/>
                <w:b w:val="0"/>
                <w:bCs/>
                <w:color w:val="000000"/>
                <w:kern w:val="0"/>
                <w:sz w:val="24"/>
                <w:szCs w:val="24"/>
              </w:rPr>
              <w:t>活动中注重</w:t>
            </w:r>
            <w:r>
              <w:rPr>
                <w:rFonts w:hint="eastAsia" w:ascii="仿宋_GB2312" w:eastAsia="仿宋_GB2312" w:cs="华文仿宋"/>
                <w:b w:val="0"/>
                <w:bCs/>
                <w:color w:val="000000"/>
                <w:kern w:val="0"/>
                <w:sz w:val="24"/>
                <w:szCs w:val="24"/>
                <w:lang w:eastAsia="zh-CN"/>
              </w:rPr>
              <w:t>分段进行</w:t>
            </w:r>
            <w:r>
              <w:rPr>
                <w:rFonts w:hint="eastAsia" w:ascii="仿宋_GB2312" w:eastAsia="仿宋_GB2312" w:cs="华文仿宋"/>
                <w:b w:val="0"/>
                <w:bCs/>
                <w:color w:val="000000"/>
                <w:kern w:val="0"/>
                <w:sz w:val="24"/>
                <w:szCs w:val="24"/>
              </w:rPr>
              <w:t>个别化的交流互动。</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31" w:type="dxa"/>
            <w:vMerge w:val="continue"/>
            <w:tcBorders>
              <w:left w:val="single" w:color="000000" w:sz="8" w:space="0"/>
              <w:right w:val="single" w:color="000000" w:sz="8" w:space="0"/>
            </w:tcBorders>
            <w:noWrap w:val="0"/>
            <w:vAlign w:val="center"/>
          </w:tcPr>
          <w:p>
            <w:pPr>
              <w:rPr>
                <w:b w:val="0"/>
                <w:bCs/>
                <w:color w:val="000000"/>
              </w:rPr>
            </w:pPr>
          </w:p>
        </w:tc>
        <w:tc>
          <w:tcPr>
            <w:tcW w:w="855" w:type="dxa"/>
            <w:vMerge w:val="continue"/>
            <w:tcBorders>
              <w:left w:val="single" w:color="000000" w:sz="8" w:space="0"/>
              <w:bottom w:val="single" w:color="000000" w:sz="8" w:space="0"/>
              <w:right w:val="single" w:color="000000" w:sz="8" w:space="0"/>
            </w:tcBorders>
            <w:noWrap w:val="0"/>
            <w:vAlign w:val="center"/>
          </w:tcPr>
          <w:p>
            <w:pP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3</w:t>
            </w:r>
            <w:r>
              <w:rPr>
                <w:rFonts w:hint="eastAsia" w:ascii="仿宋_GB2312" w:eastAsia="仿宋_GB2312" w:cs="华文仿宋"/>
                <w:b w:val="0"/>
                <w:bCs/>
                <w:color w:val="000000"/>
                <w:kern w:val="0"/>
                <w:sz w:val="24"/>
                <w:szCs w:val="24"/>
              </w:rPr>
              <w:t>.参照儿童早期综合发展要求，提供符合年龄特点的玩具材料和图书；组织形式多样的阅读、游戏、运动等活动，丰富婴幼儿的直接经验；支持婴幼儿主动探索、操作体验、互动交流和表达表现；保护婴幼儿的好奇心，有初步的想象力和创造力。</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spacing w:line="260" w:lineRule="exact"/>
              <w:jc w:val="center"/>
              <w:rPr>
                <w:b w:val="0"/>
                <w:bCs/>
                <w:color w:val="000000"/>
              </w:rPr>
            </w:pPr>
          </w:p>
        </w:tc>
        <w:tc>
          <w:tcPr>
            <w:tcW w:w="855" w:type="dxa"/>
            <w:tcBorders>
              <w:top w:val="single" w:color="000000" w:sz="8" w:space="0"/>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B17</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教</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养</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融</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合</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80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auto" w:sz="4"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4</w:t>
            </w:r>
            <w:r>
              <w:rPr>
                <w:rFonts w:hint="eastAsia" w:ascii="仿宋_GB2312" w:eastAsia="仿宋_GB2312" w:cs="华文仿宋"/>
                <w:b w:val="0"/>
                <w:bCs/>
                <w:color w:val="000000"/>
                <w:kern w:val="0"/>
                <w:sz w:val="24"/>
                <w:szCs w:val="24"/>
              </w:rPr>
              <w:t>.建立婴幼儿照护服务日常记录和反馈制度；定期与婴幼儿监护人沟通婴幼儿发展情况：乳儿班（6-12个月）每月1次；托小班（12-24个月）每季度1次；托大班（24-36个月）每季度1次；混合班（18-36个月）每季度1次。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全部达到要求得30分；每1项不达要求扣6分，扣完为止。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A4</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保</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育</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照</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护</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200</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分</w:t>
            </w:r>
          </w:p>
        </w:tc>
        <w:tc>
          <w:tcPr>
            <w:tcW w:w="855" w:type="dxa"/>
            <w:vMerge w:val="restart"/>
            <w:tcBorders>
              <w:left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B17</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教</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养</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融</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合</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80</w:t>
            </w:r>
            <w:r>
              <w:rPr>
                <w:rFonts w:hint="eastAsia" w:ascii="仿宋_GB2312" w:eastAsia="仿宋_GB2312" w:cs="华文仿宋"/>
                <w:b w:val="0"/>
                <w:bCs/>
                <w:color w:val="000000"/>
                <w:kern w:val="0"/>
                <w:sz w:val="24"/>
                <w:szCs w:val="24"/>
                <w:lang w:eastAsia="en-US"/>
              </w:rPr>
              <w:t>分</w:t>
            </w:r>
          </w:p>
        </w:tc>
        <w:tc>
          <w:tcPr>
            <w:tcW w:w="6333" w:type="dxa"/>
            <w:tcBorders>
              <w:top w:val="single" w:color="auto" w:sz="4"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5</w:t>
            </w:r>
            <w:r>
              <w:rPr>
                <w:rFonts w:hint="eastAsia" w:ascii="仿宋_GB2312" w:eastAsia="仿宋_GB2312" w:cs="华文仿宋"/>
                <w:b w:val="0"/>
                <w:bCs/>
                <w:color w:val="000000"/>
                <w:kern w:val="0"/>
                <w:sz w:val="24"/>
                <w:szCs w:val="24"/>
              </w:rPr>
              <w:t>.培养婴幼儿规律作息、讲究个人卫生的良好生活行为习惯，如饭前便后洗手、饭后漱口、定时午睡、定点定量进餐等；为婴幼儿学习生活自理提供良好条件，指导婴幼儿学习和掌握生活自理的基本方法，如自己用水杯喝水或用小勺吃饭，正确穿脱衣服鞋袜、洗手洗脸等方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2"/>
                <w:sz w:val="24"/>
                <w:szCs w:val="24"/>
                <w:lang w:val="en-US" w:eastAsia="zh-CN" w:bidi="ar-SA"/>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31"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p>
        </w:tc>
        <w:tc>
          <w:tcPr>
            <w:tcW w:w="855"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p>
        </w:tc>
        <w:tc>
          <w:tcPr>
            <w:tcW w:w="6333" w:type="dxa"/>
            <w:tcBorders>
              <w:top w:val="single" w:color="auto" w:sz="4" w:space="0"/>
              <w:left w:val="single" w:color="000000" w:sz="8" w:space="0"/>
              <w:bottom w:val="single" w:color="000000" w:sz="8" w:space="0"/>
              <w:right w:val="single" w:color="000000" w:sz="8" w:space="0"/>
            </w:tcBorders>
            <w:noWrap w:val="0"/>
            <w:vAlign w:val="center"/>
          </w:tcPr>
          <w:p>
            <w:pPr>
              <w:adjustRightInd w:val="0"/>
              <w:snapToGrid w:val="0"/>
              <w:jc w:val="left"/>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6</w:t>
            </w:r>
            <w:r>
              <w:rPr>
                <w:rFonts w:hint="eastAsia" w:ascii="仿宋_GB2312" w:eastAsia="仿宋_GB2312" w:cs="华文仿宋"/>
                <w:b w:val="0"/>
                <w:bCs/>
                <w:color w:val="000000"/>
                <w:kern w:val="0"/>
                <w:sz w:val="24"/>
                <w:szCs w:val="24"/>
              </w:rPr>
              <w:t>.</w:t>
            </w:r>
            <w:r>
              <w:rPr>
                <w:rFonts w:hint="eastAsia" w:ascii="仿宋_GB2312" w:eastAsia="仿宋_GB2312" w:cs="华文仿宋"/>
                <w:b w:val="0"/>
                <w:bCs/>
                <w:snapToGrid w:val="0"/>
                <w:color w:val="000000"/>
                <w:kern w:val="0"/>
                <w:sz w:val="24"/>
                <w:szCs w:val="24"/>
              </w:rPr>
              <w:t>遵循婴幼儿身心发展特点和规律</w:t>
            </w:r>
            <w:r>
              <w:rPr>
                <w:rFonts w:hint="eastAsia" w:ascii="仿宋_GB2312" w:eastAsia="仿宋_GB2312" w:cs="华文仿宋"/>
                <w:b w:val="0"/>
                <w:bCs/>
                <w:color w:val="000000"/>
                <w:kern w:val="0"/>
                <w:sz w:val="24"/>
                <w:szCs w:val="24"/>
              </w:rPr>
              <w:t>，关注个别差异</w:t>
            </w:r>
            <w:r>
              <w:rPr>
                <w:rFonts w:hint="eastAsia" w:ascii="仿宋_GB2312" w:eastAsia="仿宋_GB2312" w:cs="华文仿宋"/>
                <w:b w:val="0"/>
                <w:bCs/>
                <w:snapToGrid w:val="0"/>
                <w:color w:val="000000"/>
                <w:kern w:val="0"/>
                <w:sz w:val="24"/>
                <w:szCs w:val="24"/>
              </w:rPr>
              <w:t>，</w:t>
            </w:r>
            <w:r>
              <w:rPr>
                <w:rFonts w:hint="eastAsia" w:ascii="仿宋_GB2312" w:eastAsia="仿宋_GB2312" w:cs="华文仿宋"/>
                <w:b w:val="0"/>
                <w:bCs/>
                <w:color w:val="000000"/>
                <w:kern w:val="0"/>
                <w:sz w:val="24"/>
                <w:szCs w:val="24"/>
                <w:highlight w:val="none"/>
              </w:rPr>
              <w:t>促进婴幼儿</w:t>
            </w:r>
            <w:r>
              <w:rPr>
                <w:rFonts w:hint="eastAsia" w:ascii="仿宋_GB2312" w:eastAsia="仿宋_GB2312" w:cs="华文仿宋"/>
                <w:bCs/>
                <w:color w:val="000000"/>
                <w:kern w:val="0"/>
                <w:sz w:val="24"/>
                <w:szCs w:val="24"/>
                <w:highlight w:val="none"/>
              </w:rPr>
              <w:t>在营养喂养、睡眠、动作、语言、认知、情感与社会性、生活卫生习惯等方面的全面发展。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hint="eastAsia" w:ascii="仿宋_GB2312" w:hAnsi="Calibri" w:eastAsia="仿宋_GB2312" w:cs="华文仿宋"/>
                <w:b w:val="0"/>
                <w:bCs/>
                <w:color w:val="000000"/>
                <w:kern w:val="0"/>
                <w:sz w:val="24"/>
                <w:szCs w:val="24"/>
                <w:lang w:val="en-US" w:eastAsia="zh-CN" w:bidi="ar-SA"/>
              </w:rPr>
            </w:pPr>
            <w:r>
              <w:rPr>
                <w:rFonts w:hint="eastAsia" w:ascii="仿宋_GB2312" w:eastAsia="仿宋_GB2312" w:cs="华文仿宋"/>
                <w:b w:val="0"/>
                <w:bCs/>
                <w:color w:val="000000"/>
                <w:sz w:val="24"/>
                <w:szCs w:val="24"/>
              </w:rPr>
              <w:t>全部达到要求得30分；每1项不达要求扣5分，扣完为止。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31"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A5</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机</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构</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管</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理</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170</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B18</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管</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理</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体</w:t>
            </w:r>
          </w:p>
          <w:p>
            <w:pPr>
              <w:adjustRightInd w:val="0"/>
              <w:snapToGrid w:val="0"/>
              <w:spacing w:line="280" w:lineRule="exact"/>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制</w:t>
            </w:r>
          </w:p>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7</w:t>
            </w:r>
            <w:r>
              <w:rPr>
                <w:rFonts w:hint="eastAsia" w:ascii="仿宋_GB2312" w:eastAsia="仿宋_GB2312" w:cs="华文仿宋"/>
                <w:b w:val="0"/>
                <w:bCs/>
                <w:color w:val="000000"/>
                <w:kern w:val="0"/>
                <w:sz w:val="24"/>
                <w:szCs w:val="24"/>
              </w:rPr>
              <w:t>.规范办托。机构各项规章制度健全，建立家园联系制度；各类人员岗位职责明确；严格按制度执行；有执行过程和检查结果的记录。</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rPr>
                <w:b w:val="0"/>
                <w:bCs/>
                <w:color w:val="000000"/>
              </w:rPr>
            </w:pPr>
          </w:p>
        </w:tc>
        <w:tc>
          <w:tcPr>
            <w:tcW w:w="855" w:type="dxa"/>
            <w:vMerge w:val="continue"/>
            <w:tcBorders>
              <w:left w:val="single" w:color="000000" w:sz="8" w:space="0"/>
              <w:bottom w:val="single" w:color="000000" w:sz="8" w:space="0"/>
              <w:right w:val="single" w:color="000000" w:sz="8" w:space="0"/>
            </w:tcBorders>
            <w:noWrap w:val="0"/>
            <w:vAlign w:val="center"/>
          </w:tcPr>
          <w:p>
            <w:pPr>
              <w:adjustRightInd w:val="0"/>
              <w:snapToGrid w:val="0"/>
              <w:spacing w:line="280" w:lineRule="exact"/>
              <w:jc w:val="cente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8</w:t>
            </w:r>
            <w:r>
              <w:rPr>
                <w:rFonts w:hint="eastAsia" w:ascii="仿宋_GB2312" w:eastAsia="仿宋_GB2312" w:cs="华文仿宋"/>
                <w:b w:val="0"/>
                <w:bCs/>
                <w:color w:val="000000"/>
                <w:kern w:val="0"/>
                <w:sz w:val="24"/>
                <w:szCs w:val="24"/>
              </w:rPr>
              <w:t>.</w:t>
            </w:r>
            <w:r>
              <w:rPr>
                <w:rFonts w:hint="eastAsia" w:ascii="仿宋_GB2312" w:hAnsi="仿宋_GB2312" w:eastAsia="仿宋_GB2312" w:cs="仿宋_GB2312"/>
                <w:color w:val="000000"/>
                <w:sz w:val="24"/>
                <w:szCs w:val="24"/>
                <w:lang w:val="en-US" w:eastAsia="zh-CN"/>
              </w:rPr>
              <w:t>实行园长第一责任人制度。加强民主管理和监督，加强家园沟通和共同教育，健全园务委员会、家长委员会、伙食委员会等组织机构，有活动制度、记录和活动计划及总结，每半年至少1次。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现场座谈</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8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华文仿宋" w:eastAsia="华文仿宋"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rPr>
                <w:b w:val="0"/>
                <w:bCs/>
                <w:color w:val="000000"/>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B19</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收</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托</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管</w:t>
            </w:r>
          </w:p>
          <w:p>
            <w:pPr>
              <w:adjustRightInd w:val="0"/>
              <w:snapToGrid w:val="0"/>
              <w:spacing w:line="260" w:lineRule="exact"/>
              <w:jc w:val="center"/>
              <w:rPr>
                <w:rFonts w:ascii="仿宋_GB2312" w:eastAsia="仿宋_GB2312" w:cs="华文仿宋"/>
                <w:b w:val="0"/>
                <w:bCs/>
                <w:color w:val="000000"/>
                <w:kern w:val="0"/>
                <w:sz w:val="24"/>
              </w:rPr>
            </w:pPr>
            <w:r>
              <w:rPr>
                <w:rFonts w:hint="eastAsia" w:ascii="仿宋_GB2312" w:eastAsia="仿宋_GB2312" w:cs="华文仿宋"/>
                <w:b w:val="0"/>
                <w:bCs/>
                <w:color w:val="000000"/>
                <w:kern w:val="0"/>
                <w:sz w:val="24"/>
              </w:rPr>
              <w:t>理</w:t>
            </w:r>
          </w:p>
          <w:p>
            <w:pPr>
              <w:adjustRightInd w:val="0"/>
              <w:snapToGrid w:val="0"/>
              <w:spacing w:line="260" w:lineRule="exact"/>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rPr>
              <w:t>30分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4</w:t>
            </w:r>
            <w:r>
              <w:rPr>
                <w:rFonts w:hint="eastAsia" w:ascii="仿宋_GB2312" w:eastAsia="仿宋_GB2312" w:cs="华文仿宋"/>
                <w:b w:val="0"/>
                <w:bCs/>
                <w:color w:val="000000"/>
                <w:kern w:val="0"/>
                <w:sz w:val="24"/>
                <w:szCs w:val="24"/>
                <w:lang w:val="en-US" w:eastAsia="zh-CN"/>
              </w:rPr>
              <w:t>9</w:t>
            </w:r>
            <w:r>
              <w:rPr>
                <w:rFonts w:hint="eastAsia" w:ascii="仿宋_GB2312" w:eastAsia="仿宋_GB2312" w:cs="华文仿宋"/>
                <w:b w:val="0"/>
                <w:bCs/>
                <w:color w:val="000000"/>
                <w:kern w:val="0"/>
                <w:sz w:val="24"/>
                <w:szCs w:val="24"/>
              </w:rPr>
              <w:t>.规范招生，招生简章或广告内容符合相关政策，实事求是，无违规、虚假、夸大或引人误解的内容。</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全部达到要求得10分，否则不得分。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rPr>
                <w:b w:val="0"/>
                <w:bCs/>
                <w:color w:val="000000"/>
              </w:rPr>
            </w:pPr>
          </w:p>
        </w:tc>
        <w:tc>
          <w:tcPr>
            <w:tcW w:w="855" w:type="dxa"/>
            <w:vMerge w:val="continue"/>
            <w:tcBorders>
              <w:left w:val="single" w:color="000000" w:sz="8" w:space="0"/>
              <w:right w:val="single" w:color="000000" w:sz="8" w:space="0"/>
            </w:tcBorders>
            <w:noWrap w:val="0"/>
            <w:vAlign w:val="center"/>
          </w:tcPr>
          <w:p>
            <w:pPr>
              <w:adjustRightInd w:val="0"/>
              <w:snapToGrid w:val="0"/>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lang w:val="en-US" w:eastAsia="zh-CN"/>
              </w:rPr>
              <w:t>50</w:t>
            </w:r>
            <w:r>
              <w:rPr>
                <w:rFonts w:hint="eastAsia" w:ascii="仿宋_GB2312" w:eastAsia="仿宋_GB2312" w:cs="华文仿宋"/>
                <w:b w:val="0"/>
                <w:bCs/>
                <w:color w:val="000000"/>
                <w:kern w:val="0"/>
                <w:sz w:val="24"/>
                <w:szCs w:val="24"/>
              </w:rPr>
              <w:t>.建立收托婴幼儿信息管理制度；及时采集、更新，按规定向备案部门报送信息。</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现场查看</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60" w:lineRule="exact"/>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31" w:type="dxa"/>
            <w:vMerge w:val="restart"/>
            <w:tcBorders>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A5</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机</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构</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管</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lang w:eastAsia="en-US"/>
              </w:rPr>
              <w:t>理</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170</w:t>
            </w:r>
          </w:p>
          <w:p>
            <w:pPr>
              <w:adjustRightInd w:val="0"/>
              <w:snapToGrid w:val="0"/>
              <w:jc w:val="center"/>
              <w:rPr>
                <w:b w:val="0"/>
                <w:bCs/>
                <w:color w:val="000000"/>
              </w:rPr>
            </w:pPr>
            <w:r>
              <w:rPr>
                <w:rFonts w:hint="eastAsia" w:ascii="仿宋_GB2312" w:eastAsia="仿宋_GB2312" w:cs="华文仿宋"/>
                <w:b w:val="0"/>
                <w:bCs/>
                <w:color w:val="000000"/>
                <w:kern w:val="0"/>
                <w:sz w:val="24"/>
                <w:szCs w:val="24"/>
              </w:rPr>
              <w:t>分</w:t>
            </w: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B20</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家</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园</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区</w:t>
            </w:r>
          </w:p>
          <w:p>
            <w:pPr>
              <w:adjustRightInd w:val="0"/>
              <w:snapToGrid w:val="0"/>
              <w:jc w:val="center"/>
              <w:rPr>
                <w:rFonts w:ascii="仿宋_GB2312" w:eastAsia="仿宋_GB2312" w:cs="华文仿宋"/>
                <w:b w:val="0"/>
                <w:bCs/>
                <w:color w:val="000000"/>
                <w:kern w:val="0"/>
                <w:sz w:val="24"/>
                <w:szCs w:val="24"/>
                <w:lang w:eastAsia="en-US"/>
              </w:rPr>
            </w:pPr>
            <w:r>
              <w:rPr>
                <w:rFonts w:hint="eastAsia" w:ascii="仿宋_GB2312" w:eastAsia="仿宋_GB2312" w:cs="华文仿宋"/>
                <w:b w:val="0"/>
                <w:bCs/>
                <w:color w:val="000000"/>
                <w:kern w:val="0"/>
                <w:sz w:val="24"/>
                <w:szCs w:val="24"/>
              </w:rPr>
              <w:t>50</w:t>
            </w:r>
            <w:r>
              <w:rPr>
                <w:rFonts w:hint="eastAsia" w:ascii="仿宋_GB2312" w:eastAsia="仿宋_GB2312" w:cs="华文仿宋"/>
                <w:b w:val="0"/>
                <w:bCs/>
                <w:color w:val="000000"/>
                <w:kern w:val="0"/>
                <w:sz w:val="24"/>
                <w:szCs w:val="24"/>
                <w:lang w:eastAsia="en-US"/>
              </w:rPr>
              <w:t>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1</w:t>
            </w:r>
            <w:r>
              <w:rPr>
                <w:rFonts w:hint="eastAsia" w:ascii="仿宋_GB2312" w:eastAsia="仿宋_GB2312" w:cs="华文仿宋"/>
                <w:b w:val="0"/>
                <w:bCs/>
                <w:color w:val="000000"/>
                <w:kern w:val="0"/>
                <w:sz w:val="24"/>
                <w:szCs w:val="24"/>
              </w:rPr>
              <w:t>.机构与婴幼儿监护人签订托育服务协议，明确双方的责任、权利义务、服务项目、收费标准以及争议纠纷处理办法等内容。</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达到要求得30分，否则不得分。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bottom w:val="single" w:color="auto" w:sz="4" w:space="0"/>
              <w:right w:val="single" w:color="000000" w:sz="8" w:space="0"/>
            </w:tcBorders>
            <w:noWrap w:val="0"/>
            <w:vAlign w:val="center"/>
          </w:tcPr>
          <w:p>
            <w:pPr>
              <w:adjustRightInd w:val="0"/>
              <w:snapToGrid w:val="0"/>
              <w:spacing w:line="260" w:lineRule="exact"/>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楷体_GB2312" w:eastAsia="楷体_GB2312" w:cs="华文仿宋"/>
                <w:b w:val="0"/>
                <w:bCs/>
                <w:color w:val="000000"/>
                <w:kern w:val="0"/>
                <w:sz w:val="24"/>
              </w:rPr>
            </w:pP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2</w:t>
            </w:r>
            <w:r>
              <w:rPr>
                <w:rFonts w:hint="eastAsia" w:ascii="仿宋_GB2312" w:eastAsia="仿宋_GB2312" w:cs="华文仿宋"/>
                <w:b w:val="0"/>
                <w:bCs/>
                <w:color w:val="000000"/>
                <w:kern w:val="0"/>
                <w:sz w:val="24"/>
                <w:szCs w:val="24"/>
              </w:rPr>
              <w:t>.利用社区资源扩展婴幼儿学习空间，积极开展与家庭、社区共建；通过社区联动、“互联网+”等方式，为婴幼儿家庭提供养育指导；为社区提供公益性咨询服务；定期组织社区早期教育服务活动每年至少2次。</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现场座谈</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restart"/>
            <w:tcBorders>
              <w:top w:val="single" w:color="000000" w:sz="8" w:space="0"/>
              <w:left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B21</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社</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会</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评</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价</w:t>
            </w:r>
          </w:p>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50分</w:t>
            </w: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3</w:t>
            </w:r>
            <w:r>
              <w:rPr>
                <w:rFonts w:hint="eastAsia" w:ascii="仿宋_GB2312" w:eastAsia="仿宋_GB2312" w:cs="华文仿宋"/>
                <w:b w:val="0"/>
                <w:bCs/>
                <w:color w:val="000000"/>
                <w:kern w:val="0"/>
                <w:sz w:val="24"/>
                <w:szCs w:val="24"/>
              </w:rPr>
              <w:t>.机构办托质量高、声誉口碑好、家长满意度高。对机构从业人员、婴幼儿家长、社区居民开展满意度调查。</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现场座谈</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信息数据</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sz w:val="24"/>
                <w:szCs w:val="24"/>
              </w:rPr>
              <w:t>满意度90%以上得20分；满意度80—89%得15分；满意度70—79%得10分；满意度低于70%不得分。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31"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855" w:type="dxa"/>
            <w:vMerge w:val="continue"/>
            <w:tcBorders>
              <w:left w:val="single" w:color="000000" w:sz="8" w:space="0"/>
              <w:right w:val="single" w:color="000000" w:sz="8" w:space="0"/>
            </w:tcBorders>
            <w:noWrap w:val="0"/>
            <w:vAlign w:val="center"/>
          </w:tcPr>
          <w:p>
            <w:pPr>
              <w:adjustRightInd w:val="0"/>
              <w:snapToGrid w:val="0"/>
              <w:jc w:val="center"/>
              <w:rPr>
                <w:b w:val="0"/>
                <w:bCs/>
                <w:color w:val="000000"/>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楷体_GB2312" w:eastAsia="楷体_GB2312" w:cs="华文仿宋"/>
                <w:b w:val="0"/>
                <w:bCs/>
                <w:color w:val="000000"/>
                <w:kern w:val="0"/>
                <w:sz w:val="24"/>
              </w:rPr>
            </w:pPr>
            <w:r>
              <w:rPr>
                <w:rFonts w:hint="eastAsia" w:ascii="楷体_GB2312" w:eastAsia="楷体_GB2312" w:cs="华文仿宋"/>
                <w:b w:val="0"/>
                <w:bCs/>
                <w:color w:val="000000"/>
                <w:kern w:val="0"/>
                <w:sz w:val="24"/>
              </w:rPr>
              <w:t>▲</w:t>
            </w: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4</w:t>
            </w:r>
            <w:r>
              <w:rPr>
                <w:rFonts w:hint="eastAsia" w:ascii="仿宋_GB2312" w:eastAsia="仿宋_GB2312" w:cs="华文仿宋"/>
                <w:b w:val="0"/>
                <w:bCs/>
                <w:color w:val="000000"/>
                <w:kern w:val="0"/>
                <w:sz w:val="24"/>
                <w:szCs w:val="24"/>
              </w:rPr>
              <w:t>.设置一定规模的普惠性托位。</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普惠性托位占50%以上得20分；30—50%得10分；30%以下得5分，无普惠性托位不得分。</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31" w:type="dxa"/>
            <w:vMerge w:val="continue"/>
            <w:tcBorders>
              <w:left w:val="single" w:color="000000" w:sz="8" w:space="0"/>
              <w:bottom w:val="single" w:color="auto" w:sz="4"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855" w:type="dxa"/>
            <w:vMerge w:val="continue"/>
            <w:tcBorders>
              <w:left w:val="single" w:color="000000" w:sz="8" w:space="0"/>
              <w:bottom w:val="single" w:color="auto" w:sz="4"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633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left"/>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5</w:t>
            </w:r>
            <w:r>
              <w:rPr>
                <w:rFonts w:hint="eastAsia" w:ascii="仿宋_GB2312" w:eastAsia="仿宋_GB2312" w:cs="华文仿宋"/>
                <w:b w:val="0"/>
                <w:bCs/>
                <w:color w:val="000000"/>
                <w:kern w:val="0"/>
                <w:sz w:val="24"/>
                <w:szCs w:val="24"/>
                <w:lang w:val="en-US" w:eastAsia="zh-CN"/>
              </w:rPr>
              <w:t>5</w:t>
            </w:r>
            <w:r>
              <w:rPr>
                <w:rFonts w:hint="eastAsia" w:ascii="仿宋_GB2312" w:eastAsia="仿宋_GB2312" w:cs="华文仿宋"/>
                <w:b w:val="0"/>
                <w:bCs/>
                <w:color w:val="000000"/>
                <w:kern w:val="0"/>
                <w:sz w:val="24"/>
                <w:szCs w:val="24"/>
              </w:rPr>
              <w:t>.在办园思想、机构管理、保育照护等方面起到示范作用；积极为其他机构提供机构管理和队伍培养等方面的帮扶与指导。</w:t>
            </w:r>
          </w:p>
        </w:tc>
        <w:tc>
          <w:tcPr>
            <w:tcW w:w="5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kern w:val="0"/>
                <w:sz w:val="24"/>
                <w:szCs w:val="24"/>
              </w:rPr>
            </w:pPr>
            <w:r>
              <w:rPr>
                <w:rFonts w:hint="eastAsia" w:ascii="仿宋_GB2312" w:eastAsia="仿宋_GB2312" w:cs="华文仿宋"/>
                <w:b w:val="0"/>
                <w:bCs/>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rPr>
                <w:rFonts w:ascii="仿宋_GB2312" w:eastAsia="仿宋_GB2312" w:cs="华文仿宋"/>
                <w:b w:val="0"/>
                <w:bCs/>
                <w:color w:val="000000"/>
                <w:sz w:val="24"/>
                <w:szCs w:val="24"/>
              </w:rPr>
            </w:pPr>
            <w:r>
              <w:rPr>
                <w:rFonts w:hint="eastAsia" w:ascii="仿宋_GB2312" w:eastAsia="仿宋_GB2312" w:cs="华文仿宋"/>
                <w:b w:val="0"/>
                <w:bCs/>
                <w:color w:val="000000"/>
                <w:sz w:val="24"/>
                <w:szCs w:val="24"/>
              </w:rPr>
              <w:t>全部达到要求得10分；每1项不达要求扣5分，扣完为止。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jc w:val="center"/>
              <w:rPr>
                <w:rFonts w:ascii="仿宋_GB2312" w:eastAsia="仿宋_GB2312" w:cs="华文仿宋"/>
                <w:b w:val="0"/>
                <w:bCs/>
                <w:color w:val="000000"/>
                <w:kern w:val="0"/>
                <w:sz w:val="24"/>
                <w:szCs w:val="24"/>
              </w:rPr>
            </w:pPr>
          </w:p>
        </w:tc>
      </w:tr>
    </w:tbl>
    <w:p>
      <w:pPr>
        <w:adjustRightInd w:val="0"/>
        <w:snapToGrid w:val="0"/>
        <w:spacing w:before="162" w:beforeLines="50" w:line="3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注：1.评估标准共</w:t>
      </w:r>
      <w:r>
        <w:rPr>
          <w:rFonts w:hint="eastAsia" w:ascii="仿宋_GB2312" w:hAnsi="仿宋_GB2312" w:eastAsia="仿宋_GB2312" w:cs="仿宋_GB2312"/>
          <w:color w:val="000000"/>
          <w:kern w:val="0"/>
          <w:sz w:val="24"/>
          <w:highlight w:val="none"/>
        </w:rPr>
        <w:t>5</w:t>
      </w:r>
      <w:r>
        <w:rPr>
          <w:rFonts w:hint="eastAsia" w:ascii="仿宋_GB2312" w:hAnsi="仿宋_GB2312" w:eastAsia="仿宋_GB2312" w:cs="仿宋_GB2312"/>
          <w:color w:val="000000"/>
          <w:kern w:val="0"/>
          <w:sz w:val="24"/>
          <w:highlight w:val="none"/>
          <w:lang w:val="en-US" w:eastAsia="zh-CN"/>
        </w:rPr>
        <w:t>5</w:t>
      </w:r>
      <w:r>
        <w:rPr>
          <w:rFonts w:hint="eastAsia" w:ascii="仿宋_GB2312" w:hAnsi="仿宋_GB2312" w:eastAsia="仿宋_GB2312" w:cs="仿宋_GB2312"/>
          <w:color w:val="000000"/>
          <w:kern w:val="0"/>
          <w:sz w:val="24"/>
          <w:highlight w:val="none"/>
        </w:rPr>
        <w:t>项，合计1000分。标“★”项为必备条件，共</w:t>
      </w:r>
      <w:r>
        <w:rPr>
          <w:rFonts w:hint="eastAsia" w:ascii="仿宋_GB2312" w:hAnsi="仿宋_GB2312" w:eastAsia="仿宋_GB2312" w:cs="仿宋_GB2312"/>
          <w:color w:val="000000"/>
          <w:kern w:val="0"/>
          <w:sz w:val="24"/>
          <w:highlight w:val="none"/>
          <w:lang w:val="en-US" w:eastAsia="zh-CN"/>
        </w:rPr>
        <w:t>4</w:t>
      </w:r>
      <w:r>
        <w:rPr>
          <w:rFonts w:hint="eastAsia" w:ascii="仿宋_GB2312" w:hAnsi="仿宋_GB2312" w:eastAsia="仿宋_GB2312" w:cs="仿宋_GB2312"/>
          <w:color w:val="000000"/>
          <w:kern w:val="0"/>
          <w:sz w:val="24"/>
          <w:highlight w:val="none"/>
        </w:rPr>
        <w:t>项</w:t>
      </w:r>
      <w:r>
        <w:rPr>
          <w:rFonts w:hint="eastAsia" w:ascii="仿宋_GB2312" w:hAnsi="仿宋_GB2312" w:eastAsia="仿宋_GB2312" w:cs="仿宋_GB2312"/>
          <w:color w:val="000000"/>
          <w:kern w:val="0"/>
          <w:sz w:val="24"/>
        </w:rPr>
        <w:t>；标“▲”项为核心指标，共</w:t>
      </w:r>
      <w:r>
        <w:rPr>
          <w:rFonts w:hint="eastAsia" w:ascii="仿宋_GB2312" w:hAnsi="仿宋_GB2312" w:eastAsia="仿宋_GB2312" w:cs="仿宋_GB2312"/>
          <w:color w:val="000000"/>
          <w:kern w:val="0"/>
          <w:sz w:val="24"/>
          <w:lang w:val="en-US" w:eastAsia="zh-CN"/>
        </w:rPr>
        <w:t>25</w:t>
      </w:r>
      <w:r>
        <w:rPr>
          <w:rFonts w:hint="eastAsia" w:ascii="仿宋_GB2312" w:hAnsi="仿宋_GB2312" w:eastAsia="仿宋_GB2312" w:cs="仿宋_GB2312"/>
          <w:color w:val="000000"/>
          <w:kern w:val="0"/>
          <w:sz w:val="24"/>
        </w:rPr>
        <w:t>项，计5</w:t>
      </w:r>
      <w:r>
        <w:rPr>
          <w:rFonts w:hint="eastAsia" w:ascii="仿宋_GB2312" w:hAnsi="仿宋_GB2312" w:eastAsia="仿宋_GB2312" w:cs="仿宋_GB2312"/>
          <w:color w:val="000000"/>
          <w:kern w:val="0"/>
          <w:sz w:val="24"/>
          <w:lang w:val="en-US" w:eastAsia="zh-CN"/>
        </w:rPr>
        <w:t>6</w:t>
      </w:r>
      <w:r>
        <w:rPr>
          <w:rFonts w:hint="eastAsia" w:ascii="仿宋_GB2312" w:hAnsi="仿宋_GB2312" w:eastAsia="仿宋_GB2312" w:cs="仿宋_GB2312"/>
          <w:color w:val="000000"/>
          <w:kern w:val="0"/>
          <w:sz w:val="24"/>
        </w:rPr>
        <w:t>0分。</w:t>
      </w:r>
    </w:p>
    <w:p>
      <w:pPr>
        <w:pStyle w:val="4"/>
        <w:autoSpaceDE w:val="0"/>
        <w:autoSpaceDN w:val="0"/>
        <w:adjustRightInd w:val="0"/>
        <w:snapToGrid w:val="0"/>
        <w:spacing w:after="0" w:line="3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2.评选有</w:t>
      </w:r>
      <w:r>
        <w:rPr>
          <w:rFonts w:hint="eastAsia" w:ascii="仿宋_GB2312" w:hAnsi="仿宋_GB2312" w:eastAsia="仿宋_GB2312" w:cs="仿宋_GB2312"/>
          <w:color w:val="000000"/>
          <w:kern w:val="0"/>
          <w:sz w:val="24"/>
          <w:lang w:val="en-US" w:eastAsia="zh-CN"/>
        </w:rPr>
        <w:t>4</w:t>
      </w:r>
      <w:r>
        <w:rPr>
          <w:rFonts w:hint="eastAsia" w:ascii="仿宋_GB2312" w:hAnsi="仿宋_GB2312" w:eastAsia="仿宋_GB2312" w:cs="仿宋_GB2312"/>
          <w:color w:val="000000"/>
          <w:kern w:val="0"/>
          <w:sz w:val="24"/>
        </w:rPr>
        <w:t>项</w:t>
      </w:r>
      <w:r>
        <w:rPr>
          <w:rFonts w:hint="eastAsia" w:ascii="仿宋_GB2312" w:hAnsi="仿宋_GB2312" w:eastAsia="仿宋_GB2312" w:cs="仿宋_GB2312"/>
          <w:color w:val="000000"/>
          <w:kern w:val="0"/>
          <w:sz w:val="24"/>
          <w:szCs w:val="22"/>
        </w:rPr>
        <w:t>必备条件，有一项达不到的</w:t>
      </w:r>
      <w:r>
        <w:rPr>
          <w:rFonts w:hint="eastAsia" w:ascii="仿宋_GB2312" w:hAnsi="仿宋_GB2312" w:eastAsia="仿宋_GB2312" w:cs="仿宋_GB2312"/>
          <w:color w:val="000000"/>
          <w:kern w:val="0"/>
          <w:sz w:val="24"/>
        </w:rPr>
        <w:t>，不得被评为广西示范性托育机构。</w:t>
      </w:r>
    </w:p>
    <w:p>
      <w:pPr>
        <w:pStyle w:val="3"/>
        <w:spacing w:line="300" w:lineRule="exact"/>
        <w:ind w:left="0"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3.托育机构核心指标得分不得低于90%。</w:t>
      </w:r>
    </w:p>
    <w:p>
      <w:pPr>
        <w:pStyle w:val="3"/>
        <w:spacing w:line="300" w:lineRule="exact"/>
        <w:ind w:left="0" w:firstLine="480" w:firstLineChars="200"/>
        <w:rPr>
          <w:rFonts w:ascii="仿宋_GB2312" w:hAnsi="仿宋_GB2312" w:eastAsia="仿宋_GB2312" w:cs="仿宋_GB2312"/>
          <w:color w:val="000000"/>
          <w:kern w:val="0"/>
          <w:sz w:val="24"/>
        </w:rPr>
        <w:sectPr>
          <w:pgSz w:w="16838" w:h="11905" w:orient="landscape"/>
          <w:pgMar w:top="1701" w:right="1417" w:bottom="1417" w:left="1417" w:header="850" w:footer="992" w:gutter="0"/>
          <w:pgNumType w:fmt="decimal"/>
          <w:cols w:space="720" w:num="1"/>
          <w:rtlGutter w:val="0"/>
          <w:docGrid w:type="lines" w:linePitch="325" w:charSpace="0"/>
        </w:sectPr>
      </w:pPr>
    </w:p>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附件3</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广西示范性托育机构自评报告</w:t>
      </w:r>
    </w:p>
    <w:p>
      <w:pPr>
        <w:adjustRightInd w:val="0"/>
        <w:snapToGrid w:val="0"/>
        <w:rPr>
          <w:rFonts w:ascii="仿宋_GB2312" w:eastAsia="仿宋_GB2312" w:cs="华文仿宋"/>
          <w:color w:val="000000"/>
          <w:kern w:val="0"/>
          <w:sz w:val="32"/>
          <w:szCs w:val="32"/>
        </w:rPr>
      </w:pPr>
    </w:p>
    <w:p>
      <w:pPr>
        <w:adjustRightInd w:val="0"/>
        <w:snapToGrid w:val="0"/>
        <w:rPr>
          <w:rFonts w:ascii="仿宋_GB2312" w:eastAsia="仿宋_GB2312" w:cs="华文仿宋"/>
          <w:color w:val="000000"/>
          <w:kern w:val="0"/>
          <w:sz w:val="32"/>
          <w:szCs w:val="32"/>
          <w:u w:val="single"/>
        </w:rPr>
      </w:pPr>
      <w:r>
        <w:rPr>
          <w:rFonts w:hint="eastAsia" w:ascii="仿宋_GB2312" w:eastAsia="仿宋_GB2312" w:cs="华文仿宋"/>
          <w:color w:val="000000"/>
          <w:kern w:val="0"/>
          <w:sz w:val="32"/>
          <w:szCs w:val="32"/>
        </w:rPr>
        <w:t xml:space="preserve">托育机构名称：                                         </w:t>
      </w:r>
      <w:r>
        <w:rPr>
          <w:rFonts w:hint="eastAsia" w:ascii="仿宋_GB2312" w:eastAsia="仿宋_GB2312" w:cs="华文仿宋"/>
          <w:color w:val="000000"/>
          <w:kern w:val="0"/>
          <w:sz w:val="32"/>
          <w:szCs w:val="32"/>
          <w:u w:val="single"/>
        </w:rPr>
        <w:t xml:space="preserve">  </w:t>
      </w:r>
    </w:p>
    <w:tbl>
      <w:tblPr>
        <w:tblStyle w:val="10"/>
        <w:tblW w:w="969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92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vMerge w:val="restart"/>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自评分数</w:t>
            </w:r>
          </w:p>
        </w:tc>
        <w:tc>
          <w:tcPr>
            <w:tcW w:w="2925"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           分</w:t>
            </w:r>
          </w:p>
        </w:tc>
        <w:tc>
          <w:tcPr>
            <w:tcW w:w="2965"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           分</w:t>
            </w:r>
          </w:p>
        </w:tc>
        <w:tc>
          <w:tcPr>
            <w:tcW w:w="2966"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vMerge w:val="continue"/>
            <w:noWrap w:val="0"/>
            <w:vAlign w:val="center"/>
          </w:tcPr>
          <w:p>
            <w:pPr>
              <w:rPr>
                <w:color w:val="000000"/>
              </w:rPr>
            </w:pPr>
          </w:p>
        </w:tc>
        <w:tc>
          <w:tcPr>
            <w:tcW w:w="2925"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           分</w:t>
            </w:r>
          </w:p>
        </w:tc>
        <w:tc>
          <w:tcPr>
            <w:tcW w:w="2965"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           分</w:t>
            </w:r>
          </w:p>
        </w:tc>
        <w:tc>
          <w:tcPr>
            <w:tcW w:w="2966"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4" w:type="dxa"/>
            <w:vMerge w:val="continue"/>
            <w:noWrap w:val="0"/>
            <w:vAlign w:val="top"/>
          </w:tcPr>
          <w:p>
            <w:pPr>
              <w:rPr>
                <w:color w:val="000000"/>
              </w:rPr>
            </w:pPr>
          </w:p>
        </w:tc>
        <w:tc>
          <w:tcPr>
            <w:tcW w:w="5890" w:type="dxa"/>
            <w:gridSpan w:val="2"/>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c>
          <w:tcPr>
            <w:tcW w:w="2966" w:type="dxa"/>
            <w:noWrap w:val="0"/>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自评总分：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3" w:hRule="atLeast"/>
        </w:trPr>
        <w:tc>
          <w:tcPr>
            <w:tcW w:w="834" w:type="dxa"/>
            <w:noWrap w:val="0"/>
            <w:textDirection w:val="tbRlV"/>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工  作  总  结</w:t>
            </w:r>
          </w:p>
        </w:tc>
        <w:tc>
          <w:tcPr>
            <w:tcW w:w="8856" w:type="dxa"/>
            <w:gridSpan w:val="3"/>
            <w:noWrap w:val="0"/>
            <w:vAlign w:val="top"/>
          </w:tcPr>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lef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spacing w:line="4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托育机构主要负责人签字：</w:t>
            </w:r>
          </w:p>
          <w:p>
            <w:pPr>
              <w:adjustRightInd w:val="0"/>
              <w:snapToGrid w:val="0"/>
              <w:spacing w:line="400" w:lineRule="exact"/>
              <w:ind w:firstLine="1200" w:firstLineChars="5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（托育机构盖章）                联系电话：</w:t>
            </w: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年  月  日</w:t>
            </w:r>
          </w:p>
        </w:tc>
      </w:tr>
    </w:tbl>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附件4</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广西示范性托育机构县（市、区）初审报告</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托育机构名称：</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初审时间：                  初审单位：</w:t>
      </w:r>
    </w:p>
    <w:tbl>
      <w:tblPr>
        <w:tblStyle w:val="10"/>
        <w:tblW w:w="95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679"/>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5" w:type="dxa"/>
            <w:vMerge w:val="restart"/>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县（市、区）卫生健康主管部门初审意见</w:t>
            </w:r>
          </w:p>
        </w:tc>
        <w:tc>
          <w:tcPr>
            <w:tcW w:w="3679" w:type="dxa"/>
            <w:tcBorders>
              <w:bottom w:val="single" w:color="auto" w:sz="4" w:space="0"/>
              <w:right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必备条件项目：           项</w:t>
            </w:r>
          </w:p>
        </w:tc>
        <w:tc>
          <w:tcPr>
            <w:tcW w:w="5152" w:type="dxa"/>
            <w:tcBorders>
              <w:left w:val="single" w:color="auto" w:sz="4" w:space="0"/>
              <w:bottom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5" w:type="dxa"/>
            <w:vMerge w:val="continue"/>
            <w:noWrap w:val="0"/>
            <w:vAlign w:val="center"/>
          </w:tcPr>
          <w:p>
            <w:pPr>
              <w:rPr>
                <w:color w:val="000000"/>
              </w:rPr>
            </w:pPr>
          </w:p>
        </w:tc>
        <w:tc>
          <w:tcPr>
            <w:tcW w:w="8831" w:type="dxa"/>
            <w:gridSpan w:val="2"/>
            <w:tcBorders>
              <w:top w:val="single" w:color="auto" w:sz="4" w:space="0"/>
              <w:bottom w:val="single" w:color="auto" w:sz="4" w:space="0"/>
            </w:tcBorders>
            <w:noWrap w:val="0"/>
            <w:vAlign w:val="center"/>
          </w:tcPr>
          <w:p>
            <w:pPr>
              <w:adjustRightInd w:val="0"/>
              <w:snapToGrid w:val="0"/>
              <w:spacing w:line="44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初审得分：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725" w:type="dxa"/>
            <w:vMerge w:val="continue"/>
            <w:noWrap w:val="0"/>
            <w:vAlign w:val="center"/>
          </w:tcPr>
          <w:p>
            <w:pPr>
              <w:rPr>
                <w:color w:val="000000"/>
              </w:rPr>
            </w:pPr>
          </w:p>
        </w:tc>
        <w:tc>
          <w:tcPr>
            <w:tcW w:w="8831" w:type="dxa"/>
            <w:gridSpan w:val="2"/>
            <w:tcBorders>
              <w:top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初审意见：</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spacing w:line="560" w:lineRule="exact"/>
              <w:ind w:firstLine="480" w:firstLineChars="2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单位（盖章）：               </w:t>
            </w:r>
          </w:p>
          <w:p>
            <w:pPr>
              <w:adjustRightInd w:val="0"/>
              <w:snapToGrid w:val="0"/>
              <w:spacing w:line="560" w:lineRule="exact"/>
              <w:ind w:firstLine="6840" w:firstLineChars="2850"/>
              <w:rPr>
                <w:rFonts w:ascii="仿宋_GB2312" w:eastAsia="仿宋_GB2312" w:cs="华文仿宋"/>
                <w:color w:val="000000"/>
                <w:kern w:val="0"/>
                <w:sz w:val="32"/>
                <w:szCs w:val="32"/>
              </w:rPr>
            </w:pPr>
            <w:r>
              <w:rPr>
                <w:rFonts w:hint="eastAsia" w:ascii="仿宋_GB2312" w:eastAsia="仿宋_GB2312" w:cs="华文仿宋"/>
                <w:color w:val="000000"/>
                <w:kern w:val="0"/>
                <w:sz w:val="24"/>
                <w:szCs w:val="24"/>
              </w:rPr>
              <w:t>年   月   日</w:t>
            </w:r>
          </w:p>
        </w:tc>
      </w:tr>
    </w:tbl>
    <w:p>
      <w:pPr>
        <w:autoSpaceDE w:val="0"/>
        <w:autoSpaceDN w:val="0"/>
        <w:adjustRightInd w:val="0"/>
        <w:snapToGrid w:val="0"/>
        <w:spacing w:line="360" w:lineRule="auto"/>
        <w:rPr>
          <w:rFonts w:ascii="黑体" w:eastAsia="黑体" w:cs="仿宋"/>
          <w:snapToGrid w:val="0"/>
          <w:color w:val="000000"/>
          <w:kern w:val="0"/>
          <w:sz w:val="32"/>
        </w:rPr>
      </w:pPr>
    </w:p>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附件5</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广西示范性托育机构设区市审核验收报告</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托育机构名称：</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验收时间：                  验收单位：</w:t>
      </w:r>
    </w:p>
    <w:tbl>
      <w:tblPr>
        <w:tblStyle w:val="10"/>
        <w:tblW w:w="95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679"/>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725" w:type="dxa"/>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w:t>
            </w:r>
          </w:p>
        </w:tc>
        <w:tc>
          <w:tcPr>
            <w:tcW w:w="8831" w:type="dxa"/>
            <w:gridSpan w:val="2"/>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5" w:type="dxa"/>
            <w:vMerge w:val="restart"/>
            <w:noWrap w:val="0"/>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设区市卫生健康主管部门验收意见</w:t>
            </w:r>
          </w:p>
        </w:tc>
        <w:tc>
          <w:tcPr>
            <w:tcW w:w="3679" w:type="dxa"/>
            <w:tcBorders>
              <w:bottom w:val="single" w:color="auto" w:sz="4" w:space="0"/>
              <w:right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必备条件项目：           项</w:t>
            </w:r>
          </w:p>
        </w:tc>
        <w:tc>
          <w:tcPr>
            <w:tcW w:w="5152" w:type="dxa"/>
            <w:tcBorders>
              <w:left w:val="single" w:color="auto" w:sz="4" w:space="0"/>
              <w:bottom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5" w:type="dxa"/>
            <w:vMerge w:val="continue"/>
            <w:noWrap w:val="0"/>
            <w:vAlign w:val="center"/>
          </w:tcPr>
          <w:p>
            <w:pPr>
              <w:rPr>
                <w:color w:val="000000"/>
              </w:rPr>
            </w:pPr>
          </w:p>
        </w:tc>
        <w:tc>
          <w:tcPr>
            <w:tcW w:w="8831" w:type="dxa"/>
            <w:gridSpan w:val="2"/>
            <w:tcBorders>
              <w:top w:val="single" w:color="auto" w:sz="4" w:space="0"/>
              <w:bottom w:val="single" w:color="auto" w:sz="4" w:space="0"/>
            </w:tcBorders>
            <w:noWrap w:val="0"/>
            <w:vAlign w:val="center"/>
          </w:tcPr>
          <w:p>
            <w:pPr>
              <w:adjustRightInd w:val="0"/>
              <w:snapToGrid w:val="0"/>
              <w:spacing w:line="44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验收得分：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725" w:type="dxa"/>
            <w:vMerge w:val="continue"/>
            <w:noWrap w:val="0"/>
            <w:vAlign w:val="center"/>
          </w:tcPr>
          <w:p>
            <w:pPr>
              <w:rPr>
                <w:color w:val="000000"/>
              </w:rPr>
            </w:pPr>
          </w:p>
        </w:tc>
        <w:tc>
          <w:tcPr>
            <w:tcW w:w="8831" w:type="dxa"/>
            <w:gridSpan w:val="2"/>
            <w:tcBorders>
              <w:top w:val="single" w:color="auto" w:sz="4" w:space="0"/>
            </w:tcBorders>
            <w:noWrap w:val="0"/>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验收意见：</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spacing w:line="560" w:lineRule="exact"/>
              <w:ind w:firstLine="480" w:firstLineChars="2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单位（盖章）：               </w:t>
            </w:r>
          </w:p>
          <w:p>
            <w:pPr>
              <w:adjustRightInd w:val="0"/>
              <w:snapToGrid w:val="0"/>
              <w:spacing w:line="560" w:lineRule="exact"/>
              <w:ind w:firstLine="6840" w:firstLineChars="2850"/>
              <w:rPr>
                <w:rFonts w:ascii="仿宋_GB2312" w:eastAsia="仿宋_GB2312" w:cs="华文仿宋"/>
                <w:color w:val="000000"/>
                <w:kern w:val="0"/>
                <w:sz w:val="32"/>
                <w:szCs w:val="32"/>
              </w:rPr>
            </w:pPr>
            <w:r>
              <w:rPr>
                <w:rFonts w:hint="eastAsia" w:ascii="仿宋_GB2312" w:eastAsia="仿宋_GB2312" w:cs="华文仿宋"/>
                <w:color w:val="000000"/>
                <w:kern w:val="0"/>
                <w:sz w:val="24"/>
                <w:szCs w:val="24"/>
              </w:rPr>
              <w:t>年   月   日</w:t>
            </w:r>
          </w:p>
        </w:tc>
      </w:tr>
    </w:tbl>
    <w:p>
      <w:pPr>
        <w:adjustRightInd w:val="0"/>
        <w:snapToGrid w:val="0"/>
        <w:jc w:val="right"/>
        <w:rPr>
          <w:rFonts w:ascii="仿宋_GB2312" w:eastAsia="仿宋_GB2312" w:cs="华文仿宋"/>
          <w:color w:val="000000"/>
          <w:kern w:val="0"/>
          <w:sz w:val="24"/>
        </w:rPr>
        <w:sectPr>
          <w:pgSz w:w="11905" w:h="16838"/>
          <w:pgMar w:top="1701" w:right="1417" w:bottom="1417" w:left="1701" w:header="850" w:footer="992" w:gutter="0"/>
          <w:pgNumType w:fmt="decimal"/>
          <w:cols w:space="720" w:num="1"/>
          <w:rtlGutter w:val="0"/>
          <w:docGrid w:type="lines" w:linePitch="325" w:charSpace="0"/>
        </w:sectPr>
      </w:pPr>
    </w:p>
    <w:p>
      <w:pPr>
        <w:autoSpaceDE w:val="0"/>
        <w:autoSpaceDN w:val="0"/>
        <w:adjustRightInd w:val="0"/>
        <w:snapToGrid w:val="0"/>
        <w:spacing w:line="500" w:lineRule="exact"/>
        <w:rPr>
          <w:rFonts w:ascii="黑体" w:eastAsia="黑体" w:cs="仿宋"/>
          <w:snapToGrid w:val="0"/>
          <w:color w:val="000000"/>
          <w:kern w:val="0"/>
          <w:sz w:val="32"/>
        </w:rPr>
      </w:pPr>
      <w:r>
        <w:rPr>
          <w:rFonts w:hint="eastAsia" w:ascii="黑体" w:eastAsia="黑体" w:cs="仿宋"/>
          <w:snapToGrid w:val="0"/>
          <w:color w:val="000000"/>
          <w:kern w:val="0"/>
          <w:sz w:val="32"/>
        </w:rPr>
        <w:t>附件6</w:t>
      </w:r>
      <w:bookmarkStart w:id="0" w:name="_GoBack"/>
      <w:bookmarkEnd w:id="0"/>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广西示范性托育机构评估设区市汇总表</w:t>
      </w:r>
    </w:p>
    <w:p>
      <w:pPr>
        <w:tabs>
          <w:tab w:val="left" w:pos="630"/>
        </w:tabs>
        <w:spacing w:line="560" w:lineRule="exact"/>
        <w:jc w:val="left"/>
        <w:rPr>
          <w:rFonts w:ascii="方正小标宋简体" w:eastAsia="方正小标宋简体" w:cs="华文中宋"/>
          <w:snapToGrid w:val="0"/>
          <w:color w:val="000000"/>
          <w:sz w:val="36"/>
          <w:szCs w:val="36"/>
        </w:rPr>
      </w:pPr>
      <w:r>
        <w:rPr>
          <w:rFonts w:hint="eastAsia" w:ascii="楷体_GB2312" w:eastAsia="楷体_GB2312" w:cs="仿宋"/>
          <w:snapToGrid w:val="0"/>
          <w:color w:val="000000"/>
          <w:sz w:val="28"/>
          <w:szCs w:val="28"/>
        </w:rPr>
        <w:t>验收单位（盖章）：                 联系人：               联系电话：          填报时间：   年  月  日</w:t>
      </w:r>
    </w:p>
    <w:tbl>
      <w:tblPr>
        <w:tblStyle w:val="10"/>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4053"/>
        <w:gridCol w:w="3119"/>
        <w:gridCol w:w="1731"/>
        <w:gridCol w:w="1559"/>
        <w:gridCol w:w="1276"/>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1" w:type="dxa"/>
            <w:noWrap w:val="0"/>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序号</w:t>
            </w:r>
          </w:p>
        </w:tc>
        <w:tc>
          <w:tcPr>
            <w:tcW w:w="4053" w:type="dxa"/>
            <w:noWrap w:val="0"/>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机构名称</w:t>
            </w:r>
          </w:p>
        </w:tc>
        <w:tc>
          <w:tcPr>
            <w:tcW w:w="3119" w:type="dxa"/>
            <w:noWrap w:val="0"/>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机构负责人及联系方式</w:t>
            </w:r>
          </w:p>
        </w:tc>
        <w:tc>
          <w:tcPr>
            <w:tcW w:w="1731" w:type="dxa"/>
            <w:noWrap w:val="0"/>
            <w:vAlign w:val="center"/>
          </w:tcPr>
          <w:p>
            <w:pPr>
              <w:autoSpaceDE w:val="0"/>
              <w:autoSpaceDN w:val="0"/>
              <w:adjustRightInd w:val="0"/>
              <w:snapToGrid w:val="0"/>
              <w:jc w:val="center"/>
              <w:rPr>
                <w:rFonts w:hint="eastAsia" w:ascii="黑体" w:hAnsi="黑体" w:eastAsia="黑体" w:cs="黑体"/>
                <w:snapToGrid w:val="0"/>
                <w:color w:val="000000"/>
                <w:kern w:val="0"/>
                <w:sz w:val="24"/>
              </w:rPr>
            </w:pPr>
            <w:r>
              <w:rPr>
                <w:rFonts w:hint="eastAsia" w:ascii="黑体" w:hAnsi="黑体" w:eastAsia="黑体" w:cs="黑体"/>
                <w:snapToGrid w:val="0"/>
                <w:color w:val="000000"/>
                <w:kern w:val="0"/>
                <w:sz w:val="24"/>
              </w:rPr>
              <w:t>所在</w:t>
            </w:r>
          </w:p>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县（</w:t>
            </w:r>
            <w:r>
              <w:rPr>
                <w:rFonts w:hint="eastAsia" w:ascii="黑体" w:hAnsi="黑体" w:eastAsia="黑体" w:cs="黑体"/>
                <w:snapToGrid w:val="0"/>
                <w:color w:val="000000"/>
                <w:kern w:val="0"/>
                <w:sz w:val="24"/>
                <w:lang w:eastAsia="zh-CN"/>
              </w:rPr>
              <w:t>市、</w:t>
            </w:r>
            <w:r>
              <w:rPr>
                <w:rFonts w:hint="eastAsia" w:ascii="黑体" w:hAnsi="黑体" w:eastAsia="黑体" w:cs="黑体"/>
                <w:snapToGrid w:val="0"/>
                <w:color w:val="000000"/>
                <w:kern w:val="0"/>
                <w:sz w:val="24"/>
              </w:rPr>
              <w:t>区）</w:t>
            </w:r>
          </w:p>
        </w:tc>
        <w:tc>
          <w:tcPr>
            <w:tcW w:w="1559" w:type="dxa"/>
            <w:noWrap w:val="0"/>
            <w:vAlign w:val="center"/>
          </w:tcPr>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必备条件</w:t>
            </w:r>
          </w:p>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color w:val="000000"/>
                <w:kern w:val="0"/>
                <w:sz w:val="24"/>
                <w:szCs w:val="24"/>
              </w:rPr>
              <w:t xml:space="preserve">项目         </w:t>
            </w:r>
          </w:p>
        </w:tc>
        <w:tc>
          <w:tcPr>
            <w:tcW w:w="1276" w:type="dxa"/>
            <w:noWrap w:val="0"/>
            <w:vAlign w:val="center"/>
          </w:tcPr>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核心指标</w:t>
            </w:r>
          </w:p>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得分</w:t>
            </w:r>
          </w:p>
        </w:tc>
        <w:tc>
          <w:tcPr>
            <w:tcW w:w="1671" w:type="dxa"/>
            <w:noWrap w:val="0"/>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color w:val="000000"/>
                <w:kern w:val="0"/>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noWrap w:val="0"/>
            <w:vAlign w:val="center"/>
          </w:tcPr>
          <w:p>
            <w:pPr>
              <w:autoSpaceDE w:val="0"/>
              <w:autoSpaceDN w:val="0"/>
              <w:adjustRightInd w:val="0"/>
              <w:snapToGrid w:val="0"/>
              <w:jc w:val="center"/>
              <w:rPr>
                <w:rFonts w:ascii="仿宋_GB2312" w:eastAsia="仿宋_GB2312" w:cs="仿宋"/>
                <w:snapToGrid w:val="0"/>
                <w:color w:val="000000"/>
                <w:kern w:val="0"/>
                <w:sz w:val="24"/>
              </w:rPr>
            </w:pPr>
          </w:p>
        </w:tc>
      </w:tr>
    </w:tbl>
    <w:p>
      <w:pPr>
        <w:pStyle w:val="24"/>
        <w:adjustRightInd w:val="0"/>
        <w:snapToGrid w:val="0"/>
        <w:spacing w:line="560" w:lineRule="exact"/>
        <w:rPr>
          <w:rFonts w:ascii="仿宋_GB2312" w:hAnsi="黑体" w:eastAsia="仿宋_GB2312"/>
          <w:color w:val="000000"/>
          <w:sz w:val="32"/>
          <w:szCs w:val="32"/>
        </w:rPr>
      </w:pPr>
    </w:p>
    <w:sectPr>
      <w:headerReference r:id="rId6" w:type="default"/>
      <w:footerReference r:id="rId7" w:type="default"/>
      <w:pgSz w:w="16838" w:h="11905" w:orient="landscape"/>
      <w:pgMar w:top="1701" w:right="1417" w:bottom="1417" w:left="1417" w:header="850" w:footer="992" w:gutter="0"/>
      <w:pgNumType w:fmt="decimal"/>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华文仿宋">
    <w:altName w:val="仿宋"/>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cs="宋体"/>
        <w:sz w:val="28"/>
        <w:szCs w:val="28"/>
      </w:rPr>
    </w:pPr>
    <w:r>
      <w:rPr>
        <w:rFonts w:ascii="Calibri" w:hAnsi="Calibri"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wordWrap w:val="0"/>
                            <w:jc w:val="right"/>
                          </w:pPr>
                        </w:p>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FPzh+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y&#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FPzh+IBAADMAwAADgAA&#10;AAAAAAABACAAAAAeAQAAZHJzL2Uyb0RvYy54bWxQSwUGAAAAAAYABgBZAQAAcgUAAAAA&#10;">
              <v:fill on="f" focussize="0,0"/>
              <v:stroke on="f"/>
              <v:imagedata o:title=""/>
              <o:lock v:ext="edit" aspectratio="f"/>
              <v:textbox inset="0mm,0mm,0mm,0mm" style="mso-fit-shape-to-text:t;">
                <w:txbxContent>
                  <w:p>
                    <w:pPr>
                      <w:pStyle w:val="2"/>
                      <w:wordWrap w:val="0"/>
                      <w:jc w:val="righ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 </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06B2969"/>
    <w:rsid w:val="000146DC"/>
    <w:rsid w:val="00017307"/>
    <w:rsid w:val="00023BBA"/>
    <w:rsid w:val="00035CC7"/>
    <w:rsid w:val="00042FDD"/>
    <w:rsid w:val="000940F7"/>
    <w:rsid w:val="000A5522"/>
    <w:rsid w:val="000B4F01"/>
    <w:rsid w:val="000C7835"/>
    <w:rsid w:val="000E7912"/>
    <w:rsid w:val="00102BE2"/>
    <w:rsid w:val="001400F4"/>
    <w:rsid w:val="00142AD1"/>
    <w:rsid w:val="00160437"/>
    <w:rsid w:val="001621F8"/>
    <w:rsid w:val="001B1D09"/>
    <w:rsid w:val="001E6213"/>
    <w:rsid w:val="00241E16"/>
    <w:rsid w:val="00244865"/>
    <w:rsid w:val="002A18E5"/>
    <w:rsid w:val="002B46C6"/>
    <w:rsid w:val="002E55EA"/>
    <w:rsid w:val="002F7082"/>
    <w:rsid w:val="00365E58"/>
    <w:rsid w:val="003753EC"/>
    <w:rsid w:val="00382C13"/>
    <w:rsid w:val="003A0262"/>
    <w:rsid w:val="003A14BF"/>
    <w:rsid w:val="003F7091"/>
    <w:rsid w:val="004058FD"/>
    <w:rsid w:val="00406F83"/>
    <w:rsid w:val="00411E59"/>
    <w:rsid w:val="004149F4"/>
    <w:rsid w:val="00441009"/>
    <w:rsid w:val="00457858"/>
    <w:rsid w:val="00493AC0"/>
    <w:rsid w:val="004B79F8"/>
    <w:rsid w:val="004D6DA3"/>
    <w:rsid w:val="004F3C52"/>
    <w:rsid w:val="00535AD5"/>
    <w:rsid w:val="00572B4C"/>
    <w:rsid w:val="0057568B"/>
    <w:rsid w:val="005A2C3C"/>
    <w:rsid w:val="005B5499"/>
    <w:rsid w:val="005C56CD"/>
    <w:rsid w:val="005D3585"/>
    <w:rsid w:val="005D73A1"/>
    <w:rsid w:val="005E2811"/>
    <w:rsid w:val="00600075"/>
    <w:rsid w:val="00615298"/>
    <w:rsid w:val="00622F0E"/>
    <w:rsid w:val="0066210B"/>
    <w:rsid w:val="00677DAA"/>
    <w:rsid w:val="006871C2"/>
    <w:rsid w:val="00695445"/>
    <w:rsid w:val="006A7D14"/>
    <w:rsid w:val="006B2969"/>
    <w:rsid w:val="006C244B"/>
    <w:rsid w:val="007079DD"/>
    <w:rsid w:val="00763DE5"/>
    <w:rsid w:val="0076630A"/>
    <w:rsid w:val="00780AC7"/>
    <w:rsid w:val="0078129F"/>
    <w:rsid w:val="00782203"/>
    <w:rsid w:val="007D6E88"/>
    <w:rsid w:val="007D71F1"/>
    <w:rsid w:val="007E1559"/>
    <w:rsid w:val="007E2250"/>
    <w:rsid w:val="007E26C5"/>
    <w:rsid w:val="007F2993"/>
    <w:rsid w:val="0081016B"/>
    <w:rsid w:val="00877170"/>
    <w:rsid w:val="008B14E8"/>
    <w:rsid w:val="008C19E1"/>
    <w:rsid w:val="008D17C7"/>
    <w:rsid w:val="008D41E9"/>
    <w:rsid w:val="009032A6"/>
    <w:rsid w:val="00932799"/>
    <w:rsid w:val="0094193C"/>
    <w:rsid w:val="00941B4A"/>
    <w:rsid w:val="00943EDA"/>
    <w:rsid w:val="00947613"/>
    <w:rsid w:val="009927AD"/>
    <w:rsid w:val="009A2AE1"/>
    <w:rsid w:val="009F75AD"/>
    <w:rsid w:val="00A73885"/>
    <w:rsid w:val="00A96686"/>
    <w:rsid w:val="00AB0B53"/>
    <w:rsid w:val="00AE7D8D"/>
    <w:rsid w:val="00B64ED3"/>
    <w:rsid w:val="00B87BA0"/>
    <w:rsid w:val="00BA51A7"/>
    <w:rsid w:val="00BE79AE"/>
    <w:rsid w:val="00BF7782"/>
    <w:rsid w:val="00C053A0"/>
    <w:rsid w:val="00C278D2"/>
    <w:rsid w:val="00C3256F"/>
    <w:rsid w:val="00C3387F"/>
    <w:rsid w:val="00C40725"/>
    <w:rsid w:val="00C625B3"/>
    <w:rsid w:val="00CA6BF0"/>
    <w:rsid w:val="00CC002A"/>
    <w:rsid w:val="00CE7CB7"/>
    <w:rsid w:val="00D36589"/>
    <w:rsid w:val="00D41BEA"/>
    <w:rsid w:val="00D46193"/>
    <w:rsid w:val="00DC1C9C"/>
    <w:rsid w:val="00E0627A"/>
    <w:rsid w:val="00E10D3C"/>
    <w:rsid w:val="00E14CA7"/>
    <w:rsid w:val="00E419D3"/>
    <w:rsid w:val="00E51CFB"/>
    <w:rsid w:val="00EB5F28"/>
    <w:rsid w:val="00EB6996"/>
    <w:rsid w:val="00EC15E4"/>
    <w:rsid w:val="00EE0714"/>
    <w:rsid w:val="00EE1755"/>
    <w:rsid w:val="00F447BE"/>
    <w:rsid w:val="00FF587B"/>
    <w:rsid w:val="01342C87"/>
    <w:rsid w:val="01645801"/>
    <w:rsid w:val="02064795"/>
    <w:rsid w:val="02594A87"/>
    <w:rsid w:val="04BE4187"/>
    <w:rsid w:val="0A596E02"/>
    <w:rsid w:val="0FCF6153"/>
    <w:rsid w:val="129F378B"/>
    <w:rsid w:val="135563EE"/>
    <w:rsid w:val="15A7779A"/>
    <w:rsid w:val="17A03685"/>
    <w:rsid w:val="1A95369E"/>
    <w:rsid w:val="1B7B733B"/>
    <w:rsid w:val="1C63455C"/>
    <w:rsid w:val="1CFF1B03"/>
    <w:rsid w:val="21FC4AF4"/>
    <w:rsid w:val="246E3A89"/>
    <w:rsid w:val="282C2AC2"/>
    <w:rsid w:val="28CB32B0"/>
    <w:rsid w:val="2D38155A"/>
    <w:rsid w:val="2FD10540"/>
    <w:rsid w:val="302E70E8"/>
    <w:rsid w:val="311F7A89"/>
    <w:rsid w:val="3250580D"/>
    <w:rsid w:val="32A842AF"/>
    <w:rsid w:val="33632973"/>
    <w:rsid w:val="351E5FC8"/>
    <w:rsid w:val="373D0344"/>
    <w:rsid w:val="395064D7"/>
    <w:rsid w:val="39D07B78"/>
    <w:rsid w:val="3A8F1D85"/>
    <w:rsid w:val="3DFA16B5"/>
    <w:rsid w:val="45B958FB"/>
    <w:rsid w:val="4948515E"/>
    <w:rsid w:val="497F74E0"/>
    <w:rsid w:val="4A6825E8"/>
    <w:rsid w:val="4C356780"/>
    <w:rsid w:val="4FA06BC3"/>
    <w:rsid w:val="4FFF0F14"/>
    <w:rsid w:val="50DF5D53"/>
    <w:rsid w:val="517068F5"/>
    <w:rsid w:val="55570015"/>
    <w:rsid w:val="55ED79CA"/>
    <w:rsid w:val="590B384D"/>
    <w:rsid w:val="5AD169D6"/>
    <w:rsid w:val="5C827251"/>
    <w:rsid w:val="603D27F2"/>
    <w:rsid w:val="609E711B"/>
    <w:rsid w:val="62031802"/>
    <w:rsid w:val="664F4580"/>
    <w:rsid w:val="6782778F"/>
    <w:rsid w:val="68D93CA3"/>
    <w:rsid w:val="693511F3"/>
    <w:rsid w:val="6A3A001B"/>
    <w:rsid w:val="6A74230D"/>
    <w:rsid w:val="6ABC60DB"/>
    <w:rsid w:val="6E99065E"/>
    <w:rsid w:val="6F160E59"/>
    <w:rsid w:val="6F20224E"/>
    <w:rsid w:val="70F32125"/>
    <w:rsid w:val="72405FB6"/>
    <w:rsid w:val="72FE10F2"/>
    <w:rsid w:val="73EA5929"/>
    <w:rsid w:val="76574B50"/>
    <w:rsid w:val="7AC6623E"/>
    <w:rsid w:val="7C3D0C26"/>
    <w:rsid w:val="7C9E6041"/>
    <w:rsid w:val="7C9F56DE"/>
    <w:rsid w:val="7D5F43AE"/>
    <w:rsid w:val="7D9878F6"/>
    <w:rsid w:val="7E5FEC4E"/>
    <w:rsid w:val="7EC419D1"/>
    <w:rsid w:val="8FBE9872"/>
    <w:rsid w:val="CBEE7639"/>
    <w:rsid w:val="EE239096"/>
    <w:rsid w:val="F97AA7CE"/>
    <w:rsid w:val="FBDFA2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4"/>
    <w:unhideWhenUsed/>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ascii="Times New Roman" w:hAnsi="Times New Roman" w:eastAsia="宋体" w:cs="Times New Roman"/>
    </w:rPr>
  </w:style>
  <w:style w:type="paragraph" w:styleId="4">
    <w:name w:val="Body Text"/>
    <w:basedOn w:val="1"/>
    <w:next w:val="5"/>
    <w:link w:val="15"/>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Title"/>
    <w:basedOn w:val="1"/>
    <w:next w:val="1"/>
    <w:qFormat/>
    <w:uiPriority w:val="0"/>
    <w:pPr>
      <w:spacing w:before="240" w:after="60"/>
      <w:jc w:val="center"/>
      <w:outlineLvl w:val="0"/>
    </w:pPr>
    <w:rPr>
      <w:rFonts w:ascii="Cambria" w:hAnsi="Cambria" w:cs="Times New Roman"/>
      <w:b/>
      <w:bCs/>
      <w:sz w:val="32"/>
      <w:szCs w:val="32"/>
    </w:rPr>
  </w:style>
  <w:style w:type="paragraph" w:styleId="6">
    <w:name w:val="Date"/>
    <w:basedOn w:val="1"/>
    <w:next w:val="1"/>
    <w:link w:val="16"/>
    <w:qFormat/>
    <w:uiPriority w:val="0"/>
    <w:pPr>
      <w:ind w:left="2500" w:leftChars="2500"/>
    </w:pPr>
    <w:rPr>
      <w:rFonts w:ascii="Times New Roman" w:hAnsi="Times New Roman" w:eastAsia="宋体" w:cs="Times New Roman"/>
    </w:rPr>
  </w:style>
  <w:style w:type="paragraph" w:styleId="7">
    <w:name w:val="Balloon Text"/>
    <w:basedOn w:val="1"/>
    <w:link w:val="17"/>
    <w:qFormat/>
    <w:uiPriority w:val="0"/>
    <w:rPr>
      <w:rFonts w:ascii="Calibri" w:hAnsi="Calibri" w:eastAsia="宋体" w:cs="Times New Roman"/>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Times New Roman" w:eastAsia="宋体" w:cs="宋体"/>
      <w:kern w:val="0"/>
      <w:sz w:val="24"/>
      <w:szCs w:val="24"/>
    </w:rPr>
  </w:style>
  <w:style w:type="character" w:styleId="12">
    <w:name w:val="Strong"/>
    <w:qFormat/>
    <w:uiPriority w:val="0"/>
    <w:rPr>
      <w:b/>
      <w:bCs/>
    </w:rPr>
  </w:style>
  <w:style w:type="character" w:styleId="13">
    <w:name w:val="Hyperlink"/>
    <w:qFormat/>
    <w:uiPriority w:val="0"/>
    <w:rPr>
      <w:color w:val="0000FF"/>
      <w:u w:val="single"/>
    </w:rPr>
  </w:style>
  <w:style w:type="character" w:customStyle="1" w:styleId="14">
    <w:name w:val="页脚 Char"/>
    <w:basedOn w:val="11"/>
    <w:link w:val="2"/>
    <w:qFormat/>
    <w:uiPriority w:val="99"/>
    <w:rPr>
      <w:sz w:val="18"/>
      <w:szCs w:val="18"/>
    </w:rPr>
  </w:style>
  <w:style w:type="character" w:customStyle="1" w:styleId="15">
    <w:name w:val="正文文本 Char"/>
    <w:basedOn w:val="11"/>
    <w:link w:val="4"/>
    <w:qFormat/>
    <w:uiPriority w:val="0"/>
    <w:rPr>
      <w:rFonts w:ascii="Times New Roman" w:hAnsi="Times New Roman" w:eastAsia="宋体" w:cs="Times New Roman"/>
      <w:szCs w:val="24"/>
    </w:rPr>
  </w:style>
  <w:style w:type="character" w:customStyle="1" w:styleId="16">
    <w:name w:val="日期 Char"/>
    <w:basedOn w:val="11"/>
    <w:link w:val="6"/>
    <w:qFormat/>
    <w:uiPriority w:val="0"/>
    <w:rPr>
      <w:rFonts w:ascii="Times New Roman" w:hAnsi="Times New Roman" w:eastAsia="宋体" w:cs="Times New Roman"/>
    </w:rPr>
  </w:style>
  <w:style w:type="character" w:customStyle="1" w:styleId="17">
    <w:name w:val="批注框文本 Char"/>
    <w:basedOn w:val="11"/>
    <w:link w:val="7"/>
    <w:qFormat/>
    <w:uiPriority w:val="0"/>
    <w:rPr>
      <w:rFonts w:ascii="Calibri" w:hAnsi="Calibri" w:eastAsia="宋体" w:cs="Times New Roman"/>
      <w:sz w:val="18"/>
      <w:szCs w:val="18"/>
    </w:rPr>
  </w:style>
  <w:style w:type="character" w:customStyle="1" w:styleId="18">
    <w:name w:val="页眉 Char"/>
    <w:basedOn w:val="11"/>
    <w:link w:val="8"/>
    <w:qFormat/>
    <w:uiPriority w:val="99"/>
    <w:rPr>
      <w:sz w:val="18"/>
      <w:szCs w:val="18"/>
    </w:rPr>
  </w:style>
  <w:style w:type="character" w:customStyle="1" w:styleId="19">
    <w:name w:val="不明显强调1"/>
    <w:qFormat/>
    <w:uiPriority w:val="0"/>
    <w:rPr>
      <w:i/>
      <w:iCs/>
      <w:color w:val="808080"/>
    </w:rPr>
  </w:style>
  <w:style w:type="paragraph" w:customStyle="1" w:styleId="20">
    <w:name w:val="列出段落1"/>
    <w:basedOn w:val="1"/>
    <w:qFormat/>
    <w:uiPriority w:val="0"/>
    <w:pPr>
      <w:ind w:firstLine="200" w:firstLineChars="200"/>
    </w:pPr>
    <w:rPr>
      <w:rFonts w:ascii="Times New Roman" w:hAnsi="Times New Roman" w:eastAsia="宋体" w:cs="Times New Roman"/>
    </w:rPr>
  </w:style>
  <w:style w:type="paragraph" w:customStyle="1" w:styleId="2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p0"/>
    <w:next w:val="3"/>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23">
    <w:name w:val="Table Paragraph"/>
    <w:next w:val="9"/>
    <w:qFormat/>
    <w:uiPriority w:val="0"/>
    <w:pPr>
      <w:widowControl w:val="0"/>
      <w:autoSpaceDE w:val="0"/>
      <w:autoSpaceDN w:val="0"/>
    </w:pPr>
    <w:rPr>
      <w:rFonts w:ascii="宋体" w:hAnsi="Times New Roman" w:eastAsia="宋体" w:cs="宋体"/>
      <w:sz w:val="22"/>
      <w:szCs w:val="22"/>
      <w:lang w:val="zh-CN" w:eastAsia="zh-CN" w:bidi="zh-CN"/>
    </w:rPr>
  </w:style>
  <w:style w:type="paragraph" w:styleId="2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5">
    <w:name w:val="List Paragraph"/>
    <w:basedOn w:val="1"/>
    <w:unhideWhenUsed/>
    <w:qFormat/>
    <w:uiPriority w:val="0"/>
    <w:pPr>
      <w:ind w:firstLine="420" w:firstLineChars="200"/>
    </w:pPr>
  </w:style>
  <w:style w:type="character" w:customStyle="1" w:styleId="26">
    <w:name w:val="不明显强调2"/>
    <w:qFormat/>
    <w:uiPriority w:val="0"/>
    <w:rPr>
      <w:i/>
      <w:iCs/>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9671</Words>
  <Characters>10116</Characters>
  <Lines>23</Lines>
  <Paragraphs>24</Paragraphs>
  <TotalTime>11</TotalTime>
  <ScaleCrop>false</ScaleCrop>
  <LinksUpToDate>false</LinksUpToDate>
  <CharactersWithSpaces>11266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2021-06-25T19:37:00Z</dcterms:created>
  <dc:creator>gxws</dc:creator>
  <cp:lastModifiedBy>张凯莹</cp:lastModifiedBy>
  <cp:lastPrinted>2022-06-24T10:53:00Z</cp:lastPrinted>
  <dcterms:modified xsi:type="dcterms:W3CDTF">2023-06-14T06:53:06Z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EF990E401630431D8BDCC3767FF6738B_13</vt:lpwstr>
  </property>
</Properties>
</file>