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Lines="0" w:afterLines="0"/>
        <w:rPr>
          <w:rFonts w:hint="eastAsia" w:ascii="仿宋_GB2312" w:eastAsia="仿宋_GB2312"/>
          <w:color w:val="ED1C24"/>
          <w:w w:val="95"/>
          <w:sz w:val="32"/>
          <w:szCs w:val="2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pacing w:val="6"/>
          <w:sz w:val="44"/>
          <w:szCs w:val="44"/>
        </w:rPr>
        <w:t>自治区卫生健康委关于开展</w:t>
      </w:r>
      <w:r>
        <w:rPr>
          <w:rFonts w:hint="eastAsia" w:ascii="方正小标宋简体" w:eastAsia="方正小标宋简体"/>
          <w:color w:val="000000"/>
          <w:spacing w:val="6"/>
          <w:sz w:val="44"/>
          <w:szCs w:val="44"/>
          <w:lang w:eastAsia="zh-CN"/>
        </w:rPr>
        <w:t>第</w:t>
      </w:r>
      <w:r>
        <w:rPr>
          <w:rFonts w:hint="eastAsia" w:ascii="方正小标宋简体" w:eastAsia="方正小标宋简体"/>
          <w:color w:val="000000"/>
          <w:spacing w:val="6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color w:val="000000"/>
          <w:spacing w:val="6"/>
          <w:sz w:val="44"/>
          <w:szCs w:val="44"/>
          <w:lang w:eastAsia="zh-CN"/>
        </w:rPr>
        <w:t>批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广西示范性托育机构评估工作的通知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各市、县（市、区）卫生健康委（局）：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为充分调动社会参与托育服务积极性，形成一批可复制、可推广的典型经验，促进全区托育服务高质量发展，根据《广西示范性托育机构评估办法（试行）》，自治区卫生健康委决定开展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第三批</w:t>
      </w:r>
      <w:r>
        <w:rPr>
          <w:rFonts w:hint="eastAsia" w:ascii="仿宋_GB2312" w:eastAsia="仿宋_GB2312"/>
          <w:color w:val="000000"/>
          <w:sz w:val="32"/>
          <w:szCs w:val="32"/>
        </w:rPr>
        <w:t>广西示范性托育机构评估工作，现将有关事项通知如下。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</w:rPr>
        <w:t>评估的重点内容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（一）托育机构设置：机构资质、经费管理、场地用房、设施设备、规模与班额等内容。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（二）托育机构安全卫生：制度预案、膳食饮水、消毒制度、健康管理、疾病防控等内容。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（三）托育机构员工队伍：配备与资质、专业培训、职业道德、权益保障等内容。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（四）托育机构保育照护：照护原则、保育要点、教养融合等内容。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（五）托育机构管理：管理体制、收托管理、家园社区、社会评价等内容。</w:t>
      </w:r>
      <w:bookmarkStart w:id="0" w:name="_GoBack"/>
      <w:bookmarkEnd w:id="0"/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二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、评</w:t>
      </w: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估的方法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及</w:t>
      </w: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时间</w:t>
      </w: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安排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按照托育机构自愿申报、县（市、区）卫生健康局初审推荐、设区市卫生健康委审核验收、自治区卫生健康委审定命名的方法开展评估。</w:t>
      </w:r>
    </w:p>
    <w:p>
      <w:pPr>
        <w:pStyle w:val="3"/>
        <w:tabs>
          <w:tab w:val="left" w:pos="2410"/>
        </w:tabs>
        <w:spacing w:line="560" w:lineRule="exact"/>
        <w:ind w:left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（一）机构申报。</w:t>
      </w:r>
      <w:r>
        <w:rPr>
          <w:rFonts w:hint="eastAsia" w:ascii="仿宋_GB2312" w:eastAsia="仿宋_GB2312"/>
          <w:color w:val="000000"/>
          <w:sz w:val="32"/>
          <w:szCs w:val="32"/>
        </w:rPr>
        <w:t>县（市、区）卫生健康局要加强政策宣传、广泛动员、积极支持辖区内符合条件的托育机构申报。托育机构对照《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广西示范性托育机构评估办法</w:t>
      </w:r>
      <w:r>
        <w:rPr>
          <w:rFonts w:hint="eastAsia" w:ascii="仿宋_GB2312" w:eastAsia="仿宋_GB2312"/>
          <w:color w:val="000000"/>
          <w:sz w:val="32"/>
          <w:szCs w:val="32"/>
        </w:rPr>
        <w:t>（试行）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开展自检自评，需满足申报的必备条件，且自评分数达到900分（含）以上，核心指标得分不得低于90%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可向所在县（市、区）卫生健康主管部门提交申报材料。申报材料包括以下内容（盖章纸质版材料各一式3份和电子版）：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广西示范性托育机构申报表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（附件1）、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广西示范性托育机构评分表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（附件2，含自评结果）、广西示范性托育</w:t>
      </w:r>
      <w:r>
        <w:rPr>
          <w:rFonts w:hint="eastAsia" w:ascii="仿宋_GB2312" w:eastAsia="仿宋_GB2312"/>
          <w:color w:val="000000"/>
          <w:sz w:val="32"/>
          <w:szCs w:val="32"/>
        </w:rPr>
        <w:t>机构自评报告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（附件3）。</w:t>
      </w:r>
      <w:r>
        <w:rPr>
          <w:rFonts w:hint="eastAsia" w:ascii="仿宋_GB2312" w:eastAsia="仿宋_GB2312"/>
          <w:color w:val="000000"/>
          <w:sz w:val="32"/>
          <w:szCs w:val="32"/>
        </w:rPr>
        <w:t>报送截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止</w:t>
      </w:r>
      <w:r>
        <w:rPr>
          <w:rFonts w:hint="eastAsia" w:ascii="仿宋_GB2312" w:eastAsia="仿宋_GB2312"/>
          <w:color w:val="000000"/>
          <w:sz w:val="32"/>
          <w:szCs w:val="32"/>
        </w:rPr>
        <w:t>时间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</w:rPr>
        <w:t>日。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（二）初审推荐。</w:t>
      </w:r>
      <w:r>
        <w:rPr>
          <w:rFonts w:hint="eastAsia" w:ascii="仿宋_GB2312" w:eastAsia="仿宋_GB2312"/>
          <w:color w:val="000000"/>
          <w:sz w:val="32"/>
          <w:szCs w:val="32"/>
        </w:rPr>
        <w:t>县（市、区）卫生健康局组建评审组，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严格审核申报材料的真实性和准确性，并根据</w:t>
      </w:r>
      <w:r>
        <w:rPr>
          <w:rFonts w:hint="eastAsia" w:ascii="仿宋_GB2312" w:eastAsia="仿宋_GB2312"/>
          <w:color w:val="000000"/>
          <w:sz w:val="32"/>
          <w:szCs w:val="32"/>
        </w:rPr>
        <w:t>《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广西示范性托育机构评分表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评选出符合条件的托育机构，向设区市卫生健康主管部门申请审核验收。上报材料包括以下内容（盖章纸质版材料各一式2份和电子版）：经县（市、区）卫生健康主管部门初审盖章的机构申报表、机构评分表、机构自评报告及县（市、区）初审报告。于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日前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报送设区市卫生健康委。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（三）审核验收。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设区市卫生健康主管部门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组织专家组到现场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进行审核验收，审核验收工作采取查阅资料、现场查看、座谈等方式进行。通过评审确定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示范性托育机构名单，公示后上报自治区卫生健康委。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上报材料包括以下内容（盖章纸质版材料各1份和电子版）：机构申报表、机构评分表、机构自评报告、县（市、区）初审报告、设区市审核验收报告、设区市汇总表。于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日前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报送自治区卫生健康委。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（四）审定命名。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自治区卫生健康委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从广西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3岁以下婴幼儿照护服务专家库抽选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行业专家组成评估组，对设区市卫生健康主管部门审核验收通过的机构进行综合审定，并随机抽取部分机构进行现场评估，通过审定和公示的，由自治区卫生健康委发文命名，并授予牌匾。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三、名额分配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根据全国</w:t>
      </w:r>
      <w:r>
        <w:rPr>
          <w:rFonts w:ascii="仿宋_GB2312" w:eastAsia="仿宋_GB2312"/>
          <w:color w:val="000000"/>
          <w:sz w:val="32"/>
          <w:szCs w:val="32"/>
        </w:rPr>
        <w:t>托育机构信息管理系统</w:t>
      </w:r>
      <w:r>
        <w:rPr>
          <w:rFonts w:hint="eastAsia" w:ascii="仿宋_GB2312" w:eastAsia="仿宋_GB2312"/>
          <w:color w:val="000000"/>
          <w:sz w:val="32"/>
          <w:szCs w:val="32"/>
        </w:rPr>
        <w:t>备案通过情况，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第三批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广西示范性托育机构名额</w:t>
      </w:r>
      <w:r>
        <w:rPr>
          <w:rFonts w:hint="eastAsia" w:ascii="仿宋_GB2312" w:eastAsia="仿宋_GB2312"/>
          <w:color w:val="000000"/>
          <w:sz w:val="32"/>
          <w:szCs w:val="32"/>
        </w:rPr>
        <w:t>分配如下：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南宁市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个、柳州市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个、桂林市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个、梧州市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北海市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1个、防城港1个、钦州市1个、贵港市4个，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玉林市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个、百色市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贺州市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1个，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河池市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，来宾市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2个，崇左市1个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共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27个。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四、有关要求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（一）加大宣传力度。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各级卫生健康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主管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部门要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做好政策宣传解读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，指导辖区内托育机构按照示范性标准积极开展创建。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大力宣传我区优质机构典型案例，激发托育机构规范化建设的积极性和创造性。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（二）认真组织评估</w:t>
      </w:r>
      <w:r>
        <w:rPr>
          <w:rFonts w:ascii="楷体_GB2312" w:hAnsi="黑体" w:eastAsia="楷体_GB2312"/>
          <w:color w:val="000000"/>
          <w:sz w:val="32"/>
          <w:szCs w:val="32"/>
        </w:rPr>
        <w:t>。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各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市、县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（市、区）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卫生健康主管部门要认真组织专业人员开展评估工作，严格落实评估标准，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确保评估工作公开、公正、公平，做到优中选优。要将开展评估工作的重要文件和材料建档造册，以便备查。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（三）推动</w:t>
      </w:r>
      <w:r>
        <w:rPr>
          <w:rFonts w:ascii="楷体_GB2312" w:hAnsi="黑体" w:eastAsia="楷体_GB2312"/>
          <w:color w:val="000000"/>
          <w:sz w:val="32"/>
          <w:szCs w:val="32"/>
        </w:rPr>
        <w:t>示范引领。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各级卫生健康主管部门根据本地区实际情况，可参照自治区的做法，组织开展市级和县级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示范性托育机构评估工作。积极扩大示范性托育机构的社会影响力，</w:t>
      </w:r>
      <w:r>
        <w:rPr>
          <w:rFonts w:ascii="仿宋_GB2312" w:hAnsi="黑体" w:eastAsia="仿宋_GB2312"/>
          <w:color w:val="000000"/>
          <w:sz w:val="32"/>
          <w:szCs w:val="32"/>
        </w:rPr>
        <w:t>发挥示范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性托育机构</w:t>
      </w:r>
      <w:r>
        <w:rPr>
          <w:rFonts w:ascii="仿宋_GB2312" w:hAnsi="黑体" w:eastAsia="仿宋_GB2312"/>
          <w:color w:val="000000"/>
          <w:sz w:val="32"/>
          <w:szCs w:val="32"/>
        </w:rPr>
        <w:t>在贯彻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托育</w:t>
      </w:r>
      <w:r>
        <w:rPr>
          <w:rFonts w:ascii="仿宋_GB2312" w:hAnsi="黑体" w:eastAsia="仿宋_GB2312"/>
          <w:color w:val="000000"/>
          <w:sz w:val="32"/>
          <w:szCs w:val="32"/>
        </w:rPr>
        <w:t>政策法规、传播科学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育儿</w:t>
      </w:r>
      <w:r>
        <w:rPr>
          <w:rFonts w:ascii="仿宋_GB2312" w:hAnsi="黑体" w:eastAsia="仿宋_GB2312"/>
          <w:color w:val="000000"/>
          <w:sz w:val="32"/>
          <w:szCs w:val="32"/>
        </w:rPr>
        <w:t>理念、培训提升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托育人员</w:t>
      </w:r>
      <w:r>
        <w:rPr>
          <w:rFonts w:ascii="仿宋_GB2312" w:hAnsi="黑体" w:eastAsia="仿宋_GB2312"/>
          <w:color w:val="000000"/>
          <w:sz w:val="32"/>
          <w:szCs w:val="32"/>
        </w:rPr>
        <w:t>水平和指导家庭、社区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服务</w:t>
      </w:r>
      <w:r>
        <w:rPr>
          <w:rFonts w:ascii="仿宋_GB2312" w:hAnsi="黑体" w:eastAsia="仿宋_GB2312"/>
          <w:color w:val="000000"/>
          <w:sz w:val="32"/>
          <w:szCs w:val="32"/>
        </w:rPr>
        <w:t>等方面的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引领示范</w:t>
      </w:r>
      <w:r>
        <w:rPr>
          <w:rFonts w:ascii="仿宋_GB2312" w:hAnsi="黑体" w:eastAsia="仿宋_GB2312"/>
          <w:color w:val="000000"/>
          <w:sz w:val="32"/>
          <w:szCs w:val="32"/>
        </w:rPr>
        <w:t>辐射作用，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促进全区托育服务健康发展</w:t>
      </w:r>
      <w:r>
        <w:rPr>
          <w:rFonts w:ascii="仿宋_GB2312" w:hAnsi="黑体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联系人及电话：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蒋莉萍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，0771-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2800179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。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附件：1.广西示范性托育机构申报表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2.广西示范性托育机构评分表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3.广西示范性托育机构自评报告</w:t>
      </w:r>
    </w:p>
    <w:p>
      <w:pPr>
        <w:tabs>
          <w:tab w:val="left" w:pos="630"/>
        </w:tabs>
        <w:spacing w:line="560" w:lineRule="exact"/>
        <w:ind w:firstLine="1600" w:firstLineChars="5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4.广西示范性托育机构县（市、区）初审报告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5.广西示范性托育机构设区市审核验收报告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6.广西示范性托育机构评估设区市汇总表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hAnsi="黑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hAnsi="黑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仿宋_GB2312" w:hAnsi="黑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3520" w:firstLineChars="1100"/>
        <w:jc w:val="both"/>
        <w:rPr>
          <w:rStyle w:val="10"/>
          <w:rFonts w:ascii="仿宋_GB2312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zh-TW"/>
        </w:rPr>
        <w:t>广西壮族自治区卫生健康委员会</w:t>
      </w: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      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  202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12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（信息公开形式：主动公开）</w:t>
      </w:r>
    </w:p>
    <w:p/>
    <w:sectPr>
      <w:footerReference r:id="rId4" w:type="first"/>
      <w:footerReference r:id="rId3" w:type="default"/>
      <w:pgSz w:w="11907" w:h="16840"/>
      <w:pgMar w:top="1701" w:right="1418" w:bottom="1417" w:left="1701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3C906D29"/>
    <w:rsid w:val="06026959"/>
    <w:rsid w:val="241804C2"/>
    <w:rsid w:val="249C183C"/>
    <w:rsid w:val="3C906D29"/>
    <w:rsid w:val="4E5419E3"/>
    <w:rsid w:val="726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p0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2023-06-14T06:52:00Z</dcterms:created>
  <dc:creator>张凯莹</dc:creator>
  <cp:lastModifiedBy>张凯莹</cp:lastModifiedBy>
  <dcterms:modified xsi:type="dcterms:W3CDTF">2023-06-14T06:59:10Z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AC1D44DE85FC431AB16EFFC689414BDD_11</vt:lpwstr>
  </property>
</Properties>
</file>