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数字医学技术在脑健康管理中的关键技术研究与应用示范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李清华，文剑，陈敏，陈晓旺，罗玉，覃小杜，</w:t>
            </w:r>
            <w:bookmarkStart w:id="0" w:name="OLE_LINK7"/>
            <w:r>
              <w:rPr>
                <w:rFonts w:hint="eastAsia" w:ascii="仿宋_GB2312" w:hAnsi="仿宋_GB2312" w:eastAsia="仿宋_GB2312" w:cs="仿宋_GB2312"/>
                <w:sz w:val="28"/>
                <w:szCs w:val="28"/>
              </w:rPr>
              <w:t>苏箭，林奕斌</w:t>
            </w:r>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桂林医学院附属医院，桂林医学院，深圳市宜健智慧科技有限公司，深圳市践一科技有限公司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自治区卫生健康委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snapToGrid w:val="0"/>
                <w:color w:val="000000"/>
                <w:sz w:val="18"/>
                <w:szCs w:val="18"/>
              </w:rPr>
              <w:t>发明专利</w:t>
            </w:r>
          </w:p>
        </w:tc>
        <w:tc>
          <w:tcPr>
            <w:tcW w:w="1170" w:type="dxa"/>
            <w:gridSpan w:val="2"/>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snapToGrid w:val="0"/>
                <w:color w:val="000000"/>
                <w:sz w:val="18"/>
                <w:szCs w:val="18"/>
              </w:rPr>
              <w:t>一种帕金森病情的步态监测装置</w:t>
            </w:r>
          </w:p>
        </w:tc>
        <w:tc>
          <w:tcPr>
            <w:tcW w:w="1035"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cs="仿宋_GB2312"/>
                <w:bCs/>
                <w:szCs w:val="21"/>
              </w:rPr>
              <w:t>中国</w:t>
            </w:r>
          </w:p>
        </w:tc>
        <w:tc>
          <w:tcPr>
            <w:tcW w:w="97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ZL 2020 1 0047453.5</w:t>
            </w:r>
          </w:p>
        </w:tc>
        <w:tc>
          <w:tcPr>
            <w:tcW w:w="85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2022.8.2</w:t>
            </w:r>
          </w:p>
        </w:tc>
        <w:tc>
          <w:tcPr>
            <w:tcW w:w="1034"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国家知识产权局</w:t>
            </w:r>
          </w:p>
        </w:tc>
        <w:tc>
          <w:tcPr>
            <w:tcW w:w="8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桂林医学院附属医院</w:t>
            </w:r>
          </w:p>
        </w:tc>
        <w:tc>
          <w:tcPr>
            <w:tcW w:w="7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李清华；文剑；林奕斌；蔡枭</w:t>
            </w:r>
          </w:p>
        </w:tc>
        <w:tc>
          <w:tcPr>
            <w:tcW w:w="834"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cs="仿宋_GB2312"/>
                <w:bCs/>
                <w:szCs w:val="21"/>
              </w:rPr>
              <w:t>有效</w:t>
            </w:r>
          </w:p>
        </w:tc>
        <w:tc>
          <w:tcPr>
            <w:tcW w:w="1206"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cs="仿宋_GB2312"/>
                <w:bCs/>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snapToGrid w:val="0"/>
                <w:color w:val="000000"/>
                <w:sz w:val="18"/>
                <w:szCs w:val="18"/>
              </w:rPr>
              <w:t>发明专利</w:t>
            </w:r>
          </w:p>
        </w:tc>
        <w:tc>
          <w:tcPr>
            <w:tcW w:w="1170" w:type="dxa"/>
            <w:gridSpan w:val="2"/>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一种帕金森病监测方法、装置及存储介质</w:t>
            </w:r>
          </w:p>
        </w:tc>
        <w:tc>
          <w:tcPr>
            <w:tcW w:w="1035" w:type="dxa"/>
            <w:tcMar>
              <w:left w:w="57" w:type="dxa"/>
              <w:right w:w="57" w:type="dxa"/>
            </w:tcMar>
            <w:vAlign w:val="center"/>
          </w:tcPr>
          <w:p>
            <w:pPr>
              <w:jc w:val="center"/>
              <w:rPr>
                <w:rFonts w:ascii="仿宋" w:hAnsi="仿宋" w:eastAsia="仿宋"/>
              </w:rPr>
            </w:pPr>
            <w:r>
              <w:rPr>
                <w:rFonts w:hint="eastAsia" w:ascii="仿宋" w:hAnsi="仿宋" w:eastAsia="仿宋" w:cs="仿宋_GB2312"/>
                <w:bCs/>
                <w:szCs w:val="21"/>
              </w:rPr>
              <w:t>中国</w:t>
            </w:r>
          </w:p>
        </w:tc>
        <w:tc>
          <w:tcPr>
            <w:tcW w:w="97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ZL 2019 1 1001561.2</w:t>
            </w:r>
          </w:p>
        </w:tc>
        <w:tc>
          <w:tcPr>
            <w:tcW w:w="85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2022.8.23</w:t>
            </w:r>
          </w:p>
        </w:tc>
        <w:tc>
          <w:tcPr>
            <w:tcW w:w="1034"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国家知识产权局</w:t>
            </w:r>
          </w:p>
        </w:tc>
        <w:tc>
          <w:tcPr>
            <w:tcW w:w="8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桂林医学院附属医院</w:t>
            </w:r>
          </w:p>
        </w:tc>
        <w:tc>
          <w:tcPr>
            <w:tcW w:w="7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李清华；文剑；林奕斌；蔡枭</w:t>
            </w:r>
          </w:p>
        </w:tc>
        <w:tc>
          <w:tcPr>
            <w:tcW w:w="834" w:type="dxa"/>
            <w:tcMar>
              <w:left w:w="57" w:type="dxa"/>
              <w:right w:w="57" w:type="dxa"/>
            </w:tcMar>
            <w:vAlign w:val="center"/>
          </w:tcPr>
          <w:p>
            <w:pPr>
              <w:ind w:firstLine="210" w:firstLineChars="100"/>
              <w:rPr>
                <w:rFonts w:ascii="仿宋" w:hAnsi="仿宋" w:eastAsia="仿宋"/>
              </w:rPr>
            </w:pPr>
            <w:r>
              <w:rPr>
                <w:rFonts w:hint="eastAsia" w:ascii="仿宋" w:hAnsi="仿宋" w:eastAsia="仿宋" w:cs="仿宋_GB2312"/>
                <w:bCs/>
                <w:szCs w:val="21"/>
              </w:rPr>
              <w:t>有效</w:t>
            </w:r>
          </w:p>
        </w:tc>
        <w:tc>
          <w:tcPr>
            <w:tcW w:w="1206"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cs="仿宋_GB2312"/>
                <w:bCs/>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snapToGrid w:val="0"/>
                <w:color w:val="000000"/>
                <w:sz w:val="18"/>
                <w:szCs w:val="18"/>
              </w:rPr>
              <w:t>发明专利</w:t>
            </w:r>
          </w:p>
        </w:tc>
        <w:tc>
          <w:tcPr>
            <w:tcW w:w="1170" w:type="dxa"/>
            <w:gridSpan w:val="2"/>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一种帕金森病情监测系统</w:t>
            </w:r>
          </w:p>
        </w:tc>
        <w:tc>
          <w:tcPr>
            <w:tcW w:w="1035" w:type="dxa"/>
            <w:tcMar>
              <w:left w:w="57" w:type="dxa"/>
              <w:right w:w="57" w:type="dxa"/>
            </w:tcMar>
            <w:vAlign w:val="center"/>
          </w:tcPr>
          <w:p>
            <w:pPr>
              <w:jc w:val="center"/>
              <w:rPr>
                <w:rFonts w:ascii="仿宋" w:hAnsi="仿宋" w:eastAsia="仿宋"/>
              </w:rPr>
            </w:pPr>
            <w:r>
              <w:rPr>
                <w:rFonts w:hint="eastAsia" w:ascii="仿宋" w:hAnsi="仿宋" w:eastAsia="仿宋" w:cs="仿宋_GB2312"/>
                <w:bCs/>
                <w:szCs w:val="21"/>
              </w:rPr>
              <w:t>中国</w:t>
            </w:r>
          </w:p>
        </w:tc>
        <w:tc>
          <w:tcPr>
            <w:tcW w:w="97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bookmarkStart w:id="1" w:name="OLE_LINK16"/>
            <w:r>
              <w:rPr>
                <w:rFonts w:hint="eastAsia" w:ascii="仿宋" w:hAnsi="仿宋" w:eastAsia="仿宋"/>
                <w:snapToGrid w:val="0"/>
                <w:color w:val="000000"/>
                <w:sz w:val="18"/>
                <w:szCs w:val="18"/>
              </w:rPr>
              <w:t>ZL 2020 1 0070127.6</w:t>
            </w:r>
            <w:bookmarkEnd w:id="1"/>
          </w:p>
        </w:tc>
        <w:tc>
          <w:tcPr>
            <w:tcW w:w="85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2023.3.21</w:t>
            </w:r>
          </w:p>
        </w:tc>
        <w:tc>
          <w:tcPr>
            <w:tcW w:w="1034"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国家知识产权局</w:t>
            </w:r>
          </w:p>
        </w:tc>
        <w:tc>
          <w:tcPr>
            <w:tcW w:w="8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桂林医学院附属医院</w:t>
            </w:r>
          </w:p>
        </w:tc>
        <w:tc>
          <w:tcPr>
            <w:tcW w:w="7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李清华；文剑；林奕斌；蔡枭</w:t>
            </w:r>
          </w:p>
        </w:tc>
        <w:tc>
          <w:tcPr>
            <w:tcW w:w="834" w:type="dxa"/>
            <w:tcMar>
              <w:left w:w="57" w:type="dxa"/>
              <w:right w:w="57" w:type="dxa"/>
            </w:tcMar>
            <w:vAlign w:val="center"/>
          </w:tcPr>
          <w:p>
            <w:pPr>
              <w:ind w:firstLine="210" w:firstLineChars="100"/>
              <w:rPr>
                <w:rFonts w:ascii="仿宋" w:hAnsi="仿宋" w:eastAsia="仿宋"/>
              </w:rPr>
            </w:pPr>
            <w:r>
              <w:rPr>
                <w:rFonts w:hint="eastAsia" w:ascii="仿宋" w:hAnsi="仿宋" w:eastAsia="仿宋" w:cs="仿宋_GB2312"/>
                <w:bCs/>
                <w:szCs w:val="21"/>
              </w:rPr>
              <w:t>有效</w:t>
            </w:r>
          </w:p>
        </w:tc>
        <w:tc>
          <w:tcPr>
            <w:tcW w:w="1206"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cs="仿宋_GB2312"/>
                <w:bCs/>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snapToGrid w:val="0"/>
                <w:color w:val="000000"/>
                <w:sz w:val="18"/>
                <w:szCs w:val="18"/>
              </w:rPr>
              <w:t>实用新型专利</w:t>
            </w:r>
          </w:p>
        </w:tc>
        <w:tc>
          <w:tcPr>
            <w:tcW w:w="1170" w:type="dxa"/>
            <w:gridSpan w:val="2"/>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一种帕金森综合症诊断装置</w:t>
            </w:r>
          </w:p>
        </w:tc>
        <w:tc>
          <w:tcPr>
            <w:tcW w:w="1035" w:type="dxa"/>
            <w:tcMar>
              <w:left w:w="57" w:type="dxa"/>
              <w:right w:w="57" w:type="dxa"/>
            </w:tcMar>
            <w:vAlign w:val="center"/>
          </w:tcPr>
          <w:p>
            <w:pPr>
              <w:jc w:val="center"/>
              <w:rPr>
                <w:rFonts w:ascii="仿宋" w:hAnsi="仿宋" w:eastAsia="仿宋"/>
              </w:rPr>
            </w:pPr>
            <w:r>
              <w:rPr>
                <w:rFonts w:hint="eastAsia" w:ascii="仿宋" w:hAnsi="仿宋" w:eastAsia="仿宋" w:cs="仿宋_GB2312"/>
                <w:bCs/>
                <w:szCs w:val="21"/>
              </w:rPr>
              <w:t>中国</w:t>
            </w:r>
          </w:p>
        </w:tc>
        <w:tc>
          <w:tcPr>
            <w:tcW w:w="97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ZL 2017 2 1149491.1</w:t>
            </w:r>
          </w:p>
        </w:tc>
        <w:tc>
          <w:tcPr>
            <w:tcW w:w="85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2019.1.8</w:t>
            </w:r>
          </w:p>
        </w:tc>
        <w:tc>
          <w:tcPr>
            <w:tcW w:w="1034"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国家知识产权局</w:t>
            </w:r>
          </w:p>
        </w:tc>
        <w:tc>
          <w:tcPr>
            <w:tcW w:w="8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桂林医学院附属医院</w:t>
            </w:r>
          </w:p>
        </w:tc>
        <w:tc>
          <w:tcPr>
            <w:tcW w:w="7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文剑；李清华；张超；陈晓旺</w:t>
            </w:r>
          </w:p>
        </w:tc>
        <w:tc>
          <w:tcPr>
            <w:tcW w:w="834" w:type="dxa"/>
            <w:tcMar>
              <w:left w:w="57" w:type="dxa"/>
              <w:right w:w="57" w:type="dxa"/>
            </w:tcMar>
            <w:vAlign w:val="center"/>
          </w:tcPr>
          <w:p>
            <w:pPr>
              <w:ind w:firstLine="210" w:firstLineChars="100"/>
              <w:rPr>
                <w:rFonts w:ascii="仿宋" w:hAnsi="仿宋" w:eastAsia="仿宋"/>
              </w:rPr>
            </w:pPr>
            <w:r>
              <w:rPr>
                <w:rFonts w:hint="eastAsia" w:ascii="仿宋" w:hAnsi="仿宋" w:eastAsia="仿宋" w:cs="仿宋_GB2312"/>
                <w:bCs/>
                <w:szCs w:val="21"/>
              </w:rPr>
              <w:t>有效</w:t>
            </w:r>
          </w:p>
        </w:tc>
        <w:tc>
          <w:tcPr>
            <w:tcW w:w="1206"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cs="仿宋_GB2312"/>
                <w:bCs/>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snapToGrid w:val="0"/>
                <w:color w:val="000000"/>
                <w:sz w:val="18"/>
                <w:szCs w:val="18"/>
              </w:rPr>
              <w:t>实用新型专利</w:t>
            </w:r>
          </w:p>
        </w:tc>
        <w:tc>
          <w:tcPr>
            <w:tcW w:w="1170" w:type="dxa"/>
            <w:gridSpan w:val="2"/>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一种帕金森综合症数据采集装置</w:t>
            </w:r>
          </w:p>
        </w:tc>
        <w:tc>
          <w:tcPr>
            <w:tcW w:w="1035" w:type="dxa"/>
            <w:tcMar>
              <w:left w:w="57" w:type="dxa"/>
              <w:right w:w="57" w:type="dxa"/>
            </w:tcMar>
            <w:vAlign w:val="center"/>
          </w:tcPr>
          <w:p>
            <w:pPr>
              <w:jc w:val="center"/>
              <w:rPr>
                <w:rFonts w:ascii="仿宋" w:hAnsi="仿宋" w:eastAsia="仿宋"/>
              </w:rPr>
            </w:pPr>
            <w:r>
              <w:rPr>
                <w:rFonts w:hint="eastAsia" w:ascii="仿宋" w:hAnsi="仿宋" w:eastAsia="仿宋" w:cs="仿宋_GB2312"/>
                <w:bCs/>
                <w:szCs w:val="21"/>
              </w:rPr>
              <w:t>中国</w:t>
            </w:r>
          </w:p>
        </w:tc>
        <w:tc>
          <w:tcPr>
            <w:tcW w:w="97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ZL 2017 2 1259008.5</w:t>
            </w:r>
          </w:p>
        </w:tc>
        <w:tc>
          <w:tcPr>
            <w:tcW w:w="85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2019.2.19</w:t>
            </w:r>
          </w:p>
        </w:tc>
        <w:tc>
          <w:tcPr>
            <w:tcW w:w="1034"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国家知识产权局</w:t>
            </w:r>
          </w:p>
        </w:tc>
        <w:tc>
          <w:tcPr>
            <w:tcW w:w="8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bookmarkStart w:id="2" w:name="OLE_LINK2"/>
            <w:bookmarkStart w:id="3" w:name="OLE_LINK5"/>
            <w:r>
              <w:rPr>
                <w:rFonts w:hint="eastAsia" w:ascii="仿宋" w:hAnsi="仿宋" w:eastAsia="仿宋"/>
                <w:snapToGrid w:val="0"/>
                <w:color w:val="000000"/>
                <w:sz w:val="18"/>
                <w:szCs w:val="18"/>
              </w:rPr>
              <w:t>桂林医学院</w:t>
            </w:r>
            <w:bookmarkEnd w:id="2"/>
            <w:r>
              <w:rPr>
                <w:rFonts w:hint="eastAsia" w:ascii="仿宋" w:hAnsi="仿宋" w:eastAsia="仿宋"/>
                <w:snapToGrid w:val="0"/>
                <w:color w:val="000000"/>
                <w:sz w:val="18"/>
                <w:szCs w:val="18"/>
              </w:rPr>
              <w:t>附属医院</w:t>
            </w:r>
            <w:bookmarkEnd w:id="3"/>
          </w:p>
        </w:tc>
        <w:tc>
          <w:tcPr>
            <w:tcW w:w="7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文剑；李清华；张超；陈晓旺</w:t>
            </w:r>
          </w:p>
        </w:tc>
        <w:tc>
          <w:tcPr>
            <w:tcW w:w="834" w:type="dxa"/>
            <w:tcMar>
              <w:left w:w="57" w:type="dxa"/>
              <w:right w:w="57" w:type="dxa"/>
            </w:tcMar>
            <w:vAlign w:val="center"/>
          </w:tcPr>
          <w:p>
            <w:pPr>
              <w:ind w:firstLine="210" w:firstLineChars="100"/>
              <w:rPr>
                <w:rFonts w:ascii="仿宋" w:hAnsi="仿宋" w:eastAsia="仿宋"/>
              </w:rPr>
            </w:pPr>
            <w:r>
              <w:rPr>
                <w:rFonts w:hint="eastAsia" w:ascii="仿宋" w:hAnsi="仿宋" w:eastAsia="仿宋" w:cs="仿宋_GB2312"/>
                <w:bCs/>
                <w:szCs w:val="21"/>
              </w:rPr>
              <w:t>有效</w:t>
            </w:r>
          </w:p>
        </w:tc>
        <w:tc>
          <w:tcPr>
            <w:tcW w:w="1206"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cs="仿宋_GB2312"/>
                <w:bCs/>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snapToGrid w:val="0"/>
                <w:color w:val="000000"/>
                <w:sz w:val="18"/>
                <w:szCs w:val="18"/>
              </w:rPr>
              <w:t>外观设计专利</w:t>
            </w:r>
          </w:p>
        </w:tc>
        <w:tc>
          <w:tcPr>
            <w:tcW w:w="1170" w:type="dxa"/>
            <w:gridSpan w:val="2"/>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远程视频终端</w:t>
            </w:r>
          </w:p>
        </w:tc>
        <w:tc>
          <w:tcPr>
            <w:tcW w:w="1035" w:type="dxa"/>
            <w:tcMar>
              <w:left w:w="57" w:type="dxa"/>
              <w:right w:w="57" w:type="dxa"/>
            </w:tcMar>
            <w:vAlign w:val="center"/>
          </w:tcPr>
          <w:p>
            <w:pPr>
              <w:jc w:val="center"/>
              <w:rPr>
                <w:rFonts w:ascii="仿宋" w:hAnsi="仿宋" w:eastAsia="仿宋"/>
              </w:rPr>
            </w:pPr>
            <w:r>
              <w:rPr>
                <w:rFonts w:hint="eastAsia" w:ascii="仿宋" w:hAnsi="仿宋" w:eastAsia="仿宋" w:cs="仿宋_GB2312"/>
                <w:bCs/>
                <w:szCs w:val="21"/>
              </w:rPr>
              <w:t>中国</w:t>
            </w:r>
          </w:p>
        </w:tc>
        <w:tc>
          <w:tcPr>
            <w:tcW w:w="97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bookmarkStart w:id="4" w:name="OLE_LINK13"/>
            <w:r>
              <w:rPr>
                <w:rFonts w:hint="eastAsia" w:ascii="仿宋" w:hAnsi="仿宋" w:eastAsia="仿宋"/>
                <w:snapToGrid w:val="0"/>
                <w:color w:val="000000"/>
                <w:sz w:val="18"/>
                <w:szCs w:val="18"/>
              </w:rPr>
              <w:t>ZL 2022 3 0639814.5</w:t>
            </w:r>
            <w:bookmarkEnd w:id="4"/>
          </w:p>
        </w:tc>
        <w:tc>
          <w:tcPr>
            <w:tcW w:w="85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2023.3.21</w:t>
            </w:r>
          </w:p>
        </w:tc>
        <w:tc>
          <w:tcPr>
            <w:tcW w:w="1034"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国家知识产权局</w:t>
            </w:r>
          </w:p>
        </w:tc>
        <w:tc>
          <w:tcPr>
            <w:tcW w:w="8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深圳市宜健智慧科技有限公司</w:t>
            </w:r>
          </w:p>
        </w:tc>
        <w:tc>
          <w:tcPr>
            <w:tcW w:w="7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bookmarkStart w:id="5" w:name="OLE_LINK17"/>
            <w:r>
              <w:rPr>
                <w:rFonts w:hint="eastAsia" w:ascii="仿宋" w:hAnsi="仿宋" w:eastAsia="仿宋"/>
                <w:snapToGrid w:val="0"/>
                <w:color w:val="000000"/>
                <w:sz w:val="18"/>
                <w:szCs w:val="18"/>
              </w:rPr>
              <w:t>苏箭</w:t>
            </w:r>
            <w:bookmarkEnd w:id="5"/>
          </w:p>
        </w:tc>
        <w:tc>
          <w:tcPr>
            <w:tcW w:w="834" w:type="dxa"/>
            <w:tcMar>
              <w:left w:w="57" w:type="dxa"/>
              <w:right w:w="57" w:type="dxa"/>
            </w:tcMar>
            <w:vAlign w:val="center"/>
          </w:tcPr>
          <w:p>
            <w:pPr>
              <w:jc w:val="center"/>
              <w:rPr>
                <w:rFonts w:ascii="仿宋" w:hAnsi="仿宋" w:eastAsia="仿宋"/>
              </w:rPr>
            </w:pPr>
            <w:r>
              <w:rPr>
                <w:rFonts w:hint="eastAsia" w:ascii="仿宋" w:hAnsi="仿宋" w:eastAsia="仿宋" w:cs="仿宋_GB2312"/>
                <w:bCs/>
                <w:szCs w:val="21"/>
              </w:rPr>
              <w:t>有效</w:t>
            </w:r>
          </w:p>
        </w:tc>
        <w:tc>
          <w:tcPr>
            <w:tcW w:w="1206"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cs="仿宋_GB2312"/>
                <w:bCs/>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cs="仿宋_GB2312"/>
                <w:bCs/>
                <w:szCs w:val="21"/>
              </w:rPr>
            </w:pPr>
            <w:bookmarkStart w:id="6" w:name="OLE_LINK4"/>
            <w:r>
              <w:rPr>
                <w:rFonts w:hint="eastAsia" w:ascii="仿宋" w:hAnsi="仿宋" w:eastAsia="仿宋"/>
                <w:snapToGrid w:val="0"/>
                <w:color w:val="000000"/>
                <w:sz w:val="18"/>
                <w:szCs w:val="18"/>
              </w:rPr>
              <w:t>计算机软件著作</w:t>
            </w:r>
            <w:bookmarkEnd w:id="6"/>
          </w:p>
        </w:tc>
        <w:tc>
          <w:tcPr>
            <w:tcW w:w="1170" w:type="dxa"/>
            <w:gridSpan w:val="2"/>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短暂性脑缺血发作(TIA)风险预测模型软件V1.0</w:t>
            </w:r>
          </w:p>
        </w:tc>
        <w:tc>
          <w:tcPr>
            <w:tcW w:w="1035" w:type="dxa"/>
            <w:tcMar>
              <w:left w:w="57" w:type="dxa"/>
              <w:right w:w="57" w:type="dxa"/>
            </w:tcMar>
            <w:vAlign w:val="center"/>
          </w:tcPr>
          <w:p>
            <w:pPr>
              <w:jc w:val="center"/>
              <w:rPr>
                <w:rFonts w:ascii="仿宋" w:hAnsi="仿宋" w:eastAsia="仿宋"/>
              </w:rPr>
            </w:pPr>
            <w:r>
              <w:rPr>
                <w:rFonts w:hint="eastAsia" w:ascii="仿宋" w:hAnsi="仿宋" w:eastAsia="仿宋" w:cs="仿宋_GB2312"/>
                <w:bCs/>
                <w:szCs w:val="21"/>
              </w:rPr>
              <w:t>中国</w:t>
            </w:r>
          </w:p>
        </w:tc>
        <w:tc>
          <w:tcPr>
            <w:tcW w:w="97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2022SR1420912</w:t>
            </w:r>
          </w:p>
        </w:tc>
        <w:tc>
          <w:tcPr>
            <w:tcW w:w="85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2022.10.26</w:t>
            </w:r>
          </w:p>
        </w:tc>
        <w:tc>
          <w:tcPr>
            <w:tcW w:w="1034"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中华人民共和国国家版权局</w:t>
            </w:r>
          </w:p>
        </w:tc>
        <w:tc>
          <w:tcPr>
            <w:tcW w:w="8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桂林医学院</w:t>
            </w:r>
          </w:p>
        </w:tc>
        <w:tc>
          <w:tcPr>
            <w:tcW w:w="7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桂林医学院</w:t>
            </w:r>
          </w:p>
        </w:tc>
        <w:tc>
          <w:tcPr>
            <w:tcW w:w="834" w:type="dxa"/>
            <w:tcMar>
              <w:left w:w="57" w:type="dxa"/>
              <w:right w:w="57" w:type="dxa"/>
            </w:tcMar>
            <w:vAlign w:val="center"/>
          </w:tcPr>
          <w:p>
            <w:pPr>
              <w:jc w:val="center"/>
              <w:rPr>
                <w:rFonts w:ascii="仿宋" w:hAnsi="仿宋" w:eastAsia="仿宋"/>
              </w:rPr>
            </w:pPr>
            <w:r>
              <w:rPr>
                <w:rFonts w:hint="eastAsia" w:ascii="仿宋" w:hAnsi="仿宋" w:eastAsia="仿宋" w:cs="仿宋_GB2312"/>
                <w:bCs/>
                <w:szCs w:val="21"/>
              </w:rPr>
              <w:t>有效</w:t>
            </w:r>
          </w:p>
        </w:tc>
        <w:tc>
          <w:tcPr>
            <w:tcW w:w="1206"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cs="仿宋_GB2312"/>
                <w:bCs/>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snapToGrid w:val="0"/>
                <w:color w:val="000000"/>
                <w:sz w:val="18"/>
                <w:szCs w:val="18"/>
              </w:rPr>
              <w:t>计算机软件著作</w:t>
            </w:r>
          </w:p>
        </w:tc>
        <w:tc>
          <w:tcPr>
            <w:tcW w:w="1170" w:type="dxa"/>
            <w:gridSpan w:val="2"/>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AI智能运动障碍识别系统V1.0</w:t>
            </w:r>
          </w:p>
        </w:tc>
        <w:tc>
          <w:tcPr>
            <w:tcW w:w="1035" w:type="dxa"/>
            <w:tcMar>
              <w:left w:w="57" w:type="dxa"/>
              <w:right w:w="57" w:type="dxa"/>
            </w:tcMar>
            <w:vAlign w:val="center"/>
          </w:tcPr>
          <w:p>
            <w:pPr>
              <w:jc w:val="center"/>
              <w:rPr>
                <w:rFonts w:ascii="仿宋" w:hAnsi="仿宋" w:eastAsia="仿宋"/>
              </w:rPr>
            </w:pPr>
            <w:r>
              <w:rPr>
                <w:rFonts w:hint="eastAsia" w:ascii="仿宋" w:hAnsi="仿宋" w:eastAsia="仿宋" w:cs="仿宋_GB2312"/>
                <w:bCs/>
                <w:szCs w:val="21"/>
              </w:rPr>
              <w:t>中国</w:t>
            </w:r>
          </w:p>
        </w:tc>
        <w:tc>
          <w:tcPr>
            <w:tcW w:w="97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2021SR1753797</w:t>
            </w:r>
          </w:p>
        </w:tc>
        <w:tc>
          <w:tcPr>
            <w:tcW w:w="85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2021.11.16</w:t>
            </w:r>
          </w:p>
        </w:tc>
        <w:tc>
          <w:tcPr>
            <w:tcW w:w="1034"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中华人民共和国国家版权局</w:t>
            </w:r>
          </w:p>
        </w:tc>
        <w:tc>
          <w:tcPr>
            <w:tcW w:w="8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深圳市践一科技有限公司;桂林医学院</w:t>
            </w:r>
          </w:p>
        </w:tc>
        <w:tc>
          <w:tcPr>
            <w:tcW w:w="7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深圳市践一科技有限公司;桂林医学院</w:t>
            </w:r>
          </w:p>
        </w:tc>
        <w:tc>
          <w:tcPr>
            <w:tcW w:w="834" w:type="dxa"/>
            <w:tcMar>
              <w:left w:w="57" w:type="dxa"/>
              <w:right w:w="57" w:type="dxa"/>
            </w:tcMar>
            <w:vAlign w:val="center"/>
          </w:tcPr>
          <w:p>
            <w:pPr>
              <w:ind w:firstLine="210" w:firstLineChars="100"/>
              <w:rPr>
                <w:rFonts w:ascii="仿宋" w:hAnsi="仿宋" w:eastAsia="仿宋"/>
              </w:rPr>
            </w:pPr>
            <w:r>
              <w:rPr>
                <w:rFonts w:hint="eastAsia" w:ascii="仿宋" w:hAnsi="仿宋" w:eastAsia="仿宋" w:cs="仿宋_GB2312"/>
                <w:bCs/>
                <w:szCs w:val="21"/>
              </w:rPr>
              <w:t>有效</w:t>
            </w:r>
          </w:p>
        </w:tc>
        <w:tc>
          <w:tcPr>
            <w:tcW w:w="1206"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cs="仿宋_GB2312"/>
                <w:bCs/>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计算机软件著作</w:t>
            </w:r>
          </w:p>
        </w:tc>
        <w:tc>
          <w:tcPr>
            <w:tcW w:w="1170" w:type="dxa"/>
            <w:gridSpan w:val="2"/>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bookmarkStart w:id="7" w:name="OLE_LINK14"/>
            <w:r>
              <w:rPr>
                <w:rFonts w:hint="eastAsia" w:ascii="仿宋" w:hAnsi="仿宋" w:eastAsia="仿宋"/>
                <w:snapToGrid w:val="0"/>
                <w:color w:val="000000"/>
                <w:sz w:val="18"/>
                <w:szCs w:val="18"/>
              </w:rPr>
              <w:t>患者云管理小程序V1.0</w:t>
            </w:r>
            <w:bookmarkEnd w:id="7"/>
          </w:p>
        </w:tc>
        <w:tc>
          <w:tcPr>
            <w:tcW w:w="1035" w:type="dxa"/>
            <w:tcMar>
              <w:left w:w="57" w:type="dxa"/>
              <w:right w:w="57" w:type="dxa"/>
            </w:tcMar>
            <w:vAlign w:val="center"/>
          </w:tcPr>
          <w:p>
            <w:pPr>
              <w:jc w:val="center"/>
              <w:rPr>
                <w:rFonts w:ascii="仿宋" w:hAnsi="仿宋" w:eastAsia="仿宋"/>
              </w:rPr>
            </w:pPr>
            <w:r>
              <w:rPr>
                <w:rFonts w:hint="eastAsia" w:ascii="仿宋" w:hAnsi="仿宋" w:eastAsia="仿宋" w:cs="仿宋_GB2312"/>
                <w:bCs/>
                <w:szCs w:val="21"/>
              </w:rPr>
              <w:t>中国</w:t>
            </w:r>
          </w:p>
        </w:tc>
        <w:tc>
          <w:tcPr>
            <w:tcW w:w="97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2021SR1267051</w:t>
            </w:r>
          </w:p>
        </w:tc>
        <w:tc>
          <w:tcPr>
            <w:tcW w:w="85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2021.8.26</w:t>
            </w:r>
          </w:p>
        </w:tc>
        <w:tc>
          <w:tcPr>
            <w:tcW w:w="1034"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中华人民共和国国家版权局</w:t>
            </w:r>
          </w:p>
        </w:tc>
        <w:tc>
          <w:tcPr>
            <w:tcW w:w="8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桂林医学院附属医院</w:t>
            </w:r>
          </w:p>
        </w:tc>
        <w:tc>
          <w:tcPr>
            <w:tcW w:w="7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桂林医学院附属医院</w:t>
            </w:r>
          </w:p>
        </w:tc>
        <w:tc>
          <w:tcPr>
            <w:tcW w:w="834" w:type="dxa"/>
            <w:tcMar>
              <w:left w:w="57" w:type="dxa"/>
              <w:right w:w="57" w:type="dxa"/>
            </w:tcMar>
            <w:vAlign w:val="center"/>
          </w:tcPr>
          <w:p>
            <w:pPr>
              <w:ind w:firstLine="210" w:firstLineChars="100"/>
              <w:rPr>
                <w:rFonts w:ascii="仿宋" w:hAnsi="仿宋" w:eastAsia="仿宋"/>
              </w:rPr>
            </w:pPr>
            <w:r>
              <w:rPr>
                <w:rFonts w:hint="eastAsia" w:ascii="仿宋" w:hAnsi="仿宋" w:eastAsia="仿宋" w:cs="仿宋_GB2312"/>
                <w:bCs/>
                <w:szCs w:val="21"/>
              </w:rPr>
              <w:t>有效</w:t>
            </w:r>
          </w:p>
        </w:tc>
        <w:tc>
          <w:tcPr>
            <w:tcW w:w="1206"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cs="仿宋_GB2312"/>
                <w:bCs/>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计算机软件著作</w:t>
            </w:r>
          </w:p>
        </w:tc>
        <w:tc>
          <w:tcPr>
            <w:tcW w:w="1170" w:type="dxa"/>
            <w:gridSpan w:val="2"/>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远程医疗服务系统V1.0</w:t>
            </w:r>
          </w:p>
        </w:tc>
        <w:tc>
          <w:tcPr>
            <w:tcW w:w="1035" w:type="dxa"/>
            <w:tcMar>
              <w:left w:w="57" w:type="dxa"/>
              <w:right w:w="57" w:type="dxa"/>
            </w:tcMar>
            <w:vAlign w:val="center"/>
          </w:tcPr>
          <w:p>
            <w:pPr>
              <w:jc w:val="center"/>
              <w:rPr>
                <w:rFonts w:ascii="仿宋" w:hAnsi="仿宋" w:eastAsia="仿宋"/>
              </w:rPr>
            </w:pPr>
            <w:r>
              <w:rPr>
                <w:rFonts w:hint="eastAsia" w:ascii="仿宋" w:hAnsi="仿宋" w:eastAsia="仿宋" w:cs="仿宋_GB2312"/>
                <w:bCs/>
                <w:szCs w:val="21"/>
              </w:rPr>
              <w:t>中国</w:t>
            </w:r>
          </w:p>
        </w:tc>
        <w:tc>
          <w:tcPr>
            <w:tcW w:w="97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2022SR1595408</w:t>
            </w:r>
          </w:p>
        </w:tc>
        <w:tc>
          <w:tcPr>
            <w:tcW w:w="85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2022.12.21</w:t>
            </w:r>
          </w:p>
        </w:tc>
        <w:tc>
          <w:tcPr>
            <w:tcW w:w="1034"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中华人民共和国国家版权局</w:t>
            </w:r>
          </w:p>
        </w:tc>
        <w:tc>
          <w:tcPr>
            <w:tcW w:w="8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r>
              <w:rPr>
                <w:rFonts w:hint="eastAsia" w:ascii="仿宋" w:hAnsi="仿宋" w:eastAsia="仿宋"/>
                <w:snapToGrid w:val="0"/>
                <w:color w:val="000000"/>
                <w:sz w:val="18"/>
                <w:szCs w:val="18"/>
              </w:rPr>
              <w:t>深圳市宜健智慧科技有限公司</w:t>
            </w:r>
          </w:p>
        </w:tc>
        <w:tc>
          <w:tcPr>
            <w:tcW w:w="7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 w:val="18"/>
                <w:szCs w:val="18"/>
              </w:rPr>
            </w:pPr>
            <w:bookmarkStart w:id="8" w:name="OLE_LINK18"/>
            <w:r>
              <w:rPr>
                <w:rFonts w:hint="eastAsia" w:ascii="仿宋" w:hAnsi="仿宋" w:eastAsia="仿宋"/>
                <w:snapToGrid w:val="0"/>
                <w:color w:val="000000"/>
                <w:sz w:val="18"/>
                <w:szCs w:val="18"/>
              </w:rPr>
              <w:t>深圳市宜健智慧科技有限公司</w:t>
            </w:r>
            <w:bookmarkEnd w:id="8"/>
          </w:p>
        </w:tc>
        <w:tc>
          <w:tcPr>
            <w:tcW w:w="834" w:type="dxa"/>
            <w:tcMar>
              <w:left w:w="57" w:type="dxa"/>
              <w:right w:w="57" w:type="dxa"/>
            </w:tcMar>
            <w:vAlign w:val="center"/>
          </w:tcPr>
          <w:p>
            <w:pPr>
              <w:ind w:firstLine="210" w:firstLineChars="100"/>
              <w:rPr>
                <w:rFonts w:ascii="仿宋" w:hAnsi="仿宋" w:eastAsia="仿宋"/>
              </w:rPr>
            </w:pPr>
            <w:r>
              <w:rPr>
                <w:rFonts w:hint="eastAsia" w:ascii="仿宋" w:hAnsi="仿宋" w:eastAsia="仿宋" w:cs="仿宋_GB2312"/>
                <w:bCs/>
                <w:szCs w:val="21"/>
              </w:rPr>
              <w:t>有效</w:t>
            </w:r>
          </w:p>
        </w:tc>
        <w:tc>
          <w:tcPr>
            <w:tcW w:w="1206" w:type="dxa"/>
            <w:tcMar>
              <w:left w:w="57" w:type="dxa"/>
              <w:right w:w="57" w:type="dxa"/>
            </w:tcMar>
            <w:vAlign w:val="center"/>
          </w:tcPr>
          <w:p>
            <w:pPr>
              <w:spacing w:line="260" w:lineRule="exact"/>
              <w:jc w:val="center"/>
              <w:rPr>
                <w:rFonts w:ascii="仿宋" w:hAnsi="仿宋" w:eastAsia="仿宋" w:cs="仿宋_GB2312"/>
                <w:bCs/>
                <w:szCs w:val="21"/>
              </w:rPr>
            </w:pPr>
            <w:r>
              <w:rPr>
                <w:rFonts w:hint="eastAsia" w:ascii="仿宋" w:hAnsi="仿宋" w:eastAsia="仿宋" w:cs="仿宋_GB2312"/>
                <w:bCs/>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仿宋" w:hAnsi="仿宋" w:eastAsia="仿宋" w:cs="黑体"/>
                <w:bCs/>
                <w:sz w:val="18"/>
                <w:szCs w:val="18"/>
              </w:rPr>
            </w:pPr>
            <w:r>
              <w:rPr>
                <w:rFonts w:ascii="仿宋" w:hAnsi="仿宋" w:eastAsia="仿宋"/>
                <w:sz w:val="18"/>
                <w:szCs w:val="18"/>
              </w:rPr>
              <w:t>论文名称</w:t>
            </w:r>
          </w:p>
        </w:tc>
        <w:tc>
          <w:tcPr>
            <w:tcW w:w="1170" w:type="dxa"/>
            <w:gridSpan w:val="2"/>
            <w:tcMar>
              <w:left w:w="57" w:type="dxa"/>
              <w:right w:w="57" w:type="dxa"/>
            </w:tcMar>
            <w:vAlign w:val="center"/>
          </w:tcPr>
          <w:p>
            <w:pPr>
              <w:spacing w:line="260" w:lineRule="exact"/>
              <w:jc w:val="center"/>
              <w:rPr>
                <w:rFonts w:ascii="仿宋" w:hAnsi="仿宋" w:eastAsia="仿宋" w:cs="黑体"/>
                <w:bCs/>
                <w:sz w:val="18"/>
                <w:szCs w:val="18"/>
              </w:rPr>
            </w:pPr>
            <w:r>
              <w:rPr>
                <w:rFonts w:ascii="仿宋" w:hAnsi="仿宋" w:eastAsia="仿宋"/>
                <w:sz w:val="18"/>
                <w:szCs w:val="18"/>
              </w:rPr>
              <w:t>刊名</w:t>
            </w:r>
          </w:p>
        </w:tc>
        <w:tc>
          <w:tcPr>
            <w:tcW w:w="1035" w:type="dxa"/>
            <w:tcMar>
              <w:left w:w="57" w:type="dxa"/>
              <w:right w:w="57" w:type="dxa"/>
            </w:tcMar>
            <w:vAlign w:val="center"/>
          </w:tcPr>
          <w:p>
            <w:pPr>
              <w:spacing w:line="260" w:lineRule="exact"/>
              <w:jc w:val="center"/>
              <w:rPr>
                <w:rFonts w:ascii="仿宋" w:hAnsi="仿宋" w:eastAsia="仿宋" w:cs="黑体"/>
                <w:bCs/>
                <w:sz w:val="18"/>
                <w:szCs w:val="18"/>
              </w:rPr>
            </w:pPr>
            <w:r>
              <w:rPr>
                <w:rFonts w:ascii="仿宋" w:hAnsi="仿宋" w:eastAsia="仿宋"/>
                <w:sz w:val="18"/>
                <w:szCs w:val="18"/>
              </w:rPr>
              <w:t>作者</w:t>
            </w:r>
          </w:p>
        </w:tc>
        <w:tc>
          <w:tcPr>
            <w:tcW w:w="975" w:type="dxa"/>
            <w:tcMar>
              <w:left w:w="57" w:type="dxa"/>
              <w:right w:w="57" w:type="dxa"/>
            </w:tcMar>
            <w:vAlign w:val="center"/>
          </w:tcPr>
          <w:p>
            <w:pPr>
              <w:spacing w:line="260" w:lineRule="exact"/>
              <w:jc w:val="center"/>
              <w:rPr>
                <w:rFonts w:ascii="仿宋" w:hAnsi="仿宋" w:eastAsia="仿宋" w:cs="黑体"/>
                <w:bCs/>
                <w:sz w:val="18"/>
                <w:szCs w:val="18"/>
              </w:rPr>
            </w:pPr>
            <w:r>
              <w:rPr>
                <w:rFonts w:ascii="仿宋" w:hAnsi="仿宋" w:eastAsia="仿宋"/>
                <w:sz w:val="18"/>
                <w:szCs w:val="18"/>
              </w:rPr>
              <w:t>年卷页码(xx年xx卷xx页)</w:t>
            </w:r>
          </w:p>
        </w:tc>
        <w:tc>
          <w:tcPr>
            <w:tcW w:w="855" w:type="dxa"/>
            <w:tcMar>
              <w:left w:w="57" w:type="dxa"/>
              <w:right w:w="57" w:type="dxa"/>
            </w:tcMar>
            <w:vAlign w:val="center"/>
          </w:tcPr>
          <w:p>
            <w:pPr>
              <w:spacing w:line="260" w:lineRule="exact"/>
              <w:jc w:val="center"/>
              <w:rPr>
                <w:rFonts w:ascii="仿宋" w:hAnsi="仿宋" w:eastAsia="仿宋" w:cs="黑体"/>
                <w:bCs/>
                <w:sz w:val="18"/>
                <w:szCs w:val="18"/>
              </w:rPr>
            </w:pPr>
            <w:r>
              <w:rPr>
                <w:rFonts w:ascii="仿宋" w:hAnsi="仿宋" w:eastAsia="仿宋"/>
                <w:sz w:val="18"/>
                <w:szCs w:val="18"/>
              </w:rPr>
              <w:t>发表时间（年月日）</w:t>
            </w:r>
          </w:p>
        </w:tc>
        <w:tc>
          <w:tcPr>
            <w:tcW w:w="1034" w:type="dxa"/>
            <w:tcMar>
              <w:left w:w="57" w:type="dxa"/>
              <w:right w:w="57" w:type="dxa"/>
            </w:tcMar>
            <w:vAlign w:val="center"/>
          </w:tcPr>
          <w:p>
            <w:pPr>
              <w:spacing w:line="260" w:lineRule="exact"/>
              <w:jc w:val="center"/>
              <w:rPr>
                <w:rFonts w:ascii="仿宋" w:hAnsi="仿宋" w:eastAsia="仿宋" w:cs="黑体"/>
                <w:bCs/>
                <w:sz w:val="18"/>
                <w:szCs w:val="18"/>
              </w:rPr>
            </w:pPr>
            <w:r>
              <w:rPr>
                <w:rFonts w:ascii="仿宋" w:hAnsi="仿宋" w:eastAsia="仿宋"/>
                <w:sz w:val="18"/>
                <w:szCs w:val="18"/>
              </w:rPr>
              <w:t>通讯作者（含共同）</w:t>
            </w:r>
          </w:p>
        </w:tc>
        <w:tc>
          <w:tcPr>
            <w:tcW w:w="883" w:type="dxa"/>
            <w:tcMar>
              <w:left w:w="57" w:type="dxa"/>
              <w:right w:w="57" w:type="dxa"/>
            </w:tcMar>
            <w:vAlign w:val="center"/>
          </w:tcPr>
          <w:p>
            <w:pPr>
              <w:spacing w:line="260" w:lineRule="exact"/>
              <w:jc w:val="center"/>
              <w:rPr>
                <w:rFonts w:ascii="仿宋" w:hAnsi="仿宋" w:eastAsia="仿宋" w:cs="黑体"/>
                <w:bCs/>
                <w:sz w:val="18"/>
                <w:szCs w:val="18"/>
              </w:rPr>
            </w:pPr>
            <w:r>
              <w:rPr>
                <w:rFonts w:ascii="仿宋" w:hAnsi="仿宋" w:eastAsia="仿宋"/>
                <w:sz w:val="18"/>
                <w:szCs w:val="18"/>
              </w:rPr>
              <w:t>第一作者(含共同)</w:t>
            </w:r>
          </w:p>
        </w:tc>
        <w:tc>
          <w:tcPr>
            <w:tcW w:w="783" w:type="dxa"/>
            <w:tcMar>
              <w:left w:w="57" w:type="dxa"/>
              <w:right w:w="57" w:type="dxa"/>
            </w:tcMar>
            <w:vAlign w:val="center"/>
          </w:tcPr>
          <w:p>
            <w:pPr>
              <w:spacing w:line="260" w:lineRule="exact"/>
              <w:jc w:val="center"/>
              <w:rPr>
                <w:rFonts w:ascii="仿宋" w:hAnsi="仿宋" w:eastAsia="仿宋" w:cs="黑体"/>
                <w:bCs/>
                <w:sz w:val="18"/>
                <w:szCs w:val="18"/>
              </w:rPr>
            </w:pPr>
            <w:r>
              <w:rPr>
                <w:rFonts w:ascii="仿宋" w:hAnsi="仿宋" w:eastAsia="仿宋"/>
                <w:sz w:val="18"/>
                <w:szCs w:val="18"/>
              </w:rPr>
              <w:t>署名单位</w:t>
            </w:r>
          </w:p>
        </w:tc>
        <w:tc>
          <w:tcPr>
            <w:tcW w:w="834" w:type="dxa"/>
            <w:tcMar>
              <w:left w:w="57" w:type="dxa"/>
              <w:right w:w="57" w:type="dxa"/>
            </w:tcMar>
            <w:vAlign w:val="center"/>
          </w:tcPr>
          <w:p>
            <w:pPr>
              <w:spacing w:line="260" w:lineRule="exact"/>
              <w:jc w:val="center"/>
              <w:rPr>
                <w:rFonts w:ascii="仿宋" w:hAnsi="仿宋" w:eastAsia="仿宋" w:cs="黑体"/>
                <w:bCs/>
                <w:sz w:val="18"/>
                <w:szCs w:val="18"/>
              </w:rPr>
            </w:pPr>
          </w:p>
        </w:tc>
        <w:tc>
          <w:tcPr>
            <w:tcW w:w="1206" w:type="dxa"/>
            <w:tcMar>
              <w:left w:w="57" w:type="dxa"/>
              <w:right w:w="57" w:type="dxa"/>
            </w:tcMar>
            <w:vAlign w:val="center"/>
          </w:tcPr>
          <w:p>
            <w:pPr>
              <w:spacing w:line="260" w:lineRule="exact"/>
              <w:jc w:val="center"/>
              <w:rPr>
                <w:rFonts w:ascii="仿宋" w:hAnsi="仿宋" w:eastAsia="仿宋" w:cs="黑体"/>
                <w:bCs/>
                <w:sz w:val="18"/>
                <w:szCs w:val="18"/>
              </w:rPr>
            </w:pPr>
            <w:r>
              <w:rPr>
                <w:rFonts w:ascii="仿宋" w:hAnsi="仿宋" w:eastAsia="仿宋"/>
                <w:sz w:val="18"/>
                <w:szCs w:val="18"/>
              </w:rPr>
              <w:t>广西单位是否</w:t>
            </w:r>
            <w:r>
              <w:rPr>
                <w:rFonts w:hint="eastAsia" w:ascii="仿宋" w:hAnsi="仿宋" w:eastAsia="仿宋"/>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Cs w:val="32"/>
              </w:rPr>
            </w:pPr>
            <w:r>
              <w:rPr>
                <w:rFonts w:hint="eastAsia" w:ascii="仿宋" w:hAnsi="仿宋" w:eastAsia="仿宋"/>
                <w:snapToGrid w:val="0"/>
                <w:color w:val="000000"/>
                <w:szCs w:val="32"/>
              </w:rPr>
              <w:t>Feasibility study for implementation of the AI-powered</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Internet+ Primary Care</w:t>
            </w:r>
            <w:r>
              <w:rPr>
                <w:rFonts w:hint="eastAsia" w:ascii="仿宋" w:hAnsi="仿宋" w:eastAsia="仿宋"/>
                <w:snapToGrid w:val="0"/>
                <w:color w:val="000000"/>
                <w:szCs w:val="32"/>
              </w:rPr>
              <w:t xml:space="preserve"> </w:t>
            </w:r>
            <w:r>
              <w:rPr>
                <w:rFonts w:ascii="仿宋" w:hAnsi="仿宋" w:eastAsia="仿宋"/>
                <w:snapToGrid w:val="0"/>
                <w:color w:val="000000"/>
                <w:szCs w:val="32"/>
              </w:rPr>
              <w:t>Model (AiPCM) across hospitals and</w:t>
            </w:r>
          </w:p>
          <w:p>
            <w:pPr>
              <w:spacing w:line="260" w:lineRule="exact"/>
              <w:jc w:val="center"/>
              <w:rPr>
                <w:rFonts w:ascii="仿宋" w:hAnsi="仿宋" w:eastAsia="仿宋" w:cs="仿宋_GB2312"/>
                <w:szCs w:val="21"/>
              </w:rPr>
            </w:pPr>
            <w:r>
              <w:rPr>
                <w:rFonts w:ascii="仿宋" w:hAnsi="仿宋" w:eastAsia="仿宋"/>
                <w:snapToGrid w:val="0"/>
                <w:color w:val="000000"/>
                <w:szCs w:val="32"/>
              </w:rPr>
              <w:t>clinics in Gongcheng county, Guangxi, China</w:t>
            </w:r>
          </w:p>
        </w:tc>
        <w:tc>
          <w:tcPr>
            <w:tcW w:w="1170" w:type="dxa"/>
            <w:gridSpan w:val="2"/>
            <w:tcMar>
              <w:left w:w="57" w:type="dxa"/>
              <w:right w:w="57" w:type="dxa"/>
            </w:tcMar>
            <w:vAlign w:val="center"/>
          </w:tcPr>
          <w:p>
            <w:pPr>
              <w:spacing w:line="260" w:lineRule="exact"/>
              <w:jc w:val="center"/>
              <w:rPr>
                <w:rFonts w:ascii="仿宋" w:hAnsi="仿宋" w:eastAsia="仿宋" w:cs="仿宋_GB2312"/>
                <w:szCs w:val="21"/>
              </w:rPr>
            </w:pPr>
            <w:r>
              <w:fldChar w:fldCharType="begin"/>
            </w:r>
            <w:r>
              <w:instrText xml:space="preserve"> HYPERLINK "https://xueshu.baidu.com/usercenter/data/journal?cmd=jump&amp;tn=SE_baiduxueshu_c1gjeupa&amp;ie=utf-8&amp;sc_f_para=sc_hilight=publish&amp;sort=sc_cited&amp;wd=journaluri:(f3c787c112cd70b3)%20The%20Lancet" \t "https://xueshu.baidu.com/usercenter/paper/_blank" \o "The Lancet" </w:instrText>
            </w:r>
            <w:r>
              <w:fldChar w:fldCharType="separate"/>
            </w:r>
            <w:r>
              <w:rPr>
                <w:rFonts w:hint="eastAsia" w:ascii="仿宋" w:hAnsi="仿宋" w:eastAsia="仿宋"/>
                <w:snapToGrid w:val="0"/>
                <w:color w:val="000000"/>
                <w:szCs w:val="32"/>
              </w:rPr>
              <w:t>The Lancet</w:t>
            </w:r>
            <w:r>
              <w:rPr>
                <w:rFonts w:hint="eastAsia" w:ascii="仿宋" w:hAnsi="仿宋" w:eastAsia="仿宋"/>
                <w:snapToGrid w:val="0"/>
                <w:color w:val="000000"/>
                <w:szCs w:val="32"/>
              </w:rPr>
              <w:fldChar w:fldCharType="end"/>
            </w:r>
          </w:p>
        </w:tc>
        <w:tc>
          <w:tcPr>
            <w:tcW w:w="103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Cs w:val="32"/>
              </w:rPr>
            </w:pPr>
            <w:r>
              <w:rPr>
                <w:rFonts w:hint="eastAsia" w:ascii="仿宋" w:hAnsi="仿宋" w:eastAsia="仿宋"/>
                <w:snapToGrid w:val="0"/>
                <w:color w:val="000000"/>
                <w:szCs w:val="32"/>
              </w:rPr>
              <w:t>Anjun Chen（陈安均）, Zhiyong Zhang（张志勇）, Qinghua Li（李清华）, Wei Jiang, （蒋伟）</w:t>
            </w:r>
            <w:bookmarkStart w:id="9" w:name="OLE_LINK10"/>
            <w:r>
              <w:rPr>
                <w:rFonts w:hint="eastAsia" w:ascii="仿宋" w:hAnsi="仿宋" w:eastAsia="仿宋"/>
                <w:snapToGrid w:val="0"/>
                <w:color w:val="000000"/>
                <w:szCs w:val="32"/>
              </w:rPr>
              <w:t>Qiyu Zheng（</w:t>
            </w:r>
            <w:r>
              <w:rPr>
                <w:rFonts w:hint="eastAsia" w:ascii="仿宋" w:hAnsi="仿宋" w:eastAsia="仿宋" w:cs="Segoe UI"/>
                <w:color w:val="101214"/>
                <w:szCs w:val="21"/>
              </w:rPr>
              <w:t>郑启宇</w:t>
            </w:r>
            <w:r>
              <w:rPr>
                <w:rFonts w:hint="eastAsia" w:ascii="仿宋" w:hAnsi="仿宋" w:eastAsia="仿宋"/>
                <w:snapToGrid w:val="0"/>
                <w:color w:val="000000"/>
                <w:szCs w:val="32"/>
              </w:rPr>
              <w:t>）, Zhiming He（</w:t>
            </w:r>
            <w:r>
              <w:rPr>
                <w:rFonts w:hint="eastAsia" w:ascii="仿宋" w:hAnsi="仿宋" w:eastAsia="仿宋" w:cs="Segoe UI"/>
                <w:color w:val="101214"/>
                <w:szCs w:val="21"/>
              </w:rPr>
              <w:t>何志明</w:t>
            </w:r>
            <w:r>
              <w:rPr>
                <w:rFonts w:hint="eastAsia" w:ascii="仿宋" w:hAnsi="仿宋" w:eastAsia="仿宋"/>
                <w:snapToGrid w:val="0"/>
                <w:color w:val="000000"/>
                <w:szCs w:val="32"/>
              </w:rPr>
              <w:t>）, Hui Chen（</w:t>
            </w:r>
            <w:r>
              <w:rPr>
                <w:rFonts w:hint="eastAsia" w:ascii="仿宋" w:hAnsi="仿宋" w:eastAsia="仿宋" w:cs="Segoe UI"/>
                <w:color w:val="101214"/>
                <w:szCs w:val="21"/>
              </w:rPr>
              <w:t>陈辉</w:t>
            </w:r>
            <w:r>
              <w:rPr>
                <w:rFonts w:hint="eastAsia" w:ascii="仿宋" w:hAnsi="仿宋" w:eastAsia="仿宋"/>
                <w:snapToGrid w:val="0"/>
                <w:color w:val="000000"/>
                <w:szCs w:val="32"/>
              </w:rPr>
              <w:t>）, Ruobing Han（</w:t>
            </w:r>
            <w:r>
              <w:rPr>
                <w:rFonts w:hint="eastAsia" w:ascii="仿宋" w:hAnsi="仿宋" w:eastAsia="仿宋" w:cs="Segoe UI"/>
                <w:color w:val="101214"/>
                <w:szCs w:val="21"/>
              </w:rPr>
              <w:t>韩若冰</w:t>
            </w:r>
            <w:r>
              <w:rPr>
                <w:rFonts w:hint="eastAsia" w:ascii="仿宋" w:hAnsi="仿宋" w:eastAsia="仿宋"/>
                <w:snapToGrid w:val="0"/>
                <w:color w:val="000000"/>
                <w:szCs w:val="32"/>
              </w:rPr>
              <w:t>）, Han-Zhu Qian</w:t>
            </w:r>
            <w:bookmarkEnd w:id="9"/>
            <w:r>
              <w:rPr>
                <w:rFonts w:hint="eastAsia" w:ascii="仿宋" w:hAnsi="仿宋" w:eastAsia="仿宋"/>
                <w:snapToGrid w:val="0"/>
                <w:color w:val="000000"/>
                <w:szCs w:val="32"/>
              </w:rPr>
              <w:t>（</w:t>
            </w:r>
            <w:r>
              <w:rPr>
                <w:rFonts w:hint="eastAsia" w:ascii="仿宋" w:hAnsi="仿宋" w:eastAsia="仿宋" w:cs="Segoe UI"/>
                <w:color w:val="101214"/>
                <w:szCs w:val="21"/>
                <w:shd w:val="clear" w:color="auto" w:fill="FFFFFF"/>
              </w:rPr>
              <w:t>钱汉柱</w:t>
            </w:r>
            <w:r>
              <w:rPr>
                <w:rFonts w:hint="eastAsia" w:ascii="仿宋" w:hAnsi="仿宋" w:eastAsia="仿宋"/>
                <w:snapToGrid w:val="0"/>
                <w:color w:val="000000"/>
                <w:szCs w:val="32"/>
              </w:rPr>
              <w:t>）</w:t>
            </w:r>
          </w:p>
        </w:tc>
        <w:tc>
          <w:tcPr>
            <w:tcW w:w="975" w:type="dxa"/>
            <w:tcMar>
              <w:left w:w="57" w:type="dxa"/>
              <w:right w:w="57" w:type="dxa"/>
            </w:tcMar>
            <w:vAlign w:val="center"/>
          </w:tcPr>
          <w:p>
            <w:pPr>
              <w:spacing w:line="260" w:lineRule="exact"/>
              <w:jc w:val="center"/>
              <w:rPr>
                <w:rFonts w:ascii="仿宋" w:hAnsi="仿宋" w:eastAsia="仿宋" w:cs="仿宋_GB2312"/>
                <w:szCs w:val="21"/>
              </w:rPr>
            </w:pPr>
            <w:bookmarkStart w:id="10" w:name="OLE_LINK19"/>
            <w:r>
              <w:rPr>
                <w:rFonts w:hint="eastAsia" w:ascii="仿宋" w:hAnsi="仿宋" w:eastAsia="仿宋"/>
                <w:snapToGrid w:val="0"/>
                <w:color w:val="000000"/>
                <w:szCs w:val="32"/>
              </w:rPr>
              <w:t>2019,394：S44</w:t>
            </w:r>
            <w:bookmarkEnd w:id="10"/>
          </w:p>
        </w:tc>
        <w:tc>
          <w:tcPr>
            <w:tcW w:w="855" w:type="dxa"/>
            <w:tcMar>
              <w:left w:w="57" w:type="dxa"/>
              <w:right w:w="57" w:type="dxa"/>
            </w:tcMar>
            <w:vAlign w:val="center"/>
          </w:tcPr>
          <w:p>
            <w:pPr>
              <w:spacing w:line="260" w:lineRule="exact"/>
              <w:jc w:val="center"/>
              <w:rPr>
                <w:rFonts w:ascii="仿宋" w:hAnsi="仿宋" w:eastAsia="仿宋" w:cs="仿宋_GB2312"/>
                <w:szCs w:val="21"/>
              </w:rPr>
            </w:pPr>
            <w:r>
              <w:rPr>
                <w:rFonts w:hint="eastAsia" w:ascii="仿宋" w:hAnsi="仿宋" w:eastAsia="仿宋"/>
                <w:snapToGrid w:val="0"/>
                <w:color w:val="000000"/>
                <w:szCs w:val="32"/>
              </w:rPr>
              <w:t>2019.10.18</w:t>
            </w:r>
          </w:p>
        </w:tc>
        <w:tc>
          <w:tcPr>
            <w:tcW w:w="1034"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Cs w:val="32"/>
              </w:rPr>
            </w:pPr>
            <w:r>
              <w:rPr>
                <w:rFonts w:hint="eastAsia" w:ascii="仿宋" w:hAnsi="仿宋" w:eastAsia="仿宋"/>
                <w:snapToGrid w:val="0"/>
                <w:color w:val="000000"/>
                <w:szCs w:val="32"/>
              </w:rPr>
              <w:t>Anjun Chen（陈安均）</w:t>
            </w:r>
          </w:p>
        </w:tc>
        <w:tc>
          <w:tcPr>
            <w:tcW w:w="8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Cs w:val="32"/>
              </w:rPr>
            </w:pPr>
            <w:r>
              <w:rPr>
                <w:rFonts w:hint="eastAsia" w:ascii="仿宋" w:hAnsi="仿宋" w:eastAsia="仿宋"/>
                <w:snapToGrid w:val="0"/>
                <w:color w:val="000000"/>
                <w:szCs w:val="32"/>
              </w:rPr>
              <w:t>Anjun Chen（陈安均）</w:t>
            </w:r>
          </w:p>
        </w:tc>
        <w:tc>
          <w:tcPr>
            <w:tcW w:w="7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Cs w:val="32"/>
              </w:rPr>
            </w:pPr>
            <w:r>
              <w:rPr>
                <w:rFonts w:hint="eastAsia" w:ascii="仿宋" w:hAnsi="仿宋" w:eastAsia="仿宋"/>
                <w:snapToGrid w:val="0"/>
                <w:color w:val="000000"/>
                <w:szCs w:val="32"/>
              </w:rPr>
              <w:t>Guilin Medical University,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Guilin, Guangxi, China</w:t>
            </w:r>
          </w:p>
          <w:p>
            <w:pPr>
              <w:adjustRightInd w:val="0"/>
              <w:snapToGrid w:val="0"/>
              <w:spacing w:line="320" w:lineRule="exact"/>
              <w:jc w:val="center"/>
              <w:rPr>
                <w:rFonts w:ascii="仿宋" w:hAnsi="仿宋" w:eastAsia="仿宋"/>
                <w:snapToGrid w:val="0"/>
                <w:color w:val="000000"/>
                <w:szCs w:val="32"/>
              </w:rPr>
            </w:pPr>
            <w:r>
              <w:rPr>
                <w:rFonts w:hint="eastAsia" w:ascii="仿宋" w:hAnsi="仿宋" w:eastAsia="仿宋"/>
                <w:snapToGrid w:val="0"/>
                <w:color w:val="000000"/>
                <w:szCs w:val="32"/>
              </w:rPr>
              <w:t>（桂林医学院）;</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Guilin Medical University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Affiliated Hospital, Guilin,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xml:space="preserve">Guangxi, China </w:t>
            </w:r>
            <w:r>
              <w:rPr>
                <w:rFonts w:hint="eastAsia" w:ascii="仿宋" w:hAnsi="仿宋" w:eastAsia="仿宋"/>
                <w:snapToGrid w:val="0"/>
                <w:color w:val="000000"/>
                <w:szCs w:val="32"/>
              </w:rPr>
              <w:t>（桂林医学院附属医院）</w:t>
            </w:r>
            <w:r>
              <w:rPr>
                <w:rFonts w:ascii="仿宋" w:hAnsi="仿宋" w:eastAsia="仿宋"/>
                <w:snapToGrid w:val="0"/>
                <w:color w:val="000000"/>
                <w:szCs w:val="32"/>
              </w:rPr>
              <w:t>;</w:t>
            </w:r>
          </w:p>
          <w:p>
            <w:pPr>
              <w:adjustRightInd w:val="0"/>
              <w:snapToGrid w:val="0"/>
              <w:spacing w:line="320" w:lineRule="exact"/>
              <w:jc w:val="center"/>
              <w:rPr>
                <w:rFonts w:ascii="仿宋" w:hAnsi="仿宋" w:eastAsia="仿宋"/>
                <w:snapToGrid w:val="0"/>
                <w:color w:val="000000"/>
                <w:szCs w:val="32"/>
              </w:rPr>
            </w:pPr>
            <w:bookmarkStart w:id="11" w:name="OLE_LINK11"/>
            <w:r>
              <w:rPr>
                <w:rFonts w:ascii="仿宋" w:hAnsi="仿宋" w:eastAsia="仿宋"/>
                <w:snapToGrid w:val="0"/>
                <w:color w:val="000000"/>
                <w:szCs w:val="32"/>
              </w:rPr>
              <w:t>Gongcheng County Hospital,</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Guilin, Guangxi, China</w:t>
            </w:r>
            <w:bookmarkEnd w:id="11"/>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w:t>
            </w:r>
            <w:r>
              <w:rPr>
                <w:rFonts w:hint="eastAsia" w:ascii="仿宋" w:hAnsi="仿宋" w:eastAsia="仿宋"/>
                <w:snapToGrid w:val="0"/>
                <w:color w:val="000000"/>
                <w:szCs w:val="32"/>
              </w:rPr>
              <w:t>恭城县人民医院</w:t>
            </w:r>
            <w:r>
              <w:rPr>
                <w:rFonts w:ascii="仿宋" w:hAnsi="仿宋" w:eastAsia="仿宋"/>
                <w:snapToGrid w:val="0"/>
                <w:color w:val="000000"/>
                <w:szCs w:val="32"/>
              </w:rPr>
              <w: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Limu Town Health Center,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Gongcheng County, Guilin,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Guangxi, China (</w:t>
            </w:r>
            <w:r>
              <w:rPr>
                <w:rFonts w:hint="eastAsia" w:ascii="仿宋" w:hAnsi="仿宋" w:eastAsia="仿宋" w:cs="Segoe UI"/>
                <w:color w:val="101214"/>
                <w:szCs w:val="21"/>
                <w:shd w:val="clear" w:color="auto" w:fill="FFFFFF"/>
              </w:rPr>
              <w:t>荔木镇中心卫生院</w:t>
            </w:r>
            <w:r>
              <w:rPr>
                <w:rFonts w:ascii="仿宋" w:hAnsi="仿宋" w:eastAsia="仿宋"/>
                <w:snapToGrid w:val="0"/>
                <w:color w:val="000000"/>
                <w:szCs w:val="32"/>
              </w:rPr>
              <w: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School of Health Management,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Guilin Medical University,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Guilin, Guangxi, China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w:t>
            </w:r>
            <w:r>
              <w:rPr>
                <w:rFonts w:hint="eastAsia" w:ascii="仿宋" w:hAnsi="仿宋" w:eastAsia="仿宋"/>
                <w:snapToGrid w:val="0"/>
                <w:color w:val="000000"/>
                <w:szCs w:val="32"/>
              </w:rPr>
              <w:t>桂林医学院公共卫生学院</w:t>
            </w:r>
            <w:r>
              <w:rPr>
                <w:rFonts w:ascii="仿宋" w:hAnsi="仿宋" w:eastAsia="仿宋"/>
                <w:snapToGrid w:val="0"/>
                <w:color w:val="000000"/>
                <w:szCs w:val="32"/>
              </w:rPr>
              <w:t>); iHealthd</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Shanghai Inc., Shanghai, China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w:t>
            </w:r>
            <w:r>
              <w:rPr>
                <w:rFonts w:hint="eastAsia" w:ascii="仿宋" w:hAnsi="仿宋" w:eastAsia="仿宋"/>
                <w:snapToGrid w:val="0"/>
                <w:color w:val="000000"/>
                <w:szCs w:val="32"/>
              </w:rPr>
              <w:t>上海均康信息科技有限公司</w:t>
            </w:r>
            <w:r>
              <w:rPr>
                <w:rFonts w:ascii="仿宋" w:hAnsi="仿宋" w:eastAsia="仿宋"/>
                <w:snapToGrid w:val="0"/>
                <w:color w:val="000000"/>
                <w:szCs w:val="32"/>
              </w:rPr>
              <w:t>); School of Public</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Health, Yale University, New</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Haven, CT, USA (</w:t>
            </w:r>
            <w:r>
              <w:rPr>
                <w:rFonts w:hint="eastAsia" w:ascii="仿宋" w:hAnsi="仿宋" w:eastAsia="仿宋" w:cs="Segoe UI"/>
                <w:color w:val="101214"/>
                <w:szCs w:val="21"/>
                <w:shd w:val="clear" w:color="auto" w:fill="FFFFFF"/>
              </w:rPr>
              <w:t>耶鲁大学公共卫生学院，美国康涅狄格州纽黑文</w:t>
            </w:r>
            <w:r>
              <w:rPr>
                <w:rFonts w:ascii="仿宋" w:hAnsi="仿宋" w:eastAsia="仿宋"/>
                <w:snapToGrid w:val="0"/>
                <w:color w:val="000000"/>
                <w:szCs w:val="32"/>
              </w:rPr>
              <w:t>)</w:t>
            </w:r>
          </w:p>
          <w:p>
            <w:pPr>
              <w:adjustRightInd w:val="0"/>
              <w:snapToGrid w:val="0"/>
              <w:spacing w:line="320" w:lineRule="exact"/>
              <w:jc w:val="center"/>
              <w:rPr>
                <w:rFonts w:ascii="仿宋" w:hAnsi="仿宋" w:eastAsia="仿宋"/>
                <w:snapToGrid w:val="0"/>
                <w:color w:val="000000"/>
                <w:szCs w:val="32"/>
              </w:rPr>
            </w:pPr>
          </w:p>
        </w:tc>
        <w:tc>
          <w:tcPr>
            <w:tcW w:w="834" w:type="dxa"/>
            <w:tcMar>
              <w:left w:w="57" w:type="dxa"/>
              <w:right w:w="57" w:type="dxa"/>
            </w:tcMar>
            <w:vAlign w:val="center"/>
          </w:tcPr>
          <w:p>
            <w:pPr>
              <w:spacing w:line="260" w:lineRule="exact"/>
              <w:jc w:val="center"/>
              <w:rPr>
                <w:rFonts w:ascii="仿宋" w:hAnsi="仿宋" w:eastAsia="仿宋" w:cs="仿宋_GB2312"/>
                <w:bCs/>
                <w:szCs w:val="21"/>
              </w:rPr>
            </w:pPr>
          </w:p>
        </w:tc>
        <w:tc>
          <w:tcPr>
            <w:tcW w:w="1206" w:type="dxa"/>
            <w:tcMar>
              <w:left w:w="57" w:type="dxa"/>
              <w:right w:w="57" w:type="dxa"/>
            </w:tcMar>
            <w:vAlign w:val="center"/>
          </w:tcPr>
          <w:p>
            <w:pPr>
              <w:spacing w:line="260" w:lineRule="exact"/>
              <w:jc w:val="center"/>
              <w:rPr>
                <w:rFonts w:ascii="仿宋" w:hAnsi="仿宋" w:eastAsia="仿宋" w:cs="仿宋_GB2312"/>
                <w:szCs w:val="21"/>
              </w:rPr>
            </w:pPr>
            <w:r>
              <w:rPr>
                <w:rFonts w:hint="eastAsia" w:ascii="仿宋" w:hAnsi="仿宋" w:eastAsia="仿宋"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Hypoxia-induced acetylation of PAK1 enhances</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autophagy and promotes brain tumorigenesis via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phosphorylating ATG5</w:t>
            </w:r>
          </w:p>
        </w:tc>
        <w:tc>
          <w:tcPr>
            <w:tcW w:w="1170" w:type="dxa"/>
            <w:gridSpan w:val="2"/>
            <w:tcMar>
              <w:left w:w="57" w:type="dxa"/>
              <w:right w:w="57" w:type="dxa"/>
            </w:tcMar>
            <w:vAlign w:val="center"/>
          </w:tcPr>
          <w:p>
            <w:pPr>
              <w:spacing w:line="260" w:lineRule="exact"/>
              <w:jc w:val="center"/>
              <w:rPr>
                <w:rFonts w:ascii="仿宋" w:hAnsi="仿宋" w:eastAsia="仿宋" w:cs="仿宋_GB2312"/>
                <w:szCs w:val="21"/>
              </w:rPr>
            </w:pPr>
            <w:r>
              <w:rPr>
                <w:rFonts w:ascii="仿宋" w:hAnsi="仿宋" w:eastAsia="仿宋"/>
                <w:snapToGrid w:val="0"/>
                <w:color w:val="000000"/>
                <w:szCs w:val="32"/>
              </w:rPr>
              <w:t>AUTOPHAGY</w:t>
            </w:r>
          </w:p>
        </w:tc>
        <w:tc>
          <w:tcPr>
            <w:tcW w:w="103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Xing F</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eng（</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冯星）</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Heng</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Zhang</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（张衡</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Li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ngbing</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Meng（</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孟令丙</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），Hu</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iwen S</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ong（</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宋慧文</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Qi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ngxin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Zhou（</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周庆鑫</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Ch</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ao Qu</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（曲超</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Pa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 Zhao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（赵盼</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Qi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nghua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Li（李</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清华）</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Chan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g Zou</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（邹畅</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Xi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ng Liu</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（刘幸</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Zh</w:t>
            </w:r>
          </w:p>
          <w:p>
            <w:pPr>
              <w:adjustRightInd w:val="0"/>
              <w:snapToGrid w:val="0"/>
              <w:spacing w:line="320" w:lineRule="exact"/>
              <w:jc w:val="center"/>
              <w:rPr>
                <w:rFonts w:ascii="仿宋" w:hAnsi="仿宋" w:eastAsia="仿宋"/>
                <w:snapToGrid w:val="0"/>
                <w:color w:val="000000"/>
                <w:szCs w:val="32"/>
              </w:rPr>
            </w:pPr>
            <w:r>
              <w:rPr>
                <w:rFonts w:hint="eastAsia" w:ascii="仿宋" w:hAnsi="仿宋" w:eastAsia="仿宋"/>
                <w:snapToGrid w:val="0"/>
                <w:color w:val="000000"/>
                <w:szCs w:val="32"/>
              </w:rPr>
              <w:t>i</w:t>
            </w:r>
            <w:r>
              <w:rPr>
                <w:rFonts w:ascii="仿宋" w:hAnsi="仿宋" w:eastAsia="仿宋"/>
                <w:snapToGrid w:val="0"/>
                <w:color w:val="000000"/>
                <w:szCs w:val="32"/>
              </w:rPr>
              <w:t>yong</w:t>
            </w:r>
            <w:r>
              <w:rPr>
                <w:rFonts w:hint="eastAsia" w:ascii="仿宋" w:hAnsi="仿宋" w:eastAsia="仿宋"/>
                <w:snapToGrid w:val="0"/>
                <w:color w:val="000000"/>
                <w:szCs w:val="32"/>
              </w:rPr>
              <w:t xml:space="preserve"> </w:t>
            </w:r>
            <w:r>
              <w:rPr>
                <w:rFonts w:ascii="仿宋" w:hAnsi="仿宋" w:eastAsia="仿宋"/>
                <w:snapToGrid w:val="0"/>
                <w:color w:val="000000"/>
                <w:szCs w:val="32"/>
              </w:rPr>
              <w:t>Zhang</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张</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志</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勇）</w:t>
            </w:r>
          </w:p>
        </w:tc>
        <w:tc>
          <w:tcPr>
            <w:tcW w:w="975"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Cs w:val="32"/>
              </w:rPr>
            </w:pPr>
            <w:bookmarkStart w:id="12" w:name="OLE_LINK21"/>
            <w:bookmarkStart w:id="13" w:name="OLE_LINK9"/>
            <w:r>
              <w:rPr>
                <w:rFonts w:ascii="仿宋" w:hAnsi="仿宋" w:eastAsia="仿宋"/>
                <w:snapToGrid w:val="0"/>
                <w:color w:val="000000"/>
                <w:szCs w:val="32"/>
              </w:rPr>
              <w:t>202</w:t>
            </w:r>
            <w:r>
              <w:rPr>
                <w:rFonts w:hint="eastAsia" w:ascii="仿宋" w:hAnsi="仿宋" w:eastAsia="仿宋"/>
                <w:snapToGrid w:val="0"/>
                <w:color w:val="000000"/>
                <w:szCs w:val="32"/>
              </w:rPr>
              <w:t>1</w:t>
            </w:r>
            <w:r>
              <w:rPr>
                <w:rFonts w:ascii="仿宋" w:hAnsi="仿宋" w:eastAsia="仿宋"/>
                <w:snapToGrid w:val="0"/>
                <w:color w:val="000000"/>
                <w:szCs w:val="32"/>
              </w:rPr>
              <w:t>;17(</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3):723-7</w:t>
            </w:r>
          </w:p>
          <w:p>
            <w:pPr>
              <w:spacing w:line="260" w:lineRule="exact"/>
              <w:jc w:val="center"/>
              <w:rPr>
                <w:rFonts w:ascii="仿宋" w:hAnsi="仿宋" w:eastAsia="仿宋" w:cs="仿宋_GB2312"/>
                <w:szCs w:val="21"/>
              </w:rPr>
            </w:pPr>
            <w:r>
              <w:rPr>
                <w:rFonts w:ascii="仿宋" w:hAnsi="仿宋" w:eastAsia="仿宋"/>
                <w:snapToGrid w:val="0"/>
                <w:color w:val="000000"/>
                <w:szCs w:val="32"/>
              </w:rPr>
              <w:t>42.</w:t>
            </w:r>
            <w:bookmarkEnd w:id="12"/>
            <w:bookmarkEnd w:id="13"/>
          </w:p>
        </w:tc>
        <w:tc>
          <w:tcPr>
            <w:tcW w:w="855" w:type="dxa"/>
            <w:tcMar>
              <w:left w:w="57" w:type="dxa"/>
              <w:right w:w="57" w:type="dxa"/>
            </w:tcMar>
            <w:vAlign w:val="center"/>
          </w:tcPr>
          <w:p>
            <w:pPr>
              <w:spacing w:line="260" w:lineRule="exact"/>
              <w:jc w:val="center"/>
              <w:rPr>
                <w:rFonts w:ascii="仿宋" w:hAnsi="仿宋" w:eastAsia="仿宋" w:cs="仿宋_GB2312"/>
                <w:szCs w:val="21"/>
              </w:rPr>
            </w:pPr>
            <w:r>
              <w:rPr>
                <w:rFonts w:hint="eastAsia" w:ascii="仿宋" w:hAnsi="仿宋" w:eastAsia="仿宋"/>
                <w:snapToGrid w:val="0"/>
                <w:color w:val="000000"/>
                <w:szCs w:val="32"/>
              </w:rPr>
              <w:t>2020.3.18</w:t>
            </w:r>
          </w:p>
        </w:tc>
        <w:tc>
          <w:tcPr>
            <w:tcW w:w="1034"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Cs w:val="32"/>
              </w:rPr>
            </w:pPr>
            <w:bookmarkStart w:id="14" w:name="OLE_LINK15"/>
            <w:r>
              <w:rPr>
                <w:rFonts w:ascii="仿宋" w:hAnsi="仿宋" w:eastAsia="仿宋"/>
                <w:snapToGrid w:val="0"/>
                <w:color w:val="000000"/>
                <w:szCs w:val="32"/>
              </w:rPr>
              <w:t>Qinghua Li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（李清华）</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Chang Zo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u（邹畅）,</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Xing Liu（</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刘幸）, Zh</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iyong Zhan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g（张志勇</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w:t>
            </w:r>
            <w:bookmarkEnd w:id="14"/>
          </w:p>
        </w:tc>
        <w:tc>
          <w:tcPr>
            <w:tcW w:w="8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Xing F</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eng（</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冯星）</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Heng</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Zhang</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（张衡</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Li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ngbing</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Meng（</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孟令丙</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），Hu</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iwen S</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ong（</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宋慧文</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w:t>
            </w:r>
          </w:p>
        </w:tc>
        <w:tc>
          <w:tcPr>
            <w:tcW w:w="783" w:type="dxa"/>
            <w:tcMar>
              <w:left w:w="57" w:type="dxa"/>
              <w:right w:w="57" w:type="dxa"/>
            </w:tcMar>
            <w:vAlign w:val="center"/>
          </w:tcPr>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The Af</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filiat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ed Hos</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pital</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of Gui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lin Me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dical</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Univer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sity,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Guangx</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 Key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Labora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tory 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f Brai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 and</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Cognit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ive Ne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urosci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ence,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Guangx</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 Neur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ologic</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al Dis</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eases</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Clinic</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al Res</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earch</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Center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（桂林</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医学院</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附属医</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院，广</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西脑与</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认知神</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经科学</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重点实</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验室，</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广西神</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经系统</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疾病临</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床医学</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研究中心</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Dep</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art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ment 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f Immu</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nobiol</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ogy, 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ale Un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iversi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ty Sch</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ool of</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Medici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ne, Ne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w Have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 CT,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USA（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美国康</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涅狄格</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州纽黑</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文耶鲁</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大学医</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学院免</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疫生物</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学院）; Depa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rtment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of His</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tology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and Em</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bryolo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gy, Xi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ang Ya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School</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of Med</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icine,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Centra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l Sout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h Univ</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ersity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Neur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ology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Depart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ment（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中南大</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学湘雅</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医学院</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组织学</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与胚胎</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学院）；Beij</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ing Ho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spital</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Nati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onal C</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enter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of Ger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ontolo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gy（北</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京国家</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老年医</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学中心</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北京医</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院神经</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内科）</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Depa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rtment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of Car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diolog</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y, Jia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ding D</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istric</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t Cent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ral Ho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spital</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Affili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ated S</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hangha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 Univ</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ersity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of Med</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icine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&amp; Heal</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th Sci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ences</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（上海</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医科大</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学附属</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嘉定区</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中心医</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院心内</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科）;</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Depart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ment 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f Onco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logy,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The Th</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ird Affiliat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ed Hos</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pital</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of Har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bin Me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dical</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Univer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sity,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（哈尔</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滨医科</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大学第</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三附属</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医院肿</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瘤科）</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Rutg</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ers Ca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ncer 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nstitu</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te of</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New Je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rsey,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Rutger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 Univ</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ersity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New</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（新泽</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西州罗</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格斯癌</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症研究</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所罗格</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斯大学</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De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partme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nt of</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Radiat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ion On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cology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The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First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Hospit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al of</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Jilin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Univer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sity（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吉林大</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学第一</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医院放</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射肿瘤科）;</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C</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li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c</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al Med</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ical 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esearc</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h Cent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er, th</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 Firs</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t Affi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liated</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Hospit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al of</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Southe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rn Uni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versit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y of S</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cience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and Te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chnolo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gy, th</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 Seco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nd Cli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nical</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Medica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l Coll</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ege of</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Jinan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Univer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sity,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Shenzh</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en Peo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ple’s</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Hospit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al, Sh</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enzhen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（南方</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科技大</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学第一</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附属医</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院临床</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医学研</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究中心</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、暨南</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大学第</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二临床</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医学院</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，深圳</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市人民医院）</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Shen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zhen P</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ublic</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Servic</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 Plat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form 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 Tumo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r Prec</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ision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Medici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ne and</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Molecu</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lar Di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agnosi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 The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Second</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Clinic</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al Med</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ical C</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ollege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of Jin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an Uni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versit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y, She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nzhen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People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 Ho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spital</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（深圳</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肿瘤精</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准医学</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与分子</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诊断公</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共服务</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平台，</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暨南大</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学第二</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临床医</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学院，</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深圳市</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人民医</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院）;</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Depart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ment 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f Neur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ology,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the affiliat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ed hos</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pital</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of Gui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lin Me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dical</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Univer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sity（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桂林医</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学院附</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属医院</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神经内</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科）;</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Beijin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g Neur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osurgi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cal In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stitut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e（北</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京神经</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外科研</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究所）</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Depa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rtment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of Sur</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gery,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Robert</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-Wood</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Johnso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 Medi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cal Sc</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hool U</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nivers</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ity Ho</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spital</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 Rutg</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ers Un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iversi</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ty, Ne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w Brun</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swick,</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New Je</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rsey,</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USA（</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美国新</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泽西州</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新不伦</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瑞克罗格斯大</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学罗伯</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特-伍</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德-约</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翰逊医</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学院大</w:t>
            </w:r>
          </w:p>
          <w:p>
            <w:pPr>
              <w:adjustRightInd w:val="0"/>
              <w:snapToGrid w:val="0"/>
              <w:spacing w:line="320" w:lineRule="exact"/>
              <w:jc w:val="center"/>
              <w:rPr>
                <w:rFonts w:ascii="仿宋" w:hAnsi="仿宋" w:eastAsia="仿宋"/>
                <w:snapToGrid w:val="0"/>
                <w:color w:val="000000"/>
                <w:szCs w:val="32"/>
              </w:rPr>
            </w:pPr>
            <w:r>
              <w:rPr>
                <w:rFonts w:ascii="仿宋" w:hAnsi="仿宋" w:eastAsia="仿宋"/>
                <w:snapToGrid w:val="0"/>
                <w:color w:val="000000"/>
                <w:szCs w:val="32"/>
              </w:rPr>
              <w:t>学医院</w:t>
            </w:r>
          </w:p>
          <w:p>
            <w:pPr>
              <w:spacing w:line="260" w:lineRule="exact"/>
              <w:jc w:val="center"/>
              <w:rPr>
                <w:rFonts w:ascii="仿宋" w:hAnsi="仿宋" w:eastAsia="仿宋" w:cs="仿宋_GB2312"/>
                <w:szCs w:val="21"/>
              </w:rPr>
            </w:pPr>
            <w:r>
              <w:rPr>
                <w:rFonts w:ascii="仿宋" w:hAnsi="仿宋" w:eastAsia="仿宋"/>
                <w:snapToGrid w:val="0"/>
                <w:color w:val="000000"/>
                <w:szCs w:val="32"/>
              </w:rPr>
              <w:t>外科）</w:t>
            </w:r>
          </w:p>
        </w:tc>
        <w:tc>
          <w:tcPr>
            <w:tcW w:w="834" w:type="dxa"/>
            <w:tcMar>
              <w:left w:w="57" w:type="dxa"/>
              <w:right w:w="57" w:type="dxa"/>
            </w:tcMar>
            <w:vAlign w:val="center"/>
          </w:tcPr>
          <w:p>
            <w:pPr>
              <w:spacing w:line="260" w:lineRule="exact"/>
              <w:jc w:val="center"/>
              <w:rPr>
                <w:rFonts w:ascii="仿宋" w:hAnsi="仿宋" w:eastAsia="仿宋" w:cs="仿宋_GB2312"/>
                <w:bCs/>
                <w:szCs w:val="21"/>
              </w:rPr>
            </w:pPr>
          </w:p>
        </w:tc>
        <w:tc>
          <w:tcPr>
            <w:tcW w:w="1206" w:type="dxa"/>
            <w:tcMar>
              <w:left w:w="57" w:type="dxa"/>
              <w:right w:w="57" w:type="dxa"/>
            </w:tcMar>
            <w:vAlign w:val="center"/>
          </w:tcPr>
          <w:p>
            <w:pPr>
              <w:spacing w:line="260" w:lineRule="exact"/>
              <w:jc w:val="center"/>
              <w:rPr>
                <w:rFonts w:ascii="仿宋" w:hAnsi="仿宋" w:eastAsia="仿宋" w:cs="仿宋_GB2312"/>
                <w:szCs w:val="21"/>
              </w:rPr>
            </w:pPr>
            <w:r>
              <w:rPr>
                <w:rFonts w:hint="eastAsia" w:ascii="仿宋" w:hAnsi="仿宋" w:eastAsia="仿宋"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无</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科普作品名称</w:t>
            </w:r>
          </w:p>
        </w:tc>
        <w:tc>
          <w:tcPr>
            <w:tcW w:w="1170"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783" w:type="dxa"/>
            <w:tcMar>
              <w:left w:w="57" w:type="dxa"/>
              <w:right w:w="57" w:type="dxa"/>
            </w:tcMar>
            <w:vAlign w:val="center"/>
          </w:tcPr>
          <w:p>
            <w:pPr>
              <w:spacing w:line="260" w:lineRule="exact"/>
              <w:jc w:val="center"/>
              <w:rPr>
                <w:sz w:val="18"/>
                <w:szCs w:val="18"/>
              </w:rPr>
            </w:pP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无</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bidi w:val="0"/>
              <w:adjustRightInd/>
              <w:snapToGrid/>
              <w:spacing w:line="360" w:lineRule="exact"/>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bidi w:val="0"/>
              <w:adjustRightInd/>
              <w:snapToGrid/>
              <w:spacing w:line="3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w:t>
            </w:r>
            <w:r>
              <w:rPr>
                <w:rFonts w:hint="eastAsia" w:ascii="仿宋_GB2312" w:hAnsi="仿宋_GB2312" w:eastAsia="仿宋_GB2312" w:cs="仿宋_GB2312"/>
                <w:bCs/>
                <w:color w:val="auto"/>
                <w:spacing w:val="2"/>
                <w:sz w:val="28"/>
                <w:szCs w:val="28"/>
                <w:lang w:eastAsia="zh-CN"/>
              </w:rPr>
              <w:t>（科学技术进步奖</w:t>
            </w:r>
            <w:r>
              <w:rPr>
                <w:rFonts w:hint="eastAsia" w:ascii="仿宋_GB2312" w:hAnsi="仿宋_GB2312" w:eastAsia="仿宋_GB2312" w:cs="仿宋_GB2312"/>
                <w:bCs/>
                <w:color w:val="auto"/>
                <w:spacing w:val="2"/>
                <w:sz w:val="28"/>
                <w:szCs w:val="28"/>
                <w:lang w:val="en-US" w:eastAsia="zh-CN"/>
              </w:rPr>
              <w:t>-社会公益类</w:t>
            </w:r>
            <w:r>
              <w:rPr>
                <w:rFonts w:hint="eastAsia" w:ascii="仿宋_GB2312" w:hAnsi="仿宋_GB2312" w:eastAsia="仿宋_GB2312" w:cs="仿宋_GB2312"/>
                <w:bCs/>
                <w:color w:val="auto"/>
                <w:spacing w:val="2"/>
                <w:sz w:val="28"/>
                <w:szCs w:val="28"/>
                <w:lang w:eastAsia="zh-CN"/>
              </w:rPr>
              <w:t>）</w:t>
            </w:r>
            <w:bookmarkStart w:id="16" w:name="_GoBack"/>
            <w:bookmarkEnd w:id="16"/>
            <w:r>
              <w:rPr>
                <w:rFonts w:hint="eastAsia" w:ascii="仿宋_GB2312" w:hAnsi="仿宋_GB2312" w:eastAsia="仿宋_GB2312" w:cs="仿宋_GB2312"/>
                <w:bCs/>
                <w:spacing w:val="2"/>
                <w:sz w:val="28"/>
                <w:szCs w:val="28"/>
                <w:u w:val="single"/>
              </w:rPr>
              <w:t xml:space="preserve"> 一 </w:t>
            </w:r>
            <w:r>
              <w:rPr>
                <w:rFonts w:hint="eastAsia" w:ascii="仿宋_GB2312" w:hAnsi="仿宋_GB2312" w:eastAsia="仿宋_GB2312" w:cs="仿宋_GB2312"/>
                <w:bCs/>
                <w:spacing w:val="2"/>
                <w:sz w:val="28"/>
                <w:szCs w:val="28"/>
              </w:rPr>
              <w:t>等 、</w:t>
            </w:r>
            <w:r>
              <w:rPr>
                <w:rFonts w:hint="eastAsia" w:ascii="仿宋_GB2312" w:hAnsi="仿宋_GB2312" w:eastAsia="仿宋_GB2312" w:cs="仿宋_GB2312"/>
                <w:bCs/>
                <w:spacing w:val="2"/>
                <w:sz w:val="28"/>
                <w:szCs w:val="28"/>
                <w:u w:val="single"/>
              </w:rPr>
              <w:t xml:space="preserve"> 二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keepNext w:val="0"/>
              <w:keepLines w:val="0"/>
              <w:pageBreakBefore w:val="0"/>
              <w:widowControl w:val="0"/>
              <w:kinsoku/>
              <w:wordWrap/>
              <w:overflowPunct/>
              <w:topLinePunct w:val="0"/>
              <w:autoSpaceDE w:val="0"/>
              <w:autoSpaceDN w:val="0"/>
              <w:bidi w:val="0"/>
              <w:adjustRightInd/>
              <w:snapToGrid/>
              <w:spacing w:line="360" w:lineRule="exact"/>
              <w:ind w:firstLine="560" w:firstLineChars="200"/>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桂林医学院附属医院创建于1958年5月，是一所集医疗、教学、科研、预防、康复、急救为一体的综合性三级甲等医院，医院在职职工3400多人，其中高级专业技术人员750多人、博士近150人。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bidi w:val="0"/>
              <w:adjustRightInd/>
              <w:snapToGrid/>
              <w:spacing w:line="360" w:lineRule="exact"/>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kern w:val="0"/>
                <w:sz w:val="28"/>
                <w:szCs w:val="28"/>
              </w:rPr>
              <w:t>本项目以脑卒中、帕金森病和脑肿瘤为突破口，针对广大基层人群缺乏</w:t>
            </w:r>
            <w:r>
              <w:rPr>
                <w:rFonts w:hint="eastAsia" w:ascii="仿宋_GB2312" w:hAnsi="仿宋_GB2312" w:eastAsia="仿宋_GB2312" w:cs="仿宋_GB2312"/>
                <w:b/>
                <w:bCs/>
                <w:kern w:val="0"/>
                <w:sz w:val="28"/>
                <w:szCs w:val="28"/>
              </w:rPr>
              <w:t>早筛查早干预</w:t>
            </w:r>
            <w:r>
              <w:rPr>
                <w:rFonts w:hint="eastAsia" w:ascii="仿宋_GB2312" w:hAnsi="仿宋_GB2312" w:eastAsia="仿宋_GB2312" w:cs="仿宋_GB2312"/>
                <w:kern w:val="0"/>
                <w:sz w:val="28"/>
                <w:szCs w:val="28"/>
              </w:rPr>
              <w:t>、缺乏</w:t>
            </w:r>
            <w:r>
              <w:rPr>
                <w:rFonts w:hint="eastAsia" w:ascii="仿宋_GB2312" w:hAnsi="仿宋_GB2312" w:eastAsia="仿宋_GB2312" w:cs="仿宋_GB2312"/>
                <w:b/>
                <w:bCs/>
                <w:kern w:val="0"/>
                <w:sz w:val="28"/>
                <w:szCs w:val="28"/>
              </w:rPr>
              <w:t>闭环全生命周期健康管理</w:t>
            </w:r>
            <w:r>
              <w:rPr>
                <w:rFonts w:hint="eastAsia" w:ascii="仿宋_GB2312" w:hAnsi="仿宋_GB2312" w:eastAsia="仿宋_GB2312" w:cs="仿宋_GB2312"/>
                <w:kern w:val="0"/>
                <w:sz w:val="28"/>
                <w:szCs w:val="28"/>
              </w:rPr>
              <w:t>和</w:t>
            </w:r>
            <w:r>
              <w:rPr>
                <w:rFonts w:hint="eastAsia" w:ascii="仿宋_GB2312" w:hAnsi="仿宋_GB2312" w:eastAsia="仿宋_GB2312" w:cs="仿宋_GB2312"/>
                <w:b/>
                <w:bCs/>
                <w:kern w:val="0"/>
                <w:sz w:val="28"/>
                <w:szCs w:val="28"/>
              </w:rPr>
              <w:t>乡村脑病防治难</w:t>
            </w:r>
            <w:r>
              <w:rPr>
                <w:rFonts w:hint="eastAsia" w:ascii="仿宋_GB2312" w:hAnsi="仿宋_GB2312" w:eastAsia="仿宋_GB2312" w:cs="仿宋_GB2312"/>
                <w:kern w:val="0"/>
                <w:sz w:val="28"/>
                <w:szCs w:val="28"/>
              </w:rPr>
              <w:t>三个痛点，通过风险预估模型、人工智能识别和分布式移动远程医疗等</w:t>
            </w:r>
            <w:r>
              <w:rPr>
                <w:rFonts w:hint="eastAsia" w:ascii="仿宋_GB2312" w:hAnsi="仿宋_GB2312" w:eastAsia="仿宋_GB2312" w:cs="仿宋_GB2312"/>
                <w:b/>
                <w:bCs/>
                <w:kern w:val="0"/>
                <w:sz w:val="28"/>
                <w:szCs w:val="28"/>
              </w:rPr>
              <w:t>数字医学技术</w:t>
            </w:r>
            <w:r>
              <w:rPr>
                <w:rFonts w:hint="eastAsia" w:ascii="仿宋_GB2312" w:hAnsi="仿宋_GB2312" w:eastAsia="仿宋_GB2312" w:cs="仿宋_GB2312"/>
                <w:kern w:val="0"/>
                <w:sz w:val="28"/>
                <w:szCs w:val="28"/>
              </w:rPr>
              <w:t>，建立</w:t>
            </w:r>
            <w:r>
              <w:rPr>
                <w:rFonts w:hint="eastAsia" w:ascii="仿宋_GB2312" w:hAnsi="仿宋_GB2312" w:eastAsia="仿宋_GB2312" w:cs="仿宋_GB2312"/>
                <w:b/>
                <w:bCs/>
                <w:kern w:val="0"/>
                <w:sz w:val="28"/>
                <w:szCs w:val="28"/>
              </w:rPr>
              <w:t>闭环全生命周期脑健康管理</w:t>
            </w:r>
            <w:r>
              <w:rPr>
                <w:rFonts w:hint="eastAsia" w:ascii="仿宋_GB2312" w:hAnsi="仿宋_GB2312" w:eastAsia="仿宋_GB2312" w:cs="仿宋_GB2312"/>
                <w:kern w:val="0"/>
                <w:sz w:val="28"/>
                <w:szCs w:val="28"/>
              </w:rPr>
              <w:t>应用示范。项目获专利授权</w:t>
            </w:r>
            <w:r>
              <w:rPr>
                <w:rFonts w:hint="eastAsia" w:ascii="仿宋_GB2312" w:hAnsi="仿宋_GB2312" w:eastAsia="仿宋_GB2312" w:cs="仿宋_GB2312"/>
                <w:b/>
                <w:bCs/>
                <w:kern w:val="0"/>
                <w:sz w:val="28"/>
                <w:szCs w:val="28"/>
              </w:rPr>
              <w:t>6</w:t>
            </w:r>
            <w:r>
              <w:rPr>
                <w:rFonts w:hint="eastAsia" w:ascii="仿宋_GB2312" w:hAnsi="仿宋_GB2312" w:eastAsia="仿宋_GB2312" w:cs="仿宋_GB2312"/>
                <w:kern w:val="0"/>
                <w:sz w:val="28"/>
                <w:szCs w:val="28"/>
              </w:rPr>
              <w:t>项，计算机软件著作登记</w:t>
            </w:r>
            <w:r>
              <w:rPr>
                <w:rFonts w:hint="eastAsia" w:ascii="仿宋_GB2312" w:hAnsi="仿宋_GB2312" w:eastAsia="仿宋_GB2312" w:cs="仿宋_GB2312"/>
                <w:b/>
                <w:bCs/>
                <w:kern w:val="0"/>
                <w:sz w:val="28"/>
                <w:szCs w:val="28"/>
              </w:rPr>
              <w:t>4</w:t>
            </w:r>
            <w:r>
              <w:rPr>
                <w:rFonts w:hint="eastAsia" w:ascii="仿宋_GB2312" w:hAnsi="仿宋_GB2312" w:eastAsia="仿宋_GB2312" w:cs="仿宋_GB2312"/>
                <w:kern w:val="0"/>
                <w:sz w:val="28"/>
                <w:szCs w:val="28"/>
              </w:rPr>
              <w:t>项，发表代表性论文</w:t>
            </w:r>
            <w:r>
              <w:rPr>
                <w:rFonts w:hint="eastAsia" w:ascii="仿宋_GB2312" w:hAnsi="仿宋_GB2312" w:eastAsia="仿宋_GB2312" w:cs="仿宋_GB2312"/>
                <w:b/>
                <w:bCs/>
                <w:kern w:val="0"/>
                <w:sz w:val="28"/>
                <w:szCs w:val="28"/>
              </w:rPr>
              <w:t>2</w:t>
            </w:r>
            <w:r>
              <w:rPr>
                <w:rFonts w:hint="eastAsia" w:ascii="仿宋_GB2312" w:hAnsi="仿宋_GB2312" w:eastAsia="仿宋_GB2312" w:cs="仿宋_GB2312"/>
                <w:kern w:val="0"/>
                <w:sz w:val="28"/>
                <w:szCs w:val="28"/>
              </w:rPr>
              <w:t>篇，分别发表在</w:t>
            </w:r>
            <w:r>
              <w:rPr>
                <w:rFonts w:hint="eastAsia" w:ascii="仿宋_GB2312" w:hAnsi="仿宋_GB2312" w:eastAsia="仿宋_GB2312" w:cs="仿宋_GB2312"/>
                <w:b/>
                <w:bCs/>
                <w:i/>
                <w:iCs/>
                <w:kern w:val="0"/>
                <w:sz w:val="28"/>
                <w:szCs w:val="28"/>
              </w:rPr>
              <w:t>TheLancet</w:t>
            </w:r>
            <w:r>
              <w:rPr>
                <w:rFonts w:hint="eastAsia" w:ascii="仿宋_GB2312" w:hAnsi="仿宋_GB2312" w:eastAsia="仿宋_GB2312" w:cs="仿宋_GB2312"/>
                <w:kern w:val="0"/>
                <w:sz w:val="28"/>
                <w:szCs w:val="28"/>
              </w:rPr>
              <w:t>（影响因子：</w:t>
            </w:r>
            <w:r>
              <w:rPr>
                <w:rFonts w:hint="eastAsia" w:ascii="仿宋_GB2312" w:hAnsi="仿宋_GB2312" w:eastAsia="仿宋_GB2312" w:cs="仿宋_GB2312"/>
                <w:b/>
                <w:bCs/>
                <w:kern w:val="0"/>
                <w:sz w:val="28"/>
                <w:szCs w:val="28"/>
              </w:rPr>
              <w:t>202.731</w:t>
            </w:r>
            <w:r>
              <w:rPr>
                <w:rFonts w:hint="eastAsia" w:ascii="仿宋_GB2312" w:hAnsi="仿宋_GB2312" w:eastAsia="仿宋_GB2312" w:cs="仿宋_GB2312"/>
                <w:kern w:val="0"/>
                <w:sz w:val="28"/>
                <w:szCs w:val="28"/>
              </w:rPr>
              <w:t>）、</w:t>
            </w:r>
            <w:r>
              <w:rPr>
                <w:rFonts w:hint="eastAsia" w:ascii="仿宋_GB2312" w:hAnsi="仿宋_GB2312" w:eastAsia="仿宋_GB2312" w:cs="仿宋_GB2312"/>
                <w:b/>
                <w:bCs/>
                <w:i/>
                <w:iCs/>
                <w:kern w:val="0"/>
                <w:sz w:val="28"/>
                <w:szCs w:val="28"/>
              </w:rPr>
              <w:t>Autophagy</w:t>
            </w:r>
            <w:r>
              <w:rPr>
                <w:rFonts w:hint="eastAsia" w:ascii="仿宋_GB2312" w:hAnsi="仿宋_GB2312" w:eastAsia="仿宋_GB2312" w:cs="仿宋_GB2312"/>
                <w:kern w:val="0"/>
                <w:sz w:val="28"/>
                <w:szCs w:val="28"/>
              </w:rPr>
              <w:t>（影响因子：</w:t>
            </w:r>
            <w:r>
              <w:rPr>
                <w:rFonts w:hint="eastAsia" w:ascii="仿宋_GB2312" w:hAnsi="仿宋_GB2312" w:eastAsia="仿宋_GB2312" w:cs="仿宋_GB2312"/>
                <w:b/>
                <w:bCs/>
                <w:kern w:val="0"/>
                <w:sz w:val="28"/>
                <w:szCs w:val="28"/>
              </w:rPr>
              <w:t>16.016</w:t>
            </w:r>
            <w:r>
              <w:rPr>
                <w:rFonts w:hint="eastAsia" w:ascii="仿宋_GB2312" w:hAnsi="仿宋_GB2312" w:eastAsia="仿宋_GB2312" w:cs="仿宋_GB2312"/>
                <w:kern w:val="0"/>
                <w:sz w:val="28"/>
                <w:szCs w:val="28"/>
              </w:rPr>
              <w:t>）。</w:t>
            </w:r>
          </w:p>
        </w:tc>
      </w:tr>
    </w:tbl>
    <w:p>
      <w:pPr>
        <w:pStyle w:val="10"/>
        <w:spacing w:line="240" w:lineRule="exact"/>
        <w:rPr>
          <w:sz w:val="21"/>
          <w:szCs w:val="21"/>
        </w:rPr>
      </w:pPr>
    </w:p>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hint="default"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rFonts w:eastAsia="方正黑体_GBK"/>
                <w:snapToGrid w:val="0"/>
                <w:color w:val="000000"/>
                <w:sz w:val="28"/>
                <w:szCs w:val="28"/>
              </w:rPr>
            </w:pPr>
          </w:p>
          <w:p>
            <w:pPr>
              <w:adjustRightInd w:val="0"/>
              <w:snapToGrid w:val="0"/>
              <w:spacing w:line="406" w:lineRule="exact"/>
              <w:rPr>
                <w:snapToGrid w:val="0"/>
                <w:color w:val="000000"/>
                <w:szCs w:val="21"/>
              </w:rPr>
            </w:pPr>
            <w:r>
              <w:rPr>
                <w:snapToGrid w:val="0"/>
                <w:color w:val="000000"/>
                <w:szCs w:val="21"/>
              </w:rPr>
              <w:t>（候选个人不在同一工作单位的，应填写该说明。</w:t>
            </w:r>
            <w:r>
              <w:rPr>
                <w:b/>
                <w:bCs/>
                <w:snapToGrid w:val="0"/>
                <w:color w:val="000000"/>
                <w:szCs w:val="21"/>
              </w:rPr>
              <w:t>候选个人均为同一单位则不用填写该说明。</w:t>
            </w:r>
            <w:r>
              <w:rPr>
                <w:snapToGrid w:val="0"/>
                <w:color w:val="000000"/>
                <w:szCs w:val="21"/>
              </w:rPr>
              <w:t>）</w:t>
            </w:r>
          </w:p>
          <w:p>
            <w:pPr>
              <w:widowControl/>
              <w:ind w:firstLine="420" w:firstLineChars="200"/>
              <w:jc w:val="left"/>
              <w:rPr>
                <w:snapToGrid w:val="0"/>
                <w:color w:val="000000"/>
                <w:szCs w:val="21"/>
              </w:rPr>
            </w:pPr>
          </w:p>
          <w:p>
            <w:pPr>
              <w:widowControl/>
              <w:ind w:firstLine="420" w:firstLineChars="200"/>
              <w:jc w:val="left"/>
              <w:rPr>
                <w:rFonts w:eastAsia="方正仿宋_GBK"/>
                <w:snapToGrid w:val="0"/>
                <w:color w:val="000000"/>
                <w:szCs w:val="21"/>
              </w:rPr>
            </w:pPr>
            <w:r>
              <w:rPr>
                <w:snapToGrid w:val="0"/>
                <w:color w:val="000000"/>
                <w:szCs w:val="21"/>
              </w:rPr>
              <w:t>桂林医学院</w:t>
            </w:r>
            <w:bookmarkStart w:id="15" w:name="OLE_LINK1"/>
            <w:r>
              <w:rPr>
                <w:snapToGrid w:val="0"/>
                <w:color w:val="000000"/>
                <w:szCs w:val="21"/>
              </w:rPr>
              <w:t>李清华教授</w:t>
            </w:r>
            <w:bookmarkEnd w:id="15"/>
            <w:r>
              <w:rPr>
                <w:snapToGrid w:val="0"/>
                <w:color w:val="000000"/>
                <w:szCs w:val="21"/>
              </w:rPr>
              <w:t>自2017年1月起，与桂林医学院附属医院文剑、陈敏、陈晓旺达成合作；自2020年6月起与桂林医学院附属医院罗玉、覃小杜达成合作；自2018年8月23日起，与深圳市宜健智慧科技有限公司（负责人：苏箭）、深圳市践一科技有限公司（负责人：林奕斌）建立合作关系。</w:t>
            </w:r>
          </w:p>
          <w:p>
            <w:pPr>
              <w:adjustRightInd w:val="0"/>
              <w:snapToGrid w:val="0"/>
              <w:spacing w:line="406" w:lineRule="exact"/>
              <w:ind w:firstLine="420" w:firstLineChars="200"/>
              <w:rPr>
                <w:snapToGrid w:val="0"/>
                <w:color w:val="000000"/>
                <w:sz w:val="28"/>
                <w:szCs w:val="28"/>
              </w:rPr>
            </w:pPr>
            <w:r>
              <w:rPr>
                <w:snapToGrid w:val="0"/>
                <w:color w:val="000000"/>
                <w:szCs w:val="21"/>
              </w:rPr>
              <w:t>本人与其他候选人共同开展数字医学技术在脑健康管理中的关键技术研究与应用示范项目研究。合作方式包括共同立项、共同知识产权等，项目产生的知识产权双方共享。在合作期间，与其他候选人共同建设了神经疾病运动障碍的非接触式 AI 评估及AI管理平台、广西神经系统疾病临床医学研究中心、神经损伤与修复基础及临床应用研究创新基，共同立项2023年广西重点研发计划项目“基于“123模式”的桂林脑卒中早筛防控康养一体化示范区建设”。完成了 3 项发明专利、2项实用新型专利、3项软件著作。</w:t>
            </w:r>
          </w:p>
          <w:p>
            <w:pPr>
              <w:adjustRightInd w:val="0"/>
              <w:snapToGrid w:val="0"/>
              <w:spacing w:line="406" w:lineRule="exact"/>
              <w:ind w:firstLine="560" w:firstLineChars="200"/>
              <w:rPr>
                <w:snapToGrid w:val="0"/>
                <w:color w:val="000000"/>
                <w:sz w:val="28"/>
                <w:szCs w:val="28"/>
              </w:rPr>
            </w:pPr>
            <w:r>
              <w:rPr>
                <w:snapToGrid w:val="0"/>
                <w:color w:val="000000"/>
                <w:sz w:val="28"/>
                <w:szCs w:val="28"/>
              </w:rPr>
              <w:t>以上合作关系情况详见附表。</w:t>
            </w:r>
          </w:p>
          <w:p>
            <w:pPr>
              <w:adjustRightInd w:val="0"/>
              <w:snapToGrid w:val="0"/>
              <w:spacing w:line="406" w:lineRule="exact"/>
              <w:rPr>
                <w:rFonts w:eastAsia="方正黑体_GBK"/>
                <w:snapToGrid w:val="0"/>
                <w:color w:val="000000"/>
                <w:sz w:val="28"/>
                <w:szCs w:val="28"/>
              </w:rPr>
            </w:pP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1</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snapToGrid w:val="0"/>
                <w:color w:val="000000"/>
                <w:szCs w:val="21"/>
              </w:rPr>
            </w:pPr>
            <w:r>
              <w:rPr>
                <w:rFonts w:hint="eastAsia" w:ascii="微软雅黑" w:hAnsi="微软雅黑" w:eastAsia="微软雅黑" w:cs="微软雅黑"/>
                <w:kern w:val="0"/>
                <w:szCs w:val="21"/>
              </w:rPr>
              <w:t>共同立项</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snapToGrid w:val="0"/>
                <w:color w:val="000000"/>
                <w:szCs w:val="21"/>
              </w:rPr>
            </w:pPr>
            <w:r>
              <w:rPr>
                <w:rFonts w:hint="eastAsia" w:ascii="微软雅黑" w:hAnsi="微软雅黑" w:eastAsia="微软雅黑" w:cs="微软雅黑"/>
                <w:kern w:val="0"/>
                <w:szCs w:val="21"/>
              </w:rPr>
              <w:t>苏箭</w:t>
            </w:r>
          </w:p>
        </w:tc>
        <w:tc>
          <w:tcPr>
            <w:tcW w:w="1559"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
                <w:kern w:val="0"/>
                <w:szCs w:val="21"/>
              </w:rPr>
            </w:pPr>
            <w:r>
              <w:rPr>
                <w:rFonts w:ascii="微软雅黑" w:hAnsi="微软雅黑" w:eastAsia="微软雅黑" w:cs="????"/>
                <w:kern w:val="0"/>
                <w:szCs w:val="21"/>
              </w:rPr>
              <w:t>2018-08-23</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
                <w:kern w:val="0"/>
                <w:szCs w:val="21"/>
              </w:rPr>
            </w:pPr>
            <w:r>
              <w:rPr>
                <w:rFonts w:hint="eastAsia" w:ascii="微软雅黑" w:hAnsi="微软雅黑" w:eastAsia="微软雅黑" w:cs="微软雅黑"/>
                <w:kern w:val="0"/>
                <w:szCs w:val="21"/>
              </w:rPr>
              <w:t>共同开发分布式移动远程诊疗平台</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6-</w:t>
            </w:r>
            <w:r>
              <w:rPr>
                <w:rFonts w:ascii="微软雅黑" w:hAnsi="微软雅黑" w:eastAsia="微软雅黑"/>
                <w:snapToGrid w:val="0"/>
                <w:color w:val="000000"/>
                <w:szCs w:val="21"/>
              </w:rPr>
              <w:t>3</w:t>
            </w:r>
          </w:p>
        </w:tc>
        <w:tc>
          <w:tcPr>
            <w:tcW w:w="113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
                <w:kern w:val="0"/>
                <w:szCs w:val="21"/>
              </w:rPr>
            </w:pPr>
            <w:r>
              <w:rPr>
                <w:rFonts w:hint="eastAsia" w:ascii="微软雅黑" w:hAnsi="微软雅黑" w:eastAsia="微软雅黑" w:cs="微软雅黑"/>
                <w:kern w:val="0"/>
                <w:szCs w:val="21"/>
              </w:rPr>
              <w:t>共同承担广西科技计划项目</w:t>
            </w:r>
          </w:p>
          <w:p>
            <w:pPr>
              <w:autoSpaceDE w:val="0"/>
              <w:autoSpaceDN w:val="0"/>
              <w:adjustRightInd w:val="0"/>
              <w:spacing w:line="240" w:lineRule="exact"/>
              <w:jc w:val="left"/>
              <w:rPr>
                <w:rFonts w:ascii="微软雅黑" w:hAnsi="微软雅黑" w:eastAsia="微软雅黑" w:cs="????"/>
                <w:kern w:val="0"/>
                <w:szCs w:val="21"/>
              </w:rPr>
            </w:pPr>
            <w:r>
              <w:rPr>
                <w:rFonts w:hint="eastAsia" w:ascii="微软雅黑" w:hAnsi="微软雅黑" w:eastAsia="微软雅黑" w:cs="微软雅黑"/>
                <w:kern w:val="0"/>
                <w:szCs w:val="21"/>
              </w:rPr>
              <w:t>广西重点研发计划</w:t>
            </w:r>
            <w:r>
              <w:rPr>
                <w:rFonts w:hint="eastAsia" w:ascii="微软雅黑" w:hAnsi="微软雅黑" w:eastAsia="微软雅黑" w:cs="Malgun Gothic Semilight"/>
                <w:kern w:val="0"/>
                <w:szCs w:val="21"/>
              </w:rPr>
              <w:t>：</w:t>
            </w:r>
            <w:r>
              <w:rPr>
                <w:rFonts w:hint="eastAsia" w:ascii="微软雅黑" w:hAnsi="微软雅黑" w:eastAsia="微软雅黑" w:cs="微软雅黑"/>
                <w:kern w:val="0"/>
                <w:szCs w:val="21"/>
              </w:rPr>
              <w:t>基于</w:t>
            </w:r>
            <w:r>
              <w:rPr>
                <w:rFonts w:hint="eastAsia" w:ascii="微软雅黑" w:hAnsi="微软雅黑" w:eastAsia="微软雅黑" w:cs="Malgun Gothic Semilight"/>
                <w:kern w:val="0"/>
                <w:szCs w:val="21"/>
              </w:rPr>
              <w:t>“</w:t>
            </w:r>
            <w:r>
              <w:rPr>
                <w:rFonts w:ascii="微软雅黑" w:hAnsi="微软雅黑" w:eastAsia="微软雅黑" w:cs="????"/>
                <w:kern w:val="0"/>
                <w:szCs w:val="21"/>
              </w:rPr>
              <w:t>123</w:t>
            </w:r>
            <w:r>
              <w:rPr>
                <w:rFonts w:hint="eastAsia" w:ascii="微软雅黑" w:hAnsi="微软雅黑" w:eastAsia="微软雅黑" w:cs="微软雅黑"/>
                <w:kern w:val="0"/>
                <w:szCs w:val="21"/>
              </w:rPr>
              <w:t>模式</w:t>
            </w:r>
            <w:r>
              <w:rPr>
                <w:rFonts w:hint="eastAsia" w:ascii="微软雅黑" w:hAnsi="微软雅黑" w:eastAsia="微软雅黑" w:cs="Malgun Gothic Semilight"/>
                <w:kern w:val="0"/>
                <w:szCs w:val="21"/>
              </w:rPr>
              <w:t>”</w:t>
            </w:r>
            <w:r>
              <w:rPr>
                <w:rFonts w:hint="eastAsia" w:ascii="微软雅黑" w:hAnsi="微软雅黑" w:eastAsia="微软雅黑" w:cs="微软雅黑"/>
                <w:kern w:val="0"/>
                <w:szCs w:val="21"/>
              </w:rPr>
              <w:t>的桂林脑卒中早筛</w:t>
            </w:r>
          </w:p>
          <w:p>
            <w:pPr>
              <w:autoSpaceDE w:val="0"/>
              <w:autoSpaceDN w:val="0"/>
              <w:adjustRightInd w:val="0"/>
              <w:spacing w:line="240" w:lineRule="exact"/>
              <w:jc w:val="left"/>
              <w:rPr>
                <w:rFonts w:ascii="微软雅黑" w:hAnsi="微软雅黑" w:eastAsia="微软雅黑" w:cs="????"/>
                <w:kern w:val="0"/>
                <w:szCs w:val="21"/>
              </w:rPr>
            </w:pPr>
            <w:r>
              <w:rPr>
                <w:rFonts w:hint="eastAsia" w:ascii="微软雅黑" w:hAnsi="微软雅黑" w:eastAsia="微软雅黑" w:cs="微软雅黑"/>
                <w:kern w:val="0"/>
                <w:szCs w:val="21"/>
              </w:rPr>
              <w:t>防控康养一体化示范区建设</w:t>
            </w:r>
            <w:r>
              <w:rPr>
                <w:rFonts w:hint="eastAsia" w:ascii="微软雅黑" w:hAnsi="微软雅黑" w:eastAsia="微软雅黑" w:cs="????"/>
                <w:kern w:val="0"/>
                <w:szCs w:val="21"/>
              </w:rPr>
              <w:t>，</w:t>
            </w:r>
            <w:r>
              <w:rPr>
                <w:rFonts w:hint="eastAsia" w:ascii="微软雅黑" w:hAnsi="微软雅黑" w:eastAsia="微软雅黑" w:cs="微软雅黑"/>
                <w:kern w:val="0"/>
                <w:szCs w:val="21"/>
              </w:rPr>
              <w:t>桂科</w:t>
            </w:r>
            <w:r>
              <w:rPr>
                <w:rFonts w:ascii="微软雅黑" w:hAnsi="微软雅黑" w:eastAsia="微软雅黑" w:cs="????"/>
                <w:kern w:val="0"/>
                <w:szCs w:val="21"/>
              </w:rPr>
              <w:t>AB23026</w:t>
            </w:r>
          </w:p>
          <w:p>
            <w:pPr>
              <w:adjustRightInd w:val="0"/>
              <w:snapToGrid w:val="0"/>
              <w:spacing w:line="240" w:lineRule="exact"/>
              <w:rPr>
                <w:rFonts w:ascii="微软雅黑" w:hAnsi="微软雅黑" w:eastAsia="微软雅黑"/>
                <w:snapToGrid w:val="0"/>
                <w:color w:val="000000"/>
                <w:szCs w:val="21"/>
              </w:rPr>
            </w:pPr>
            <w:r>
              <w:rPr>
                <w:rFonts w:ascii="微软雅黑" w:hAnsi="微软雅黑" w:eastAsia="微软雅黑" w:cs="????"/>
                <w:kern w:val="0"/>
                <w:szCs w:val="21"/>
              </w:rPr>
              <w:t>017</w:t>
            </w:r>
            <w:r>
              <w:rPr>
                <w:rFonts w:hint="eastAsia" w:ascii="微软雅黑" w:hAnsi="微软雅黑" w:eastAsia="微软雅黑" w:cs="????"/>
                <w:kern w:val="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2</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cs="微软雅黑"/>
                <w:kern w:val="0"/>
                <w:szCs w:val="21"/>
              </w:rPr>
              <w:t>共同立项</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cs="微软雅黑"/>
                <w:kern w:val="0"/>
                <w:szCs w:val="21"/>
              </w:rPr>
              <w:t>林奕斌</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2018-08-23</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共同开发可识别神经系统疾病患者运动障碍、可全程监</w:t>
            </w:r>
          </w:p>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控患者运动障碍病情变化的算法以及患者数据的</w:t>
            </w:r>
            <w:r>
              <w:rPr>
                <w:rFonts w:ascii="微软雅黑" w:hAnsi="微软雅黑" w:eastAsia="微软雅黑" w:cs="微软雅黑"/>
                <w:kern w:val="0"/>
                <w:szCs w:val="21"/>
              </w:rPr>
              <w:t>APP</w:t>
            </w:r>
            <w:r>
              <w:rPr>
                <w:rFonts w:hint="eastAsia" w:ascii="微软雅黑" w:hAnsi="微软雅黑" w:eastAsia="微软雅黑" w:cs="微软雅黑"/>
                <w:kern w:val="0"/>
                <w:szCs w:val="21"/>
              </w:rPr>
              <w:t>采集结合为一体的</w:t>
            </w:r>
            <w:r>
              <w:rPr>
                <w:rFonts w:ascii="微软雅黑" w:hAnsi="微软雅黑" w:eastAsia="微软雅黑" w:cs="微软雅黑"/>
                <w:kern w:val="0"/>
                <w:szCs w:val="21"/>
              </w:rPr>
              <w:t>AI</w:t>
            </w:r>
            <w:r>
              <w:rPr>
                <w:rFonts w:hint="eastAsia" w:ascii="微软雅黑" w:hAnsi="微软雅黑" w:eastAsia="微软雅黑" w:cs="微软雅黑"/>
                <w:kern w:val="0"/>
                <w:szCs w:val="21"/>
              </w:rPr>
              <w:t>手机</w:t>
            </w:r>
            <w:r>
              <w:rPr>
                <w:rFonts w:ascii="微软雅黑" w:hAnsi="微软雅黑" w:eastAsia="微软雅黑" w:cs="微软雅黑"/>
                <w:kern w:val="0"/>
                <w:szCs w:val="21"/>
              </w:rPr>
              <w:t>APP</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6-</w:t>
            </w:r>
            <w:r>
              <w:rPr>
                <w:rFonts w:ascii="微软雅黑" w:hAnsi="微软雅黑" w:eastAsia="微软雅黑" w:cs="微软雅黑"/>
                <w:kern w:val="0"/>
                <w:szCs w:val="21"/>
              </w:rPr>
              <w:t>5</w:t>
            </w:r>
          </w:p>
        </w:tc>
        <w:tc>
          <w:tcPr>
            <w:tcW w:w="113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共同承担桂林市科学研究与</w:t>
            </w:r>
          </w:p>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技术开发计划项目：神经疾病运动障碍的非接触式</w:t>
            </w:r>
            <w:r>
              <w:rPr>
                <w:rFonts w:ascii="微软雅黑" w:hAnsi="微软雅黑" w:eastAsia="微软雅黑" w:cs="微软雅黑"/>
                <w:kern w:val="0"/>
                <w:szCs w:val="21"/>
              </w:rPr>
              <w:t>AI</w:t>
            </w:r>
            <w:r>
              <w:rPr>
                <w:rFonts w:hint="eastAsia" w:ascii="微软雅黑" w:hAnsi="微软雅黑" w:eastAsia="微软雅黑" w:cs="微软雅黑"/>
                <w:kern w:val="0"/>
                <w:szCs w:val="21"/>
              </w:rPr>
              <w:t>评估及</w:t>
            </w:r>
            <w:r>
              <w:rPr>
                <w:rFonts w:ascii="微软雅黑" w:hAnsi="微软雅黑" w:eastAsia="微软雅黑" w:cs="微软雅黑"/>
                <w:kern w:val="0"/>
                <w:szCs w:val="21"/>
              </w:rPr>
              <w:t>AI</w:t>
            </w:r>
            <w:r>
              <w:rPr>
                <w:rFonts w:hint="eastAsia" w:ascii="微软雅黑" w:hAnsi="微软雅黑" w:eastAsia="微软雅黑" w:cs="微软雅黑"/>
                <w:kern w:val="0"/>
                <w:szCs w:val="21"/>
              </w:rPr>
              <w:t>管理平台，</w:t>
            </w:r>
            <w:r>
              <w:rPr>
                <w:rFonts w:ascii="微软雅黑" w:hAnsi="微软雅黑" w:eastAsia="微软雅黑" w:cs="微软雅黑"/>
                <w:kern w:val="0"/>
                <w:szCs w:val="21"/>
              </w:rPr>
              <w:t>20190103</w:t>
            </w:r>
            <w:r>
              <w:rPr>
                <w:rFonts w:hint="eastAsia" w:ascii="微软雅黑" w:hAnsi="微软雅黑" w:eastAsia="微软雅黑" w:cs="微软雅黑"/>
                <w:kern w:val="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3</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cs="微软雅黑"/>
                <w:kern w:val="0"/>
                <w:szCs w:val="21"/>
              </w:rPr>
              <w:t>共同知识产权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cs="微软雅黑"/>
                <w:kern w:val="0"/>
                <w:szCs w:val="21"/>
              </w:rPr>
              <w:t>林奕斌</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2018-08-23</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一种帕金森病情的步态监测装置</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1-</w:t>
            </w:r>
            <w:r>
              <w:rPr>
                <w:rFonts w:ascii="微软雅黑" w:hAnsi="微软雅黑" w:eastAsia="微软雅黑" w:cs="微软雅黑"/>
                <w:kern w:val="0"/>
                <w:szCs w:val="21"/>
              </w:rPr>
              <w:t>3</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国家发明专利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4</w:t>
            </w:r>
          </w:p>
        </w:tc>
        <w:tc>
          <w:tcPr>
            <w:tcW w:w="1567" w:type="dxa"/>
            <w:tcBorders>
              <w:top w:val="single" w:color="000000" w:sz="4" w:space="0"/>
              <w:left w:val="nil"/>
              <w:bottom w:val="single" w:color="000000" w:sz="4" w:space="0"/>
              <w:right w:val="single" w:color="000000" w:sz="4" w:space="0"/>
            </w:tcBorders>
          </w:tcPr>
          <w:p>
            <w:pPr>
              <w:rPr>
                <w:rFonts w:ascii="微软雅黑" w:hAnsi="微软雅黑" w:eastAsia="微软雅黑"/>
                <w:szCs w:val="21"/>
              </w:rPr>
            </w:pPr>
            <w:r>
              <w:rPr>
                <w:rFonts w:hint="eastAsia" w:ascii="微软雅黑" w:hAnsi="微软雅黑" w:eastAsia="微软雅黑" w:cs="微软雅黑"/>
                <w:kern w:val="0"/>
                <w:szCs w:val="21"/>
              </w:rPr>
              <w:t>共同知识产权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cs="微软雅黑"/>
                <w:kern w:val="0"/>
                <w:szCs w:val="21"/>
              </w:rPr>
              <w:t>林奕斌</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2018-08-23</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一种帕金森病监测方法、装置及存储介质</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1-</w:t>
            </w:r>
            <w:r>
              <w:rPr>
                <w:rFonts w:ascii="微软雅黑" w:hAnsi="微软雅黑" w:eastAsia="微软雅黑" w:cs="微软雅黑"/>
                <w:kern w:val="0"/>
                <w:szCs w:val="21"/>
              </w:rPr>
              <w:t>2</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国家发明专利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5</w:t>
            </w:r>
          </w:p>
        </w:tc>
        <w:tc>
          <w:tcPr>
            <w:tcW w:w="1567" w:type="dxa"/>
            <w:tcBorders>
              <w:top w:val="single" w:color="000000" w:sz="4" w:space="0"/>
              <w:left w:val="nil"/>
              <w:bottom w:val="single" w:color="000000" w:sz="4" w:space="0"/>
              <w:right w:val="single" w:color="000000" w:sz="4" w:space="0"/>
            </w:tcBorders>
          </w:tcPr>
          <w:p>
            <w:pPr>
              <w:rPr>
                <w:rFonts w:ascii="微软雅黑" w:hAnsi="微软雅黑" w:eastAsia="微软雅黑"/>
                <w:szCs w:val="21"/>
              </w:rPr>
            </w:pPr>
            <w:r>
              <w:rPr>
                <w:rFonts w:hint="eastAsia" w:ascii="微软雅黑" w:hAnsi="微软雅黑" w:eastAsia="微软雅黑" w:cs="微软雅黑"/>
                <w:kern w:val="0"/>
                <w:szCs w:val="21"/>
              </w:rPr>
              <w:t>共同知识产权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cs="微软雅黑"/>
                <w:kern w:val="0"/>
                <w:szCs w:val="21"/>
              </w:rPr>
              <w:t>林奕斌</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2018-08-23</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一种帕金森病情监测系统</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1-</w:t>
            </w:r>
            <w:r>
              <w:rPr>
                <w:rFonts w:ascii="微软雅黑" w:hAnsi="微软雅黑" w:eastAsia="微软雅黑" w:cs="微软雅黑"/>
                <w:kern w:val="0"/>
                <w:szCs w:val="21"/>
              </w:rPr>
              <w:t>1</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国家发明专利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6</w:t>
            </w:r>
          </w:p>
        </w:tc>
        <w:tc>
          <w:tcPr>
            <w:tcW w:w="1567" w:type="dxa"/>
            <w:tcBorders>
              <w:top w:val="single" w:color="000000" w:sz="4" w:space="0"/>
              <w:left w:val="nil"/>
              <w:bottom w:val="single" w:color="000000" w:sz="4" w:space="0"/>
              <w:right w:val="single" w:color="000000" w:sz="4" w:space="0"/>
            </w:tcBorders>
          </w:tcPr>
          <w:p>
            <w:pPr>
              <w:rPr>
                <w:rFonts w:ascii="微软雅黑" w:hAnsi="微软雅黑" w:eastAsia="微软雅黑"/>
                <w:szCs w:val="21"/>
              </w:rPr>
            </w:pPr>
            <w:r>
              <w:rPr>
                <w:rFonts w:hint="eastAsia" w:ascii="微软雅黑" w:hAnsi="微软雅黑" w:eastAsia="微软雅黑" w:cs="微软雅黑"/>
                <w:kern w:val="0"/>
                <w:szCs w:val="21"/>
              </w:rPr>
              <w:t>共同知识产权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cs="微软雅黑"/>
                <w:kern w:val="0"/>
                <w:szCs w:val="21"/>
              </w:rPr>
              <w:t>林奕斌</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2018-08-23</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ascii="微软雅黑" w:hAnsi="微软雅黑" w:eastAsia="微软雅黑" w:cs="微软雅黑"/>
                <w:kern w:val="0"/>
                <w:szCs w:val="21"/>
              </w:rPr>
              <w:t>AI</w:t>
            </w:r>
            <w:r>
              <w:rPr>
                <w:rFonts w:hint="eastAsia" w:ascii="微软雅黑" w:hAnsi="微软雅黑" w:eastAsia="微软雅黑" w:cs="微软雅黑"/>
                <w:kern w:val="0"/>
                <w:szCs w:val="21"/>
              </w:rPr>
              <w:t>智能运动障碍识别系统</w:t>
            </w:r>
            <w:r>
              <w:rPr>
                <w:rFonts w:ascii="微软雅黑" w:hAnsi="微软雅黑" w:eastAsia="微软雅黑" w:cs="微软雅黑"/>
                <w:kern w:val="0"/>
                <w:szCs w:val="21"/>
              </w:rPr>
              <w:t>V1.0</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1-</w:t>
            </w:r>
            <w:r>
              <w:rPr>
                <w:rFonts w:ascii="微软雅黑" w:hAnsi="微软雅黑" w:eastAsia="微软雅黑" w:cs="微软雅黑"/>
                <w:kern w:val="0"/>
                <w:szCs w:val="21"/>
              </w:rPr>
              <w:t>8</w:t>
            </w:r>
          </w:p>
        </w:tc>
        <w:tc>
          <w:tcPr>
            <w:tcW w:w="113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计算机软件著</w:t>
            </w:r>
          </w:p>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作权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7</w:t>
            </w:r>
          </w:p>
        </w:tc>
        <w:tc>
          <w:tcPr>
            <w:tcW w:w="1567" w:type="dxa"/>
            <w:tcBorders>
              <w:top w:val="single" w:color="000000" w:sz="4" w:space="0"/>
              <w:left w:val="nil"/>
              <w:bottom w:val="single" w:color="000000" w:sz="4" w:space="0"/>
              <w:right w:val="single" w:color="000000" w:sz="4" w:space="0"/>
            </w:tcBorders>
          </w:tcPr>
          <w:p>
            <w:pPr>
              <w:rPr>
                <w:rFonts w:ascii="微软雅黑" w:hAnsi="微软雅黑" w:eastAsia="微软雅黑"/>
                <w:szCs w:val="21"/>
              </w:rPr>
            </w:pPr>
            <w:r>
              <w:rPr>
                <w:rFonts w:hint="eastAsia" w:ascii="微软雅黑" w:hAnsi="微软雅黑" w:eastAsia="微软雅黑" w:cs="微软雅黑"/>
                <w:kern w:val="0"/>
                <w:szCs w:val="21"/>
              </w:rPr>
              <w:t>共同知识产权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文剑</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2017-01-05</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一种帕金森病情的步态监测装置</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1-</w:t>
            </w:r>
            <w:r>
              <w:rPr>
                <w:rFonts w:ascii="微软雅黑" w:hAnsi="微软雅黑" w:eastAsia="微软雅黑" w:cs="微软雅黑"/>
                <w:kern w:val="0"/>
                <w:szCs w:val="21"/>
              </w:rPr>
              <w:t>3</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国家发明专利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8</w:t>
            </w:r>
          </w:p>
        </w:tc>
        <w:tc>
          <w:tcPr>
            <w:tcW w:w="1567" w:type="dxa"/>
            <w:tcBorders>
              <w:top w:val="single" w:color="000000" w:sz="4" w:space="0"/>
              <w:left w:val="nil"/>
              <w:bottom w:val="single" w:color="000000" w:sz="4" w:space="0"/>
              <w:right w:val="single" w:color="000000" w:sz="4" w:space="0"/>
            </w:tcBorders>
          </w:tcPr>
          <w:p>
            <w:pPr>
              <w:rPr>
                <w:rFonts w:ascii="微软雅黑" w:hAnsi="微软雅黑" w:eastAsia="微软雅黑"/>
                <w:szCs w:val="21"/>
              </w:rPr>
            </w:pPr>
            <w:r>
              <w:rPr>
                <w:rFonts w:hint="eastAsia" w:ascii="微软雅黑" w:hAnsi="微软雅黑" w:eastAsia="微软雅黑" w:cs="微软雅黑"/>
                <w:kern w:val="0"/>
                <w:szCs w:val="21"/>
              </w:rPr>
              <w:t>共同知识产权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文剑</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2017-01-05</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一种帕金森病监测方法、装置及存储介质</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1-</w:t>
            </w:r>
            <w:r>
              <w:rPr>
                <w:rFonts w:ascii="微软雅黑" w:hAnsi="微软雅黑" w:eastAsia="微软雅黑" w:cs="微软雅黑"/>
                <w:kern w:val="0"/>
                <w:szCs w:val="21"/>
              </w:rPr>
              <w:t>2</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国家发明专利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9</w:t>
            </w:r>
          </w:p>
        </w:tc>
        <w:tc>
          <w:tcPr>
            <w:tcW w:w="1567" w:type="dxa"/>
            <w:tcBorders>
              <w:top w:val="single" w:color="000000" w:sz="4" w:space="0"/>
              <w:left w:val="nil"/>
              <w:bottom w:val="single" w:color="000000" w:sz="4" w:space="0"/>
              <w:right w:val="single" w:color="000000" w:sz="4" w:space="0"/>
            </w:tcBorders>
          </w:tcPr>
          <w:p>
            <w:pPr>
              <w:rPr>
                <w:rFonts w:ascii="微软雅黑" w:hAnsi="微软雅黑" w:eastAsia="微软雅黑"/>
                <w:szCs w:val="21"/>
              </w:rPr>
            </w:pPr>
            <w:r>
              <w:rPr>
                <w:rFonts w:hint="eastAsia" w:ascii="微软雅黑" w:hAnsi="微软雅黑" w:eastAsia="微软雅黑" w:cs="微软雅黑"/>
                <w:kern w:val="0"/>
                <w:szCs w:val="21"/>
              </w:rPr>
              <w:t>共同知识产权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文剑</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2017-01-05</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一种帕金森病情监测系统</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ascii="微软雅黑" w:hAnsi="微软雅黑" w:eastAsia="微软雅黑" w:cs="微软雅黑"/>
                <w:kern w:val="0"/>
                <w:szCs w:val="21"/>
              </w:rPr>
              <w:t>1</w:t>
            </w:r>
            <w:r>
              <w:rPr>
                <w:rFonts w:hint="eastAsia" w:ascii="微软雅黑" w:hAnsi="微软雅黑" w:eastAsia="微软雅黑" w:cs="微软雅黑"/>
                <w:kern w:val="0"/>
                <w:szCs w:val="21"/>
              </w:rPr>
              <w:t>-</w:t>
            </w:r>
            <w:r>
              <w:rPr>
                <w:rFonts w:ascii="微软雅黑" w:hAnsi="微软雅黑" w:eastAsia="微软雅黑" w:cs="微软雅黑"/>
                <w:kern w:val="0"/>
                <w:szCs w:val="21"/>
              </w:rPr>
              <w:t>1</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国家发明专利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1</w:t>
            </w:r>
            <w:r>
              <w:rPr>
                <w:rFonts w:ascii="微软雅黑" w:hAnsi="微软雅黑" w:eastAsia="微软雅黑"/>
                <w:snapToGrid w:val="0"/>
                <w:color w:val="000000"/>
                <w:szCs w:val="21"/>
              </w:rPr>
              <w:t>0</w:t>
            </w:r>
          </w:p>
        </w:tc>
        <w:tc>
          <w:tcPr>
            <w:tcW w:w="1567" w:type="dxa"/>
            <w:tcBorders>
              <w:top w:val="single" w:color="000000" w:sz="4" w:space="0"/>
              <w:left w:val="nil"/>
              <w:bottom w:val="single" w:color="000000" w:sz="4" w:space="0"/>
              <w:right w:val="single" w:color="000000" w:sz="4" w:space="0"/>
            </w:tcBorders>
          </w:tcPr>
          <w:p>
            <w:pPr>
              <w:rPr>
                <w:rFonts w:ascii="微软雅黑" w:hAnsi="微软雅黑" w:eastAsia="微软雅黑"/>
                <w:szCs w:val="21"/>
              </w:rPr>
            </w:pPr>
            <w:r>
              <w:rPr>
                <w:rFonts w:hint="eastAsia" w:ascii="微软雅黑" w:hAnsi="微软雅黑" w:eastAsia="微软雅黑" w:cs="微软雅黑"/>
                <w:kern w:val="0"/>
                <w:szCs w:val="21"/>
              </w:rPr>
              <w:t>共同知识产权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文剑</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2017-01-05</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一种帕金森综合症诊断装置</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1-</w:t>
            </w:r>
            <w:r>
              <w:rPr>
                <w:rFonts w:ascii="微软雅黑" w:hAnsi="微软雅黑" w:eastAsia="微软雅黑" w:cs="微软雅黑"/>
                <w:kern w:val="0"/>
                <w:szCs w:val="21"/>
              </w:rPr>
              <w:t>4</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实用新型专利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1</w:t>
            </w:r>
            <w:r>
              <w:rPr>
                <w:rFonts w:ascii="微软雅黑" w:hAnsi="微软雅黑" w:eastAsia="微软雅黑"/>
                <w:snapToGrid w:val="0"/>
                <w:color w:val="000000"/>
                <w:szCs w:val="21"/>
              </w:rPr>
              <w:t>1</w:t>
            </w:r>
          </w:p>
        </w:tc>
        <w:tc>
          <w:tcPr>
            <w:tcW w:w="1567" w:type="dxa"/>
            <w:tcBorders>
              <w:top w:val="single" w:color="000000" w:sz="4" w:space="0"/>
              <w:left w:val="nil"/>
              <w:bottom w:val="single" w:color="000000" w:sz="4" w:space="0"/>
              <w:right w:val="single" w:color="000000" w:sz="4" w:space="0"/>
            </w:tcBorders>
          </w:tcPr>
          <w:p>
            <w:pPr>
              <w:rPr>
                <w:rFonts w:ascii="微软雅黑" w:hAnsi="微软雅黑" w:eastAsia="微软雅黑"/>
                <w:szCs w:val="21"/>
              </w:rPr>
            </w:pPr>
            <w:r>
              <w:rPr>
                <w:rFonts w:hint="eastAsia" w:ascii="微软雅黑" w:hAnsi="微软雅黑" w:eastAsia="微软雅黑" w:cs="微软雅黑"/>
                <w:kern w:val="0"/>
                <w:szCs w:val="21"/>
              </w:rPr>
              <w:t>共同知识产权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文剑</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2017-01-05</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一种帕金森综合症数据采集装置</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1-</w:t>
            </w:r>
            <w:r>
              <w:rPr>
                <w:rFonts w:ascii="微软雅黑" w:hAnsi="微软雅黑" w:eastAsia="微软雅黑" w:cs="微软雅黑"/>
                <w:kern w:val="0"/>
                <w:szCs w:val="21"/>
              </w:rPr>
              <w:t>5</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实用新型专利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1</w:t>
            </w:r>
            <w:r>
              <w:rPr>
                <w:rFonts w:ascii="微软雅黑" w:hAnsi="微软雅黑" w:eastAsia="微软雅黑"/>
                <w:snapToGrid w:val="0"/>
                <w:color w:val="000000"/>
                <w:szCs w:val="21"/>
              </w:rPr>
              <w:t>2</w:t>
            </w:r>
          </w:p>
        </w:tc>
        <w:tc>
          <w:tcPr>
            <w:tcW w:w="1567" w:type="dxa"/>
            <w:tcBorders>
              <w:top w:val="single" w:color="000000" w:sz="4" w:space="0"/>
              <w:left w:val="nil"/>
              <w:bottom w:val="single" w:color="000000" w:sz="4" w:space="0"/>
              <w:right w:val="single" w:color="000000" w:sz="4" w:space="0"/>
            </w:tcBorders>
          </w:tcPr>
          <w:p>
            <w:pPr>
              <w:rPr>
                <w:rFonts w:ascii="微软雅黑" w:hAnsi="微软雅黑" w:eastAsia="微软雅黑"/>
                <w:szCs w:val="21"/>
              </w:rPr>
            </w:pPr>
            <w:r>
              <w:rPr>
                <w:rFonts w:hint="eastAsia" w:ascii="微软雅黑" w:hAnsi="微软雅黑" w:eastAsia="微软雅黑" w:cs="微软雅黑"/>
                <w:kern w:val="0"/>
                <w:szCs w:val="21"/>
              </w:rPr>
              <w:t>共同知识产权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文剑</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2017-01-05</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短暂性脑缺血发作</w:t>
            </w:r>
            <w:r>
              <w:rPr>
                <w:rFonts w:ascii="微软雅黑" w:hAnsi="微软雅黑" w:eastAsia="微软雅黑" w:cs="微软雅黑"/>
                <w:kern w:val="0"/>
                <w:szCs w:val="21"/>
              </w:rPr>
              <w:t>(TIA)</w:t>
            </w:r>
            <w:r>
              <w:rPr>
                <w:rFonts w:hint="eastAsia" w:ascii="微软雅黑" w:hAnsi="微软雅黑" w:eastAsia="微软雅黑" w:cs="微软雅黑"/>
                <w:kern w:val="0"/>
                <w:szCs w:val="21"/>
              </w:rPr>
              <w:t>风险预测模型软件</w:t>
            </w:r>
            <w:r>
              <w:rPr>
                <w:rFonts w:ascii="微软雅黑" w:hAnsi="微软雅黑" w:eastAsia="微软雅黑" w:cs="微软雅黑"/>
                <w:kern w:val="0"/>
                <w:szCs w:val="21"/>
              </w:rPr>
              <w:t>V1.0</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1-</w:t>
            </w:r>
            <w:r>
              <w:rPr>
                <w:rFonts w:ascii="微软雅黑" w:hAnsi="微软雅黑" w:eastAsia="微软雅黑" w:cs="微软雅黑"/>
                <w:kern w:val="0"/>
                <w:szCs w:val="21"/>
              </w:rPr>
              <w:t>7</w:t>
            </w:r>
          </w:p>
        </w:tc>
        <w:tc>
          <w:tcPr>
            <w:tcW w:w="113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计算机软件著作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1</w:t>
            </w:r>
            <w:r>
              <w:rPr>
                <w:rFonts w:ascii="微软雅黑" w:hAnsi="微软雅黑" w:eastAsia="微软雅黑"/>
                <w:snapToGrid w:val="0"/>
                <w:color w:val="000000"/>
                <w:szCs w:val="21"/>
              </w:rPr>
              <w:t>3</w:t>
            </w:r>
          </w:p>
        </w:tc>
        <w:tc>
          <w:tcPr>
            <w:tcW w:w="1567" w:type="dxa"/>
            <w:tcBorders>
              <w:top w:val="single" w:color="000000" w:sz="4" w:space="0"/>
              <w:left w:val="nil"/>
              <w:bottom w:val="single" w:color="000000" w:sz="4" w:space="0"/>
              <w:right w:val="single" w:color="000000" w:sz="4" w:space="0"/>
            </w:tcBorders>
          </w:tcPr>
          <w:p>
            <w:pPr>
              <w:rPr>
                <w:rFonts w:ascii="微软雅黑" w:hAnsi="微软雅黑" w:eastAsia="微软雅黑"/>
                <w:szCs w:val="21"/>
              </w:rPr>
            </w:pPr>
            <w:r>
              <w:rPr>
                <w:rFonts w:hint="eastAsia" w:ascii="微软雅黑" w:hAnsi="微软雅黑" w:eastAsia="微软雅黑" w:cs="微软雅黑"/>
                <w:kern w:val="0"/>
                <w:szCs w:val="21"/>
              </w:rPr>
              <w:t>共同知识产权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文剑</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2017-01-05</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ascii="微软雅黑" w:hAnsi="微软雅黑" w:eastAsia="微软雅黑" w:cs="微软雅黑"/>
                <w:kern w:val="0"/>
                <w:szCs w:val="21"/>
              </w:rPr>
              <w:t>AI</w:t>
            </w:r>
            <w:r>
              <w:rPr>
                <w:rFonts w:hint="eastAsia" w:ascii="微软雅黑" w:hAnsi="微软雅黑" w:eastAsia="微软雅黑" w:cs="微软雅黑"/>
                <w:kern w:val="0"/>
                <w:szCs w:val="21"/>
              </w:rPr>
              <w:t>智能运动障碍识别系统</w:t>
            </w:r>
            <w:r>
              <w:rPr>
                <w:rFonts w:ascii="微软雅黑" w:hAnsi="微软雅黑" w:eastAsia="微软雅黑" w:cs="微软雅黑"/>
                <w:kern w:val="0"/>
                <w:szCs w:val="21"/>
              </w:rPr>
              <w:t>V1.0</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1-</w:t>
            </w:r>
            <w:r>
              <w:rPr>
                <w:rFonts w:ascii="微软雅黑" w:hAnsi="微软雅黑" w:eastAsia="微软雅黑" w:cs="微软雅黑"/>
                <w:kern w:val="0"/>
                <w:szCs w:val="21"/>
              </w:rPr>
              <w:t>8</w:t>
            </w:r>
          </w:p>
        </w:tc>
        <w:tc>
          <w:tcPr>
            <w:tcW w:w="113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计算机软件著作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1</w:t>
            </w:r>
            <w:r>
              <w:rPr>
                <w:rFonts w:ascii="微软雅黑" w:hAnsi="微软雅黑" w:eastAsia="微软雅黑"/>
                <w:snapToGrid w:val="0"/>
                <w:color w:val="000000"/>
                <w:szCs w:val="21"/>
              </w:rPr>
              <w:t>4</w:t>
            </w:r>
          </w:p>
        </w:tc>
        <w:tc>
          <w:tcPr>
            <w:tcW w:w="1567" w:type="dxa"/>
            <w:tcBorders>
              <w:top w:val="single" w:color="000000" w:sz="4" w:space="0"/>
              <w:left w:val="nil"/>
              <w:bottom w:val="single" w:color="000000" w:sz="4" w:space="0"/>
              <w:right w:val="single" w:color="000000" w:sz="4" w:space="0"/>
            </w:tcBorders>
          </w:tcPr>
          <w:p>
            <w:pPr>
              <w:rPr>
                <w:rFonts w:ascii="微软雅黑" w:hAnsi="微软雅黑" w:eastAsia="微软雅黑"/>
                <w:szCs w:val="21"/>
              </w:rPr>
            </w:pPr>
            <w:r>
              <w:rPr>
                <w:rFonts w:hint="eastAsia" w:ascii="微软雅黑" w:hAnsi="微软雅黑" w:eastAsia="微软雅黑" w:cs="微软雅黑"/>
                <w:kern w:val="0"/>
                <w:szCs w:val="21"/>
              </w:rPr>
              <w:t>共同知识产权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文剑</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2017-01-05</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患者云管理小程序</w:t>
            </w:r>
            <w:r>
              <w:rPr>
                <w:rFonts w:ascii="微软雅黑" w:hAnsi="微软雅黑" w:eastAsia="微软雅黑" w:cs="微软雅黑"/>
                <w:kern w:val="0"/>
                <w:szCs w:val="21"/>
              </w:rPr>
              <w:t>V1.0</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ascii="微软雅黑" w:hAnsi="微软雅黑" w:eastAsia="微软雅黑" w:cs="微软雅黑"/>
                <w:kern w:val="0"/>
                <w:szCs w:val="21"/>
              </w:rPr>
              <w:t>1</w:t>
            </w:r>
            <w:r>
              <w:rPr>
                <w:rFonts w:hint="eastAsia" w:ascii="微软雅黑" w:hAnsi="微软雅黑" w:eastAsia="微软雅黑" w:cs="微软雅黑"/>
                <w:kern w:val="0"/>
                <w:szCs w:val="21"/>
              </w:rPr>
              <w:t>-</w:t>
            </w:r>
            <w:r>
              <w:rPr>
                <w:rFonts w:ascii="微软雅黑" w:hAnsi="微软雅黑" w:eastAsia="微软雅黑" w:cs="微软雅黑"/>
                <w:kern w:val="0"/>
                <w:szCs w:val="21"/>
              </w:rPr>
              <w:t>9</w:t>
            </w:r>
          </w:p>
        </w:tc>
        <w:tc>
          <w:tcPr>
            <w:tcW w:w="113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计算机软件著作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1</w:t>
            </w:r>
            <w:r>
              <w:rPr>
                <w:rFonts w:ascii="微软雅黑" w:hAnsi="微软雅黑" w:eastAsia="微软雅黑"/>
                <w:snapToGrid w:val="0"/>
                <w:color w:val="000000"/>
                <w:szCs w:val="21"/>
              </w:rPr>
              <w:t>5</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共同立项</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文剑</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2017-01-05</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基于“</w:t>
            </w:r>
            <w:r>
              <w:rPr>
                <w:rFonts w:ascii="微软雅黑" w:hAnsi="微软雅黑" w:eastAsia="微软雅黑" w:cs="微软雅黑"/>
                <w:kern w:val="0"/>
                <w:szCs w:val="21"/>
              </w:rPr>
              <w:t>123</w:t>
            </w:r>
            <w:r>
              <w:rPr>
                <w:rFonts w:hint="eastAsia" w:ascii="微软雅黑" w:hAnsi="微软雅黑" w:eastAsia="微软雅黑" w:cs="微软雅黑"/>
                <w:kern w:val="0"/>
                <w:szCs w:val="21"/>
              </w:rPr>
              <w:t>模式”的桂林脑卒中早筛防控康养一体化示范区建设</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ascii="微软雅黑" w:hAnsi="微软雅黑" w:eastAsia="微软雅黑" w:cs="微软雅黑"/>
                <w:kern w:val="0"/>
                <w:szCs w:val="21"/>
              </w:rPr>
              <w:t>6</w:t>
            </w:r>
            <w:r>
              <w:rPr>
                <w:rFonts w:hint="eastAsia" w:ascii="微软雅黑" w:hAnsi="微软雅黑" w:eastAsia="微软雅黑" w:cs="微软雅黑"/>
                <w:kern w:val="0"/>
                <w:szCs w:val="21"/>
              </w:rPr>
              <w:t>-</w:t>
            </w:r>
            <w:r>
              <w:rPr>
                <w:rFonts w:ascii="微软雅黑" w:hAnsi="微软雅黑" w:eastAsia="微软雅黑" w:cs="微软雅黑"/>
                <w:kern w:val="0"/>
                <w:szCs w:val="21"/>
              </w:rPr>
              <w:t>3</w:t>
            </w:r>
          </w:p>
        </w:tc>
        <w:tc>
          <w:tcPr>
            <w:tcW w:w="113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广西重点研发计划项目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1</w:t>
            </w:r>
            <w:r>
              <w:rPr>
                <w:rFonts w:ascii="微软雅黑" w:hAnsi="微软雅黑" w:eastAsia="微软雅黑"/>
                <w:snapToGrid w:val="0"/>
                <w:color w:val="000000"/>
                <w:szCs w:val="21"/>
              </w:rPr>
              <w:t>6</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共同立项</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文剑</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2017-01-05</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神经疾病运动障碍的非接触式</w:t>
            </w:r>
            <w:r>
              <w:rPr>
                <w:rFonts w:ascii="微软雅黑" w:hAnsi="微软雅黑" w:eastAsia="微软雅黑" w:cs="微软雅黑"/>
                <w:kern w:val="0"/>
                <w:szCs w:val="21"/>
              </w:rPr>
              <w:t>AI</w:t>
            </w:r>
            <w:r>
              <w:rPr>
                <w:rFonts w:hint="eastAsia" w:ascii="微软雅黑" w:hAnsi="微软雅黑" w:eastAsia="微软雅黑" w:cs="微软雅黑"/>
                <w:kern w:val="0"/>
                <w:szCs w:val="21"/>
              </w:rPr>
              <w:t>评估及</w:t>
            </w:r>
            <w:r>
              <w:rPr>
                <w:rFonts w:ascii="微软雅黑" w:hAnsi="微软雅黑" w:eastAsia="微软雅黑" w:cs="微软雅黑"/>
                <w:kern w:val="0"/>
                <w:szCs w:val="21"/>
              </w:rPr>
              <w:t>AI</w:t>
            </w:r>
            <w:r>
              <w:rPr>
                <w:rFonts w:hint="eastAsia" w:ascii="微软雅黑" w:hAnsi="微软雅黑" w:eastAsia="微软雅黑" w:cs="微软雅黑"/>
                <w:kern w:val="0"/>
                <w:szCs w:val="21"/>
              </w:rPr>
              <w:t>管理平台</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6-</w:t>
            </w:r>
            <w:r>
              <w:rPr>
                <w:rFonts w:ascii="微软雅黑" w:hAnsi="微软雅黑" w:eastAsia="微软雅黑" w:cs="微软雅黑"/>
                <w:kern w:val="0"/>
                <w:szCs w:val="21"/>
              </w:rPr>
              <w:t>5</w:t>
            </w:r>
          </w:p>
        </w:tc>
        <w:tc>
          <w:tcPr>
            <w:tcW w:w="113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桂林市科学研究与技术开发</w:t>
            </w:r>
          </w:p>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计划项目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1</w:t>
            </w:r>
            <w:r>
              <w:rPr>
                <w:rFonts w:ascii="微软雅黑" w:hAnsi="微软雅黑" w:eastAsia="微软雅黑"/>
                <w:snapToGrid w:val="0"/>
                <w:color w:val="000000"/>
                <w:szCs w:val="21"/>
              </w:rPr>
              <w:t>7</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共同立项</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陈敏</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2017-01-05</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广西神经系统疾病临床医学研究中心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6-</w:t>
            </w:r>
            <w:r>
              <w:rPr>
                <w:rFonts w:ascii="微软雅黑" w:hAnsi="微软雅黑" w:eastAsia="微软雅黑" w:cs="微软雅黑"/>
                <w:kern w:val="0"/>
                <w:szCs w:val="21"/>
              </w:rPr>
              <w:t>1</w:t>
            </w:r>
          </w:p>
        </w:tc>
        <w:tc>
          <w:tcPr>
            <w:tcW w:w="113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广西科技基地和人才专项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1</w:t>
            </w:r>
            <w:r>
              <w:rPr>
                <w:rFonts w:ascii="微软雅黑" w:hAnsi="微软雅黑" w:eastAsia="微软雅黑"/>
                <w:snapToGrid w:val="0"/>
                <w:color w:val="000000"/>
                <w:szCs w:val="21"/>
              </w:rPr>
              <w:t>8</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共同立项</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陈敏</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2017-01-05</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神经损伤与修复基础及临床应用研究创新基地</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ascii="微软雅黑" w:hAnsi="微软雅黑" w:eastAsia="微软雅黑" w:cs="微软雅黑"/>
                <w:kern w:val="0"/>
                <w:szCs w:val="21"/>
              </w:rPr>
              <w:t>6</w:t>
            </w:r>
            <w:r>
              <w:rPr>
                <w:rFonts w:hint="eastAsia" w:ascii="微软雅黑" w:hAnsi="微软雅黑" w:eastAsia="微软雅黑" w:cs="微软雅黑"/>
                <w:kern w:val="0"/>
                <w:szCs w:val="21"/>
              </w:rPr>
              <w:t>-</w:t>
            </w:r>
            <w:r>
              <w:rPr>
                <w:rFonts w:ascii="微软雅黑" w:hAnsi="微软雅黑" w:eastAsia="微软雅黑" w:cs="微软雅黑"/>
                <w:kern w:val="0"/>
                <w:szCs w:val="21"/>
              </w:rPr>
              <w:t>2</w:t>
            </w:r>
          </w:p>
        </w:tc>
        <w:tc>
          <w:tcPr>
            <w:tcW w:w="113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中央引导地方科技发展资金项目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1</w:t>
            </w:r>
            <w:r>
              <w:rPr>
                <w:rFonts w:ascii="微软雅黑" w:hAnsi="微软雅黑" w:eastAsia="微软雅黑"/>
                <w:snapToGrid w:val="0"/>
                <w:color w:val="000000"/>
                <w:szCs w:val="21"/>
              </w:rPr>
              <w:t>9</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cs="微软雅黑"/>
                <w:kern w:val="0"/>
                <w:szCs w:val="21"/>
              </w:rPr>
              <w:t>共同知识产权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陈晓旺</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2017-01-05</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一种帕金森综合症诊断装置</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1-</w:t>
            </w:r>
            <w:r>
              <w:rPr>
                <w:rFonts w:ascii="微软雅黑" w:hAnsi="微软雅黑" w:eastAsia="微软雅黑" w:cs="微软雅黑"/>
                <w:kern w:val="0"/>
                <w:szCs w:val="21"/>
              </w:rPr>
              <w:t>4</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实用新型专利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2</w:t>
            </w:r>
            <w:r>
              <w:rPr>
                <w:rFonts w:ascii="微软雅黑" w:hAnsi="微软雅黑" w:eastAsia="微软雅黑"/>
                <w:snapToGrid w:val="0"/>
                <w:color w:val="000000"/>
                <w:szCs w:val="21"/>
              </w:rPr>
              <w:t>0</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cs="微软雅黑"/>
                <w:kern w:val="0"/>
                <w:szCs w:val="21"/>
              </w:rPr>
              <w:t>共同知识产权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陈晓旺</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ascii="微软雅黑" w:hAnsi="微软雅黑" w:eastAsia="微软雅黑" w:cs="????"/>
                <w:kern w:val="0"/>
                <w:szCs w:val="21"/>
              </w:rPr>
              <w:t>2017-01-05</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一种帕金森综合症数据采集装置</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1-</w:t>
            </w:r>
            <w:r>
              <w:rPr>
                <w:rFonts w:ascii="微软雅黑" w:hAnsi="微软雅黑" w:eastAsia="微软雅黑" w:cs="微软雅黑"/>
                <w:kern w:val="0"/>
                <w:szCs w:val="21"/>
              </w:rPr>
              <w:t>5</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实用新型专利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2</w:t>
            </w:r>
            <w:r>
              <w:rPr>
                <w:rFonts w:ascii="微软雅黑" w:hAnsi="微软雅黑" w:eastAsia="微软雅黑"/>
                <w:snapToGrid w:val="0"/>
                <w:color w:val="000000"/>
                <w:szCs w:val="21"/>
              </w:rPr>
              <w:t>1</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cs="微软雅黑"/>
                <w:kern w:val="0"/>
                <w:szCs w:val="21"/>
              </w:rPr>
              <w:t>共同立项</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罗玉</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2</w:t>
            </w:r>
            <w:r>
              <w:rPr>
                <w:rFonts w:ascii="微软雅黑" w:hAnsi="微软雅黑" w:eastAsia="微软雅黑"/>
                <w:snapToGrid w:val="0"/>
                <w:color w:val="000000"/>
                <w:szCs w:val="21"/>
              </w:rPr>
              <w:t>020</w:t>
            </w:r>
            <w:r>
              <w:rPr>
                <w:rFonts w:hint="eastAsia" w:ascii="微软雅黑" w:hAnsi="微软雅黑" w:eastAsia="微软雅黑"/>
                <w:snapToGrid w:val="0"/>
                <w:color w:val="000000"/>
                <w:szCs w:val="21"/>
              </w:rPr>
              <w:t>-</w:t>
            </w:r>
            <w:r>
              <w:rPr>
                <w:rFonts w:ascii="微软雅黑" w:hAnsi="微软雅黑" w:eastAsia="微软雅黑"/>
                <w:snapToGrid w:val="0"/>
                <w:color w:val="000000"/>
                <w:szCs w:val="21"/>
              </w:rPr>
              <w:t>06</w:t>
            </w:r>
            <w:r>
              <w:rPr>
                <w:rFonts w:hint="eastAsia" w:ascii="微软雅黑" w:hAnsi="微软雅黑" w:eastAsia="微软雅黑"/>
                <w:snapToGrid w:val="0"/>
                <w:color w:val="000000"/>
                <w:szCs w:val="21"/>
              </w:rPr>
              <w:t>-</w:t>
            </w:r>
            <w:r>
              <w:rPr>
                <w:rFonts w:ascii="微软雅黑" w:hAnsi="微软雅黑" w:eastAsia="微软雅黑"/>
                <w:snapToGrid w:val="0"/>
                <w:color w:val="000000"/>
                <w:szCs w:val="21"/>
              </w:rPr>
              <w:t>10</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基于“</w:t>
            </w:r>
            <w:r>
              <w:rPr>
                <w:rFonts w:ascii="微软雅黑" w:hAnsi="微软雅黑" w:eastAsia="微软雅黑" w:cs="微软雅黑"/>
                <w:kern w:val="0"/>
                <w:szCs w:val="21"/>
              </w:rPr>
              <w:t>123</w:t>
            </w:r>
            <w:r>
              <w:rPr>
                <w:rFonts w:hint="eastAsia" w:ascii="微软雅黑" w:hAnsi="微软雅黑" w:eastAsia="微软雅黑" w:cs="微软雅黑"/>
                <w:kern w:val="0"/>
                <w:szCs w:val="21"/>
              </w:rPr>
              <w:t>模式”的桂林脑卒中早筛防控康养一体化示范区建设</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6-</w:t>
            </w:r>
            <w:r>
              <w:rPr>
                <w:rFonts w:ascii="微软雅黑" w:hAnsi="微软雅黑" w:eastAsia="微软雅黑" w:cs="微软雅黑"/>
                <w:kern w:val="0"/>
                <w:szCs w:val="21"/>
              </w:rPr>
              <w:t>3</w:t>
            </w:r>
          </w:p>
        </w:tc>
        <w:tc>
          <w:tcPr>
            <w:tcW w:w="113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广西重点研发计划项目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2</w:t>
            </w:r>
            <w:r>
              <w:rPr>
                <w:rFonts w:ascii="微软雅黑" w:hAnsi="微软雅黑" w:eastAsia="微软雅黑"/>
                <w:snapToGrid w:val="0"/>
                <w:color w:val="000000"/>
                <w:szCs w:val="21"/>
              </w:rPr>
              <w:t>2</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cs="微软雅黑"/>
                <w:kern w:val="0"/>
                <w:szCs w:val="21"/>
              </w:rPr>
              <w:t>共同立项</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覃小杜</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ascii="微软雅黑" w:hAnsi="微软雅黑" w:eastAsia="微软雅黑"/>
                <w:snapToGrid w:val="0"/>
                <w:color w:val="000000"/>
                <w:szCs w:val="21"/>
              </w:rPr>
            </w:pPr>
            <w:r>
              <w:rPr>
                <w:rFonts w:hint="eastAsia" w:ascii="微软雅黑" w:hAnsi="微软雅黑" w:eastAsia="微软雅黑"/>
                <w:snapToGrid w:val="0"/>
                <w:color w:val="000000"/>
                <w:szCs w:val="21"/>
              </w:rPr>
              <w:t>2</w:t>
            </w:r>
            <w:r>
              <w:rPr>
                <w:rFonts w:ascii="微软雅黑" w:hAnsi="微软雅黑" w:eastAsia="微软雅黑"/>
                <w:snapToGrid w:val="0"/>
                <w:color w:val="000000"/>
                <w:szCs w:val="21"/>
              </w:rPr>
              <w:t>020</w:t>
            </w:r>
            <w:r>
              <w:rPr>
                <w:rFonts w:hint="eastAsia" w:ascii="微软雅黑" w:hAnsi="微软雅黑" w:eastAsia="微软雅黑"/>
                <w:snapToGrid w:val="0"/>
                <w:color w:val="000000"/>
                <w:szCs w:val="21"/>
              </w:rPr>
              <w:t>-</w:t>
            </w:r>
            <w:r>
              <w:rPr>
                <w:rFonts w:ascii="微软雅黑" w:hAnsi="微软雅黑" w:eastAsia="微软雅黑"/>
                <w:snapToGrid w:val="0"/>
                <w:color w:val="000000"/>
                <w:szCs w:val="21"/>
              </w:rPr>
              <w:t>06</w:t>
            </w:r>
            <w:r>
              <w:rPr>
                <w:rFonts w:hint="eastAsia" w:ascii="微软雅黑" w:hAnsi="微软雅黑" w:eastAsia="微软雅黑"/>
                <w:snapToGrid w:val="0"/>
                <w:color w:val="000000"/>
                <w:szCs w:val="21"/>
              </w:rPr>
              <w:t>-</w:t>
            </w:r>
            <w:r>
              <w:rPr>
                <w:rFonts w:ascii="微软雅黑" w:hAnsi="微软雅黑" w:eastAsia="微软雅黑"/>
                <w:snapToGrid w:val="0"/>
                <w:color w:val="000000"/>
                <w:szCs w:val="21"/>
              </w:rPr>
              <w:t>22</w:t>
            </w:r>
          </w:p>
        </w:tc>
        <w:tc>
          <w:tcPr>
            <w:tcW w:w="198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基于“</w:t>
            </w:r>
            <w:r>
              <w:rPr>
                <w:rFonts w:ascii="微软雅黑" w:hAnsi="微软雅黑" w:eastAsia="微软雅黑" w:cs="微软雅黑"/>
                <w:kern w:val="0"/>
                <w:szCs w:val="21"/>
              </w:rPr>
              <w:t>123</w:t>
            </w:r>
            <w:r>
              <w:rPr>
                <w:rFonts w:hint="eastAsia" w:ascii="微软雅黑" w:hAnsi="微软雅黑" w:eastAsia="微软雅黑" w:cs="微软雅黑"/>
                <w:kern w:val="0"/>
                <w:szCs w:val="21"/>
              </w:rPr>
              <w:t>模式”的桂林脑卒中早筛防控康养一体化示范区建设</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rPr>
                <w:rFonts w:ascii="微软雅黑" w:hAnsi="微软雅黑" w:eastAsia="微软雅黑" w:cs="微软雅黑"/>
                <w:kern w:val="0"/>
                <w:szCs w:val="21"/>
              </w:rPr>
            </w:pPr>
            <w:r>
              <w:rPr>
                <w:rFonts w:hint="eastAsia" w:ascii="微软雅黑" w:hAnsi="微软雅黑" w:eastAsia="微软雅黑" w:cs="微软雅黑"/>
                <w:kern w:val="0"/>
                <w:szCs w:val="21"/>
              </w:rPr>
              <w:t>6-</w:t>
            </w:r>
            <w:r>
              <w:rPr>
                <w:rFonts w:ascii="微软雅黑" w:hAnsi="微软雅黑" w:eastAsia="微软雅黑" w:cs="微软雅黑"/>
                <w:kern w:val="0"/>
                <w:szCs w:val="21"/>
              </w:rPr>
              <w:t>3</w:t>
            </w:r>
          </w:p>
        </w:tc>
        <w:tc>
          <w:tcPr>
            <w:tcW w:w="113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240" w:lineRule="exact"/>
              <w:jc w:val="left"/>
              <w:rPr>
                <w:rFonts w:ascii="微软雅黑" w:hAnsi="微软雅黑" w:eastAsia="微软雅黑" w:cs="微软雅黑"/>
                <w:kern w:val="0"/>
                <w:szCs w:val="21"/>
              </w:rPr>
            </w:pPr>
            <w:r>
              <w:rPr>
                <w:rFonts w:hint="eastAsia" w:ascii="微软雅黑" w:hAnsi="微软雅黑" w:eastAsia="微软雅黑" w:cs="微软雅黑"/>
                <w:kern w:val="0"/>
                <w:szCs w:val="21"/>
              </w:rPr>
              <w:t>广西重点研发计划项目</w:t>
            </w:r>
          </w:p>
        </w:tc>
      </w:tr>
    </w:tbl>
    <w:p>
      <w:pPr>
        <w:pStyle w:val="10"/>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方正黑体_GBK">
    <w:altName w:val="微软雅黑"/>
    <w:panose1 w:val="00000000000000000000"/>
    <w:charset w:val="86"/>
    <w:family w:val="script"/>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
    <w:altName w:val="Malgun Gothic Semilight"/>
    <w:panose1 w:val="00000000000000000000"/>
    <w:charset w:val="86"/>
    <w:family w:val="auto"/>
    <w:pitch w:val="default"/>
    <w:sig w:usb0="00000000" w:usb1="00000000" w:usb2="00000010" w:usb3="00000000" w:csb0="00040000" w:csb1="00000000"/>
  </w:font>
  <w:font w:name="Malgun Gothic Semilight">
    <w:panose1 w:val="020B0502040204020203"/>
    <w:charset w:val="86"/>
    <w:family w:val="swiss"/>
    <w:pitch w:val="default"/>
    <w:sig w:usb0="900002AF" w:usb1="01D77CFB" w:usb2="00000012" w:usb3="00000000" w:csb0="203E01BD"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087BCA"/>
    <w:rsid w:val="001A5207"/>
    <w:rsid w:val="00365910"/>
    <w:rsid w:val="003D1FC0"/>
    <w:rsid w:val="0048501C"/>
    <w:rsid w:val="006518E3"/>
    <w:rsid w:val="008C206F"/>
    <w:rsid w:val="008C3013"/>
    <w:rsid w:val="009E4F65"/>
    <w:rsid w:val="00A77789"/>
    <w:rsid w:val="00B62905"/>
    <w:rsid w:val="00E42D1D"/>
    <w:rsid w:val="00F950C1"/>
    <w:rsid w:val="00F97FC9"/>
    <w:rsid w:val="00FB0B1F"/>
    <w:rsid w:val="00FD0F8B"/>
    <w:rsid w:val="083D318E"/>
    <w:rsid w:val="0CC8630E"/>
    <w:rsid w:val="11361B3A"/>
    <w:rsid w:val="241F02D3"/>
    <w:rsid w:val="2B5A3E24"/>
    <w:rsid w:val="43DA1533"/>
    <w:rsid w:val="591A65C1"/>
    <w:rsid w:val="5BE93EEE"/>
    <w:rsid w:val="64F30EAE"/>
    <w:rsid w:val="73BC66FB"/>
    <w:rsid w:val="7DCA7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1103</Words>
  <Characters>6288</Characters>
  <Lines>52</Lines>
  <Paragraphs>14</Paragraphs>
  <TotalTime>0</TotalTime>
  <ScaleCrop>false</ScaleCrop>
  <LinksUpToDate>false</LinksUpToDate>
  <CharactersWithSpaces>7377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2023-08-23T09:28:40Z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