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578"/>
        <w:gridCol w:w="207"/>
        <w:gridCol w:w="1095"/>
        <w:gridCol w:w="615"/>
        <w:gridCol w:w="690"/>
        <w:gridCol w:w="1200"/>
        <w:gridCol w:w="840"/>
        <w:gridCol w:w="1830"/>
        <w:gridCol w:w="1020"/>
        <w:gridCol w:w="656"/>
        <w:gridCol w:w="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51" w:type="dxa"/>
          <w:cantSplit/>
          <w:trHeight w:val="432" w:hRule="atLeast"/>
        </w:trPr>
        <w:tc>
          <w:tcPr>
            <w:tcW w:w="1776"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5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智能纳米材料在脑损伤与肿瘤治疗的创新研究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51" w:type="dxa"/>
          <w:cantSplit/>
          <w:trHeight w:val="774" w:hRule="atLeast"/>
        </w:trPr>
        <w:tc>
          <w:tcPr>
            <w:tcW w:w="1776"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5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莫靖欣、赵蔚、韦荔莉、王力、陈薇、杨冰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51" w:type="dxa"/>
          <w:cantSplit/>
          <w:trHeight w:val="90" w:hRule="atLeast"/>
        </w:trPr>
        <w:tc>
          <w:tcPr>
            <w:tcW w:w="1776"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5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桂林医学院附属医院、中山大学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51" w:type="dxa"/>
          <w:cantSplit/>
          <w:trHeight w:val="402" w:hRule="atLeast"/>
        </w:trPr>
        <w:tc>
          <w:tcPr>
            <w:tcW w:w="1776"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5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51" w:type="dxa"/>
          <w:trHeight w:val="187" w:hRule="atLeast"/>
        </w:trPr>
        <w:tc>
          <w:tcPr>
            <w:tcW w:w="119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9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61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69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20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4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183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102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65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51" w:type="dxa"/>
          <w:trHeight w:val="726" w:hRule="atLeast"/>
        </w:trPr>
        <w:tc>
          <w:tcPr>
            <w:tcW w:w="1198"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9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61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69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4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83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2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656" w:type="dxa"/>
            <w:tcMar>
              <w:left w:w="57" w:type="dxa"/>
              <w:right w:w="57" w:type="dxa"/>
            </w:tcMar>
            <w:vAlign w:val="center"/>
          </w:tcPr>
          <w:p>
            <w:pPr>
              <w:spacing w:line="260" w:lineRule="exact"/>
              <w:jc w:val="center"/>
              <w:rPr>
                <w:rFonts w:ascii="仿宋_GB2312" w:hAnsi="仿宋_GB2312" w:eastAsia="仿宋_GB2312" w:cs="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51" w:type="dxa"/>
          <w:trHeight w:val="90" w:hRule="atLeast"/>
        </w:trPr>
        <w:tc>
          <w:tcPr>
            <w:tcW w:w="1198"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785"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9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61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690"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200"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40"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1830"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1020" w:type="dxa"/>
            <w:tcMar>
              <w:left w:w="57" w:type="dxa"/>
              <w:right w:w="57" w:type="dxa"/>
            </w:tcMar>
            <w:vAlign w:val="center"/>
          </w:tcPr>
          <w:p>
            <w:pPr>
              <w:spacing w:line="260" w:lineRule="exact"/>
              <w:jc w:val="center"/>
              <w:rPr>
                <w:rFonts w:ascii="黑体" w:hAnsi="黑体" w:eastAsia="黑体" w:cs="黑体"/>
                <w:bCs/>
                <w:sz w:val="18"/>
                <w:szCs w:val="18"/>
              </w:rPr>
            </w:pPr>
          </w:p>
        </w:tc>
        <w:tc>
          <w:tcPr>
            <w:tcW w:w="65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19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ab/>
            </w:r>
            <w:bookmarkStart w:id="0" w:name="OLE_LINK2"/>
            <w:bookmarkStart w:id="1" w:name="OLE_LINK1"/>
            <w:r>
              <w:rPr>
                <w:rFonts w:eastAsia="等线"/>
                <w:snapToGrid w:val="0"/>
                <w:color w:val="000000"/>
                <w:sz w:val="18"/>
                <w:szCs w:val="18"/>
              </w:rPr>
              <w:t>Dual-responsive, Methotrexate-loaded, Ascorbic acid-derived Micelles Exert Anti-tumor and Anti-metastatic Effects by Inhibiting NF-kappaB Signaling in an Orthotopic Mouse Model of Human Choriocarcinoma</w:t>
            </w:r>
            <w:bookmarkEnd w:id="0"/>
            <w:bookmarkEnd w:id="1"/>
            <w:r>
              <w:rPr>
                <w:rFonts w:eastAsia="等线"/>
                <w:snapToGrid w:val="0"/>
                <w:color w:val="000000"/>
                <w:sz w:val="18"/>
                <w:szCs w:val="18"/>
              </w:rPr>
              <w:t xml:space="preserve">.  </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Theranostics</w:t>
            </w:r>
          </w:p>
        </w:tc>
        <w:tc>
          <w:tcPr>
            <w:tcW w:w="109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Wei, Lili#</w:t>
            </w:r>
            <w:r>
              <w:rPr>
                <w:rFonts w:hint="eastAsia" w:eastAsia="等线"/>
                <w:snapToGrid w:val="0"/>
                <w:color w:val="000000"/>
                <w:sz w:val="18"/>
                <w:szCs w:val="18"/>
              </w:rPr>
              <w:t>（韦荔莉）</w:t>
            </w:r>
            <w:r>
              <w:rPr>
                <w:rFonts w:eastAsia="等线"/>
                <w:snapToGrid w:val="0"/>
                <w:color w:val="000000"/>
                <w:sz w:val="18"/>
                <w:szCs w:val="18"/>
              </w:rPr>
              <w:t>, Wang, Chenyuan</w:t>
            </w:r>
            <w:r>
              <w:rPr>
                <w:rFonts w:hint="eastAsia" w:eastAsia="等线"/>
                <w:snapToGrid w:val="0"/>
                <w:color w:val="000000"/>
                <w:sz w:val="18"/>
                <w:szCs w:val="18"/>
              </w:rPr>
              <w:t>（王晨媛）</w:t>
            </w:r>
            <w:r>
              <w:rPr>
                <w:rFonts w:eastAsia="等线"/>
                <w:snapToGrid w:val="0"/>
                <w:color w:val="000000"/>
                <w:sz w:val="18"/>
                <w:szCs w:val="18"/>
              </w:rPr>
              <w:t>, Chen, Xianjue</w:t>
            </w:r>
            <w:r>
              <w:rPr>
                <w:rFonts w:hint="eastAsia" w:eastAsia="等线"/>
                <w:snapToGrid w:val="0"/>
                <w:color w:val="000000"/>
                <w:sz w:val="18"/>
                <w:szCs w:val="18"/>
              </w:rPr>
              <w:t>（陈先觉）</w:t>
            </w:r>
            <w:r>
              <w:rPr>
                <w:rFonts w:eastAsia="等线"/>
                <w:snapToGrid w:val="0"/>
                <w:color w:val="000000"/>
                <w:sz w:val="18"/>
                <w:szCs w:val="18"/>
              </w:rPr>
              <w:t>, Yang, Bing</w:t>
            </w:r>
            <w:r>
              <w:rPr>
                <w:rFonts w:hint="eastAsia" w:eastAsia="等线"/>
                <w:snapToGrid w:val="0"/>
                <w:color w:val="000000"/>
                <w:sz w:val="18"/>
                <w:szCs w:val="18"/>
              </w:rPr>
              <w:t>（杨冰）</w:t>
            </w:r>
            <w:r>
              <w:rPr>
                <w:rFonts w:eastAsia="等线"/>
                <w:snapToGrid w:val="0"/>
                <w:color w:val="000000"/>
                <w:sz w:val="18"/>
                <w:szCs w:val="18"/>
              </w:rPr>
              <w:t>, Shi, Kun</w:t>
            </w:r>
            <w:r>
              <w:rPr>
                <w:rFonts w:hint="eastAsia" w:eastAsia="等线"/>
                <w:snapToGrid w:val="0"/>
                <w:color w:val="000000"/>
                <w:sz w:val="18"/>
                <w:szCs w:val="18"/>
              </w:rPr>
              <w:t>（石琨）</w:t>
            </w:r>
            <w:r>
              <w:rPr>
                <w:rFonts w:eastAsia="等线"/>
                <w:snapToGrid w:val="0"/>
                <w:color w:val="000000"/>
                <w:sz w:val="18"/>
                <w:szCs w:val="18"/>
              </w:rPr>
              <w:t>, Benington, Leah R</w:t>
            </w:r>
            <w:r>
              <w:rPr>
                <w:rFonts w:hint="eastAsia" w:eastAsia="等线"/>
                <w:snapToGrid w:val="0"/>
                <w:color w:val="000000"/>
                <w:sz w:val="18"/>
                <w:szCs w:val="18"/>
              </w:rPr>
              <w:t>（贝宁顿，莉亚·</w:t>
            </w:r>
            <w:r>
              <w:rPr>
                <w:rFonts w:eastAsia="等线"/>
                <w:snapToGrid w:val="0"/>
                <w:color w:val="000000"/>
                <w:sz w:val="18"/>
                <w:szCs w:val="18"/>
              </w:rPr>
              <w:t>R</w:t>
            </w:r>
            <w:r>
              <w:rPr>
                <w:rFonts w:hint="eastAsia" w:eastAsia="等线"/>
                <w:snapToGrid w:val="0"/>
                <w:color w:val="000000"/>
                <w:sz w:val="18"/>
                <w:szCs w:val="18"/>
              </w:rPr>
              <w:t>）</w:t>
            </w:r>
            <w:r>
              <w:rPr>
                <w:rFonts w:eastAsia="等线"/>
                <w:snapToGrid w:val="0"/>
                <w:color w:val="000000"/>
                <w:sz w:val="18"/>
                <w:szCs w:val="18"/>
              </w:rPr>
              <w:t>,Lim, Lee Yong</w:t>
            </w:r>
            <w:r>
              <w:rPr>
                <w:rFonts w:hint="eastAsia" w:eastAsia="等线"/>
                <w:snapToGrid w:val="0"/>
                <w:color w:val="000000"/>
                <w:sz w:val="18"/>
                <w:szCs w:val="18"/>
              </w:rPr>
              <w:t>（林丽蓉）</w:t>
            </w:r>
            <w:r>
              <w:rPr>
                <w:rFonts w:eastAsia="等线"/>
                <w:snapToGrid w:val="0"/>
                <w:color w:val="000000"/>
                <w:sz w:val="18"/>
                <w:szCs w:val="18"/>
              </w:rPr>
              <w:t>, Shi, Sanjun</w:t>
            </w:r>
            <w:r>
              <w:rPr>
                <w:rFonts w:hint="eastAsia" w:eastAsia="等线"/>
                <w:snapToGrid w:val="0"/>
                <w:color w:val="000000"/>
                <w:sz w:val="18"/>
                <w:szCs w:val="18"/>
              </w:rPr>
              <w:t>（石三军）</w:t>
            </w:r>
            <w:r>
              <w:rPr>
                <w:rFonts w:eastAsia="等线"/>
                <w:snapToGrid w:val="0"/>
                <w:color w:val="000000"/>
                <w:sz w:val="18"/>
                <w:szCs w:val="18"/>
              </w:rPr>
              <w:t>, Mo, Jingxin*</w:t>
            </w:r>
            <w:r>
              <w:rPr>
                <w:rFonts w:hint="eastAsia" w:eastAsia="等线"/>
                <w:snapToGrid w:val="0"/>
                <w:color w:val="000000"/>
                <w:sz w:val="18"/>
                <w:szCs w:val="18"/>
              </w:rPr>
              <w:t>（莫靖欣）</w:t>
            </w:r>
          </w:p>
        </w:tc>
        <w:tc>
          <w:tcPr>
            <w:tcW w:w="61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2019,9(15):4354-4374.</w:t>
            </w:r>
          </w:p>
        </w:tc>
        <w:tc>
          <w:tcPr>
            <w:tcW w:w="69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2019.6.9</w:t>
            </w:r>
          </w:p>
        </w:tc>
        <w:tc>
          <w:tcPr>
            <w:tcW w:w="120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Shi, Sanjun（石三军）; Mo, Jingxin*（莫靖欣）</w:t>
            </w:r>
          </w:p>
        </w:tc>
        <w:tc>
          <w:tcPr>
            <w:tcW w:w="84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Wei, Lili#（韦荔莉）, Wang, Chenyuan（王晨媛）</w:t>
            </w:r>
          </w:p>
        </w:tc>
        <w:tc>
          <w:tcPr>
            <w:tcW w:w="183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1. Clinical Research Center for Neurological Diseases of Guangxi Province, The Affiliated Hospital of Guilin Medical University, Guilin 541001, China</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w:t>
            </w:r>
            <w:r>
              <w:rPr>
                <w:rFonts w:hint="eastAsia" w:eastAsia="等线"/>
                <w:snapToGrid w:val="0"/>
                <w:color w:val="000000"/>
                <w:sz w:val="18"/>
                <w:szCs w:val="18"/>
              </w:rPr>
              <w:t>桂林医学院附属医院神经系统疾病临床医学研究中心</w:t>
            </w:r>
            <w:r>
              <w:rPr>
                <w:rFonts w:eastAsia="等线"/>
                <w:snapToGrid w:val="0"/>
                <w:color w:val="000000"/>
                <w:sz w:val="18"/>
                <w:szCs w:val="18"/>
              </w:rPr>
              <w:t>)2. Department of Pharmacy, The Affiliated Hospital of Guilin Medical University, Guilin 541001, China</w:t>
            </w:r>
            <w:r>
              <w:rPr>
                <w:rFonts w:hint="eastAsia" w:eastAsia="等线"/>
                <w:snapToGrid w:val="0"/>
                <w:color w:val="000000"/>
                <w:sz w:val="18"/>
                <w:szCs w:val="18"/>
              </w:rPr>
              <w:t>（桂林医学院附属医院药学院）</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3. Department of Pharmacy, Institute of Surgery Research, Daping Hospital, Third Military Medical University, Chongqing 400042, China</w:t>
            </w:r>
          </w:p>
          <w:p>
            <w:pPr>
              <w:adjustRightInd w:val="0"/>
              <w:snapToGrid w:val="0"/>
              <w:spacing w:line="320" w:lineRule="exact"/>
              <w:jc w:val="center"/>
              <w:outlineLvl w:val="1"/>
              <w:rPr>
                <w:rFonts w:eastAsia="等线"/>
                <w:snapToGrid w:val="0"/>
                <w:color w:val="000000"/>
                <w:sz w:val="18"/>
                <w:szCs w:val="18"/>
              </w:rPr>
            </w:pPr>
            <w:r>
              <w:rPr>
                <w:rFonts w:hint="eastAsia" w:eastAsia="等线"/>
                <w:snapToGrid w:val="0"/>
                <w:color w:val="000000"/>
                <w:sz w:val="18"/>
                <w:szCs w:val="18"/>
              </w:rPr>
              <w:t>（第三军医大学大坪医院药剂科）</w:t>
            </w:r>
            <w:r>
              <w:rPr>
                <w:rFonts w:eastAsia="等线"/>
                <w:snapToGrid w:val="0"/>
                <w:color w:val="000000"/>
                <w:sz w:val="18"/>
                <w:szCs w:val="18"/>
              </w:rPr>
              <w:t>4. Department of Reproductive Medicine, The Second Affiliated Hospital of Guangzhou University of Chinese Medicine, Guangzhou 510623, China</w:t>
            </w:r>
            <w:r>
              <w:rPr>
                <w:rFonts w:hint="eastAsia" w:eastAsia="等线"/>
                <w:snapToGrid w:val="0"/>
                <w:color w:val="000000"/>
                <w:sz w:val="18"/>
                <w:szCs w:val="18"/>
              </w:rPr>
              <w:t>（广州中医药大学第二附属医院生殖医学科）</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5. School of Chemistry, University of New South Wales, Sydney, NSW 2052, Australia</w:t>
            </w:r>
          </w:p>
          <w:p>
            <w:pPr>
              <w:adjustRightInd w:val="0"/>
              <w:snapToGrid w:val="0"/>
              <w:spacing w:line="320" w:lineRule="exact"/>
              <w:jc w:val="center"/>
              <w:outlineLvl w:val="1"/>
              <w:rPr>
                <w:rFonts w:eastAsia="等线"/>
                <w:snapToGrid w:val="0"/>
                <w:color w:val="000000"/>
                <w:sz w:val="18"/>
                <w:szCs w:val="18"/>
              </w:rPr>
            </w:pPr>
            <w:r>
              <w:rPr>
                <w:rFonts w:hint="eastAsia" w:eastAsia="等线"/>
                <w:snapToGrid w:val="0"/>
                <w:color w:val="000000"/>
                <w:sz w:val="18"/>
                <w:szCs w:val="18"/>
              </w:rPr>
              <w:t>（澳大利亚新南威尔士大学化学院）</w:t>
            </w:r>
            <w:r>
              <w:rPr>
                <w:rFonts w:eastAsia="等线"/>
                <w:snapToGrid w:val="0"/>
                <w:color w:val="000000"/>
                <w:sz w:val="18"/>
                <w:szCs w:val="18"/>
              </w:rPr>
              <w:t>6. Department of Gynecology, The Affiliated Hospital of Guilin Medical University, Guilin 541001, China</w:t>
            </w:r>
          </w:p>
          <w:p>
            <w:pPr>
              <w:adjustRightInd w:val="0"/>
              <w:snapToGrid w:val="0"/>
              <w:spacing w:line="320" w:lineRule="exact"/>
              <w:jc w:val="center"/>
              <w:outlineLvl w:val="1"/>
              <w:rPr>
                <w:rFonts w:eastAsia="等线"/>
                <w:snapToGrid w:val="0"/>
                <w:color w:val="000000"/>
                <w:sz w:val="18"/>
                <w:szCs w:val="18"/>
              </w:rPr>
            </w:pPr>
            <w:r>
              <w:rPr>
                <w:rFonts w:hint="eastAsia" w:eastAsia="等线"/>
                <w:snapToGrid w:val="0"/>
                <w:color w:val="000000"/>
                <w:sz w:val="18"/>
                <w:szCs w:val="18"/>
              </w:rPr>
              <w:t>（桂林医学院附属医院妇科）</w:t>
            </w:r>
            <w:r>
              <w:rPr>
                <w:rFonts w:eastAsia="等线"/>
                <w:snapToGrid w:val="0"/>
                <w:color w:val="000000"/>
                <w:sz w:val="18"/>
                <w:szCs w:val="18"/>
              </w:rPr>
              <w:t>7. Department of Gynecology, Guangzhou Women and Children's Medical Center, Guangzhou 510623, China</w:t>
            </w:r>
            <w:r>
              <w:rPr>
                <w:rFonts w:hint="eastAsia" w:eastAsia="等线"/>
                <w:snapToGrid w:val="0"/>
                <w:color w:val="000000"/>
                <w:sz w:val="18"/>
                <w:szCs w:val="18"/>
              </w:rPr>
              <w:t>（广州妇幼儿童医院妇科）</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8. Division of Pharmacy, School of Allied Health, University of Western Australia, Perth, WA 6009, Australia.</w:t>
            </w:r>
          </w:p>
          <w:p>
            <w:pPr>
              <w:spacing w:line="260" w:lineRule="exact"/>
              <w:jc w:val="center"/>
              <w:rPr>
                <w:rFonts w:ascii="仿宋_GB2312" w:hAnsi="仿宋_GB2312" w:eastAsia="仿宋_GB2312" w:cs="仿宋_GB2312"/>
                <w:szCs w:val="21"/>
              </w:rPr>
            </w:pPr>
            <w:r>
              <w:rPr>
                <w:rFonts w:hint="eastAsia" w:eastAsia="等线"/>
                <w:snapToGrid w:val="0"/>
                <w:color w:val="000000"/>
                <w:sz w:val="18"/>
                <w:szCs w:val="18"/>
              </w:rPr>
              <w:t>（西澳大利亚大学综合健康学院药学部）</w:t>
            </w:r>
            <w:r>
              <w:rPr>
                <w:rFonts w:eastAsia="等线"/>
                <w:snapToGrid w:val="0"/>
                <w:color w:val="000000"/>
                <w:sz w:val="18"/>
                <w:szCs w:val="18"/>
              </w:rPr>
              <w:t>9. Sun Yat-sen University Cancer Center, State Key Laboratory of Oncology in South China, Collaborative Innovation Center of Cancer Medicine, Guangzhou 510623, China</w:t>
            </w:r>
            <w:r>
              <w:rPr>
                <w:rFonts w:hint="eastAsia" w:eastAsia="等线"/>
                <w:snapToGrid w:val="0"/>
                <w:color w:val="000000"/>
                <w:sz w:val="18"/>
                <w:szCs w:val="18"/>
              </w:rPr>
              <w:t>（中山大学肿瘤防治中心，华南肿瘤国家重点实验室，肿瘤医学协同创新中心）</w:t>
            </w:r>
          </w:p>
        </w:tc>
        <w:tc>
          <w:tcPr>
            <w:tcW w:w="102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119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Metal ion-responsive nanocarrier derived from phosphonated calix[4]arenes for delivering dauricine specifically to sites of brain injury in a mouse model of intracerebral hemorrhage</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Journal of Nanobiotechnology</w:t>
            </w:r>
          </w:p>
        </w:tc>
        <w:tc>
          <w:tcPr>
            <w:tcW w:w="109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Li, Mingxin#（李明新）; Liu, Guohao（刘国浩）; Wang, Kaixuan（王凯旋）; Wang, Lingfeng（王凌峰）; Fu, Xiang（付翔）; Lim, Lee Yong（林丽蓉）; Chen, Wei*（陈薇）; Mo, Jingxin*（莫靖欣）</w:t>
            </w:r>
          </w:p>
        </w:tc>
        <w:tc>
          <w:tcPr>
            <w:tcW w:w="61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18, 61 (2020)</w:t>
            </w:r>
          </w:p>
        </w:tc>
        <w:tc>
          <w:tcPr>
            <w:tcW w:w="69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2020.4.19</w:t>
            </w:r>
          </w:p>
        </w:tc>
        <w:tc>
          <w:tcPr>
            <w:tcW w:w="120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Chen, Wei*（陈薇）; Mo, Jingxin*（莫靖欣</w:t>
            </w:r>
          </w:p>
        </w:tc>
        <w:tc>
          <w:tcPr>
            <w:tcW w:w="84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Li, Mingxin#（李明新）</w:t>
            </w:r>
          </w:p>
        </w:tc>
        <w:tc>
          <w:tcPr>
            <w:tcW w:w="183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1 Clinical Research Center for Neurological Diseases of Guangxi Province,</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The Affiliated Hospital of Guilin Medical University, Guilin 541001, China.</w:t>
            </w:r>
            <w:r>
              <w:rPr>
                <w:rFonts w:hint="eastAsia" w:eastAsia="等线"/>
                <w:snapToGrid w:val="0"/>
                <w:color w:val="000000"/>
                <w:sz w:val="18"/>
                <w:szCs w:val="18"/>
              </w:rPr>
              <w:t>（桂林医学院附属医院神经系统疾病临床医学研究中心）</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 xml:space="preserve">2 School of Pharmacy, Guilin Medical University, Guilin 541001, China. </w:t>
            </w:r>
            <w:r>
              <w:rPr>
                <w:rFonts w:hint="eastAsia" w:eastAsia="等线"/>
                <w:snapToGrid w:val="0"/>
                <w:color w:val="000000"/>
                <w:sz w:val="18"/>
                <w:szCs w:val="18"/>
              </w:rPr>
              <w:t>（桂林医学院药学院）</w:t>
            </w:r>
            <w:r>
              <w:rPr>
                <w:rFonts w:eastAsia="等线"/>
                <w:snapToGrid w:val="0"/>
                <w:color w:val="000000"/>
                <w:sz w:val="18"/>
                <w:szCs w:val="18"/>
              </w:rPr>
              <w:t>3 School</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of Chemistry, University of New South Wales Sydney, Kensington, NSW 2052,</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 xml:space="preserve">Australia. </w:t>
            </w:r>
            <w:r>
              <w:rPr>
                <w:rFonts w:hint="eastAsia" w:eastAsia="等线"/>
                <w:snapToGrid w:val="0"/>
                <w:color w:val="000000"/>
                <w:sz w:val="18"/>
                <w:szCs w:val="18"/>
              </w:rPr>
              <w:t>（澳大利亚新南威尔士大学化学院）</w:t>
            </w:r>
            <w:r>
              <w:rPr>
                <w:rFonts w:eastAsia="等线"/>
                <w:snapToGrid w:val="0"/>
                <w:color w:val="000000"/>
                <w:sz w:val="18"/>
                <w:szCs w:val="18"/>
              </w:rPr>
              <w:t>4 Division of Pharmacy, School of Allied Health, University of Western</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 xml:space="preserve">Australia, Perth, WA 6009, Australia. </w:t>
            </w:r>
            <w:r>
              <w:rPr>
                <w:rFonts w:hint="eastAsia" w:eastAsia="等线"/>
                <w:snapToGrid w:val="0"/>
                <w:color w:val="000000"/>
                <w:sz w:val="18"/>
                <w:szCs w:val="18"/>
              </w:rPr>
              <w:t>（西澳大利亚大学综合健康学院药学部）</w:t>
            </w:r>
            <w:r>
              <w:rPr>
                <w:rFonts w:eastAsia="等线"/>
                <w:snapToGrid w:val="0"/>
                <w:color w:val="000000"/>
                <w:sz w:val="18"/>
                <w:szCs w:val="18"/>
              </w:rPr>
              <w:t>5 Department of Radiology, Affiliated Hospital</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of Jilin Medical University, Jilin 132013, China.</w:t>
            </w:r>
            <w:r>
              <w:rPr>
                <w:rFonts w:hint="eastAsia" w:eastAsia="等线"/>
                <w:snapToGrid w:val="0"/>
                <w:color w:val="000000"/>
                <w:sz w:val="18"/>
                <w:szCs w:val="18"/>
              </w:rPr>
              <w:t>（吉林医药学院附属医院放射科）</w:t>
            </w:r>
            <w:r>
              <w:rPr>
                <w:rFonts w:eastAsia="等线"/>
                <w:snapToGrid w:val="0"/>
                <w:color w:val="000000"/>
                <w:sz w:val="18"/>
                <w:szCs w:val="18"/>
              </w:rPr>
              <w:t xml:space="preserve"> 6 Department of Pharmacy,</w:t>
            </w:r>
          </w:p>
          <w:p>
            <w:pPr>
              <w:spacing w:line="260" w:lineRule="exact"/>
              <w:jc w:val="center"/>
              <w:rPr>
                <w:rFonts w:ascii="仿宋_GB2312" w:hAnsi="仿宋_GB2312" w:eastAsia="仿宋_GB2312" w:cs="仿宋_GB2312"/>
                <w:szCs w:val="21"/>
              </w:rPr>
            </w:pPr>
            <w:r>
              <w:rPr>
                <w:rFonts w:eastAsia="等线"/>
                <w:snapToGrid w:val="0"/>
                <w:color w:val="000000"/>
                <w:sz w:val="18"/>
                <w:szCs w:val="18"/>
              </w:rPr>
              <w:t>The Affiliated Hospital of Guilin Medical University, Guilin 541001, China.</w:t>
            </w:r>
            <w:r>
              <w:rPr>
                <w:rFonts w:hint="eastAsia" w:eastAsia="等线"/>
                <w:snapToGrid w:val="0"/>
                <w:color w:val="000000"/>
                <w:sz w:val="18"/>
                <w:szCs w:val="18"/>
              </w:rPr>
              <w:t xml:space="preserve"> （桂林医学院附属医院药学部）</w:t>
            </w:r>
          </w:p>
        </w:tc>
        <w:tc>
          <w:tcPr>
            <w:tcW w:w="102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19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Nanoparticle enhanced combination therapy for stem-like progenitors defined by single-cell transcriptomics in chemotherapy-resistant osteosarcoma</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Signal Transduction and Targeted Therapy</w:t>
            </w:r>
          </w:p>
        </w:tc>
        <w:tc>
          <w:tcPr>
            <w:tcW w:w="109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Li Wang #</w:t>
            </w:r>
            <w:r>
              <w:rPr>
                <w:rFonts w:hint="eastAsia" w:eastAsia="等线"/>
                <w:snapToGrid w:val="0"/>
                <w:color w:val="000000"/>
                <w:sz w:val="18"/>
                <w:szCs w:val="18"/>
              </w:rPr>
              <w:t>(王力)</w:t>
            </w:r>
            <w:r>
              <w:rPr>
                <w:rFonts w:eastAsia="等线"/>
                <w:snapToGrid w:val="0"/>
                <w:color w:val="000000"/>
                <w:sz w:val="18"/>
                <w:szCs w:val="18"/>
              </w:rPr>
              <w:t>; Xiaojia Huang(</w:t>
            </w:r>
            <w:r>
              <w:rPr>
                <w:rFonts w:hint="eastAsia" w:eastAsia="等线"/>
                <w:snapToGrid w:val="0"/>
                <w:color w:val="000000"/>
                <w:sz w:val="18"/>
                <w:szCs w:val="18"/>
              </w:rPr>
              <w:t>黄晓佳)</w:t>
            </w:r>
            <w:r>
              <w:rPr>
                <w:rFonts w:eastAsia="等线"/>
                <w:snapToGrid w:val="0"/>
                <w:color w:val="000000"/>
                <w:sz w:val="18"/>
                <w:szCs w:val="18"/>
              </w:rPr>
              <w:t>; Xinru You(</w:t>
            </w:r>
            <w:r>
              <w:rPr>
                <w:rFonts w:hint="eastAsia" w:eastAsia="等线"/>
                <w:snapToGrid w:val="0"/>
                <w:color w:val="000000"/>
                <w:sz w:val="18"/>
                <w:szCs w:val="18"/>
              </w:rPr>
              <w:t>游欣如)</w:t>
            </w:r>
            <w:r>
              <w:rPr>
                <w:rFonts w:eastAsia="等线"/>
                <w:snapToGrid w:val="0"/>
                <w:color w:val="000000"/>
                <w:sz w:val="18"/>
                <w:szCs w:val="18"/>
              </w:rPr>
              <w:t>; Tianqi Yi(</w:t>
            </w:r>
            <w:r>
              <w:rPr>
                <w:rFonts w:hint="eastAsia" w:eastAsia="等线"/>
                <w:snapToGrid w:val="0"/>
                <w:color w:val="000000"/>
                <w:sz w:val="18"/>
                <w:szCs w:val="18"/>
              </w:rPr>
              <w:t>易恬琦);</w:t>
            </w:r>
            <w:r>
              <w:rPr>
                <w:rFonts w:eastAsia="等线"/>
                <w:snapToGrid w:val="0"/>
                <w:color w:val="000000"/>
                <w:sz w:val="18"/>
                <w:szCs w:val="18"/>
              </w:rPr>
              <w:t>Bing Lu(</w:t>
            </w:r>
            <w:r>
              <w:rPr>
                <w:rFonts w:hint="eastAsia" w:eastAsia="等线"/>
                <w:snapToGrid w:val="0"/>
                <w:color w:val="000000"/>
                <w:sz w:val="18"/>
                <w:szCs w:val="18"/>
              </w:rPr>
              <w:t>鲁冰);</w:t>
            </w:r>
            <w:r>
              <w:rPr>
                <w:rFonts w:eastAsia="等线"/>
                <w:snapToGrid w:val="0"/>
                <w:color w:val="000000"/>
                <w:sz w:val="18"/>
                <w:szCs w:val="18"/>
              </w:rPr>
              <w:t xml:space="preserve"> Jiali Liu(</w:t>
            </w:r>
            <w:r>
              <w:rPr>
                <w:rFonts w:hint="eastAsia" w:eastAsia="等线"/>
                <w:snapToGrid w:val="0"/>
                <w:color w:val="000000"/>
                <w:sz w:val="18"/>
                <w:szCs w:val="18"/>
              </w:rPr>
              <w:t>刘家立);</w:t>
            </w:r>
          </w:p>
          <w:p>
            <w:pPr>
              <w:spacing w:line="260" w:lineRule="exact"/>
              <w:jc w:val="center"/>
              <w:rPr>
                <w:rFonts w:ascii="仿宋_GB2312" w:hAnsi="仿宋_GB2312" w:eastAsia="仿宋_GB2312" w:cs="仿宋_GB2312"/>
                <w:szCs w:val="21"/>
              </w:rPr>
            </w:pPr>
            <w:r>
              <w:rPr>
                <w:rFonts w:eastAsia="等线"/>
                <w:snapToGrid w:val="0"/>
                <w:color w:val="000000"/>
                <w:sz w:val="18"/>
                <w:szCs w:val="18"/>
              </w:rPr>
              <w:t>Guohao Lu(</w:t>
            </w:r>
            <w:r>
              <w:rPr>
                <w:rFonts w:hint="eastAsia" w:eastAsia="等线"/>
                <w:snapToGrid w:val="0"/>
                <w:color w:val="000000"/>
                <w:sz w:val="18"/>
                <w:szCs w:val="18"/>
              </w:rPr>
              <w:t>卢国颢);</w:t>
            </w:r>
            <w:r>
              <w:rPr>
                <w:rFonts w:eastAsia="等线"/>
                <w:snapToGrid w:val="0"/>
                <w:color w:val="000000"/>
                <w:sz w:val="18"/>
                <w:szCs w:val="18"/>
              </w:rPr>
              <w:t xml:space="preserve"> Minglin Ma(</w:t>
            </w:r>
            <w:r>
              <w:rPr>
                <w:rFonts w:hint="eastAsia" w:eastAsia="等线"/>
                <w:snapToGrid w:val="0"/>
                <w:color w:val="000000"/>
                <w:sz w:val="18"/>
                <w:szCs w:val="18"/>
              </w:rPr>
              <w:t>马明林);</w:t>
            </w:r>
            <w:r>
              <w:rPr>
                <w:rFonts w:eastAsia="等线"/>
                <w:snapToGrid w:val="0"/>
                <w:color w:val="000000"/>
                <w:sz w:val="18"/>
                <w:szCs w:val="18"/>
              </w:rPr>
              <w:t xml:space="preserve"> Changye Zou* (</w:t>
            </w:r>
            <w:r>
              <w:rPr>
                <w:rFonts w:hint="eastAsia" w:eastAsia="等线"/>
                <w:snapToGrid w:val="0"/>
                <w:color w:val="000000"/>
                <w:sz w:val="18"/>
                <w:szCs w:val="18"/>
              </w:rPr>
              <w:t>邹昌业);</w:t>
            </w:r>
            <w:r>
              <w:rPr>
                <w:rFonts w:eastAsia="等线"/>
                <w:snapToGrid w:val="0"/>
                <w:color w:val="000000"/>
                <w:sz w:val="18"/>
                <w:szCs w:val="18"/>
              </w:rPr>
              <w:t xml:space="preserve"> Jun Wu* (</w:t>
            </w:r>
            <w:r>
              <w:rPr>
                <w:rFonts w:hint="eastAsia" w:eastAsia="等线"/>
                <w:snapToGrid w:val="0"/>
                <w:color w:val="000000"/>
                <w:sz w:val="18"/>
                <w:szCs w:val="18"/>
              </w:rPr>
              <w:t>吴钧);</w:t>
            </w:r>
            <w:r>
              <w:rPr>
                <w:rFonts w:eastAsia="等线"/>
                <w:snapToGrid w:val="0"/>
                <w:color w:val="000000"/>
                <w:sz w:val="18"/>
                <w:szCs w:val="18"/>
              </w:rPr>
              <w:t xml:space="preserve"> Wei Zhao* (</w:t>
            </w:r>
            <w:r>
              <w:rPr>
                <w:rFonts w:hint="eastAsia" w:eastAsia="等线"/>
                <w:snapToGrid w:val="0"/>
                <w:color w:val="000000"/>
                <w:sz w:val="18"/>
                <w:szCs w:val="18"/>
              </w:rPr>
              <w:t>赵蔚)</w:t>
            </w:r>
          </w:p>
        </w:tc>
        <w:tc>
          <w:tcPr>
            <w:tcW w:w="61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2020,5(1):196</w:t>
            </w:r>
          </w:p>
        </w:tc>
        <w:tc>
          <w:tcPr>
            <w:tcW w:w="69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2020.9.25</w:t>
            </w:r>
          </w:p>
        </w:tc>
        <w:tc>
          <w:tcPr>
            <w:tcW w:w="120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1.RNA Biomedical Institute, Sun Yat-Sen Memorial Hospital, Sun Yat-Sen University, Guangzhou, 510120, China.（中山大学孙逸仙纪念医院RNA生物研究所）2.Key Laboratory of Stem Cells and Tissue Engineering (Sun Yat-Sen University), Ministry of Education, Guangzhou, China. （</w:t>
            </w:r>
            <w:r>
              <w:rPr>
                <w:rFonts w:eastAsia="等线" w:cs="Segoe UI"/>
                <w:color w:val="2A2B2E"/>
                <w:sz w:val="18"/>
                <w:szCs w:val="18"/>
                <w:shd w:val="clear" w:color="auto" w:fill="FFFFFF"/>
              </w:rPr>
              <w:t>中山大学干细胞与组织工程教育部重点实验室</w:t>
            </w:r>
            <w:r>
              <w:rPr>
                <w:rFonts w:eastAsia="等线"/>
                <w:snapToGrid w:val="0"/>
                <w:color w:val="000000"/>
                <w:sz w:val="18"/>
                <w:szCs w:val="18"/>
              </w:rPr>
              <w:t>）3.School of Biomedical Engineering, Sun Yat-sen University, Guangzhou, 510006, China.（中山大学生物医学工程学院）4.Department of Biological and Environmental Engineering, Cornell University, Ithaca, NY, 14853, USA.(</w:t>
            </w:r>
            <w:r>
              <w:rPr>
                <w:rFonts w:eastAsia="等线"/>
                <w:color w:val="2A2B2E"/>
                <w:sz w:val="18"/>
                <w:szCs w:val="18"/>
                <w:shd w:val="clear" w:color="auto" w:fill="FFFFFF"/>
              </w:rPr>
              <w:t xml:space="preserve"> 康奈尔大学生物与环境工程系)</w:t>
            </w:r>
            <w:r>
              <w:rPr>
                <w:rFonts w:eastAsia="等线"/>
                <w:sz w:val="18"/>
                <w:szCs w:val="18"/>
              </w:rPr>
              <w:t xml:space="preserve"> </w:t>
            </w:r>
            <w:r>
              <w:rPr>
                <w:rFonts w:eastAsia="等线"/>
                <w:color w:val="2A2B2E"/>
                <w:sz w:val="18"/>
                <w:szCs w:val="18"/>
                <w:shd w:val="clear" w:color="auto" w:fill="FFFFFF"/>
              </w:rPr>
              <w:t>5.Musculoskeletal Oncology Center, The First Affiliated Hospital of Sun Yat-Sen University, Guangzhou, 510080, China.</w:t>
            </w:r>
            <w:r>
              <w:rPr>
                <w:rFonts w:hint="eastAsia" w:eastAsia="等线"/>
                <w:color w:val="2A2B2E"/>
                <w:sz w:val="18"/>
                <w:szCs w:val="18"/>
                <w:shd w:val="clear" w:color="auto" w:fill="FFFFFF"/>
              </w:rPr>
              <w:t>（</w:t>
            </w:r>
            <w:r>
              <w:rPr>
                <w:rFonts w:eastAsia="等线" w:cs="Segoe UI"/>
                <w:color w:val="2A2B2E"/>
                <w:sz w:val="18"/>
                <w:szCs w:val="18"/>
                <w:shd w:val="clear" w:color="auto" w:fill="FFFFFF"/>
              </w:rPr>
              <w:t>中山大学第一附属医院肌肉骨骼肿瘤中心</w:t>
            </w:r>
            <w:r>
              <w:rPr>
                <w:rFonts w:hint="eastAsia" w:eastAsia="等线"/>
                <w:color w:val="2A2B2E"/>
                <w:sz w:val="18"/>
                <w:szCs w:val="18"/>
                <w:shd w:val="clear" w:color="auto" w:fill="FFFFFF"/>
              </w:rPr>
              <w:t>）</w:t>
            </w:r>
            <w:r>
              <w:rPr>
                <w:rFonts w:eastAsia="等线"/>
                <w:color w:val="2A2B2E"/>
                <w:sz w:val="18"/>
                <w:szCs w:val="18"/>
                <w:shd w:val="clear" w:color="auto" w:fill="FFFFFF"/>
              </w:rPr>
              <w:t>6.Research Institute of Sun Yat-Sen University in Shenzhen, Shenzhen, 518057, China.</w:t>
            </w:r>
            <w:r>
              <w:rPr>
                <w:rFonts w:hint="eastAsia" w:eastAsia="等线"/>
                <w:color w:val="2A2B2E"/>
                <w:sz w:val="18"/>
                <w:szCs w:val="18"/>
                <w:shd w:val="clear" w:color="auto" w:fill="FFFFFF"/>
              </w:rPr>
              <w:t>（</w:t>
            </w:r>
            <w:r>
              <w:rPr>
                <w:rFonts w:eastAsia="等线" w:cs="Segoe UI"/>
                <w:color w:val="2A2B2E"/>
                <w:sz w:val="18"/>
                <w:szCs w:val="18"/>
                <w:shd w:val="clear" w:color="auto" w:fill="FFFFFF"/>
              </w:rPr>
              <w:t>深圳中山大学研究院</w:t>
            </w:r>
            <w:r>
              <w:rPr>
                <w:rFonts w:hint="eastAsia" w:eastAsia="等线"/>
                <w:color w:val="2A2B2E"/>
                <w:sz w:val="18"/>
                <w:szCs w:val="18"/>
                <w:shd w:val="clear" w:color="auto" w:fill="FFFFFF"/>
              </w:rPr>
              <w:t>）</w:t>
            </w:r>
            <w:r>
              <w:rPr>
                <w:rFonts w:eastAsia="等线"/>
                <w:color w:val="2A2B2E"/>
                <w:sz w:val="18"/>
                <w:szCs w:val="18"/>
                <w:shd w:val="clear" w:color="auto" w:fill="FFFFFF"/>
              </w:rPr>
              <w:t>.</w:t>
            </w:r>
          </w:p>
        </w:tc>
        <w:tc>
          <w:tcPr>
            <w:tcW w:w="84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Signal Transduction and Targeted Therapy</w:t>
            </w:r>
          </w:p>
        </w:tc>
        <w:tc>
          <w:tcPr>
            <w:tcW w:w="183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Jun Wu（吴钧） and</w:t>
            </w:r>
            <w:r>
              <w:rPr>
                <w:rFonts w:ascii="仿宋_GB2312" w:hAnsi="仿宋_GB2312" w:eastAsia="仿宋_GB2312" w:cs="仿宋_GB2312"/>
                <w:szCs w:val="21"/>
              </w:rPr>
              <w:t xml:space="preserve"> </w:t>
            </w:r>
            <w:r>
              <w:rPr>
                <w:rFonts w:hint="eastAsia" w:ascii="仿宋_GB2312" w:hAnsi="仿宋_GB2312" w:eastAsia="仿宋_GB2312" w:cs="仿宋_GB2312"/>
                <w:szCs w:val="21"/>
              </w:rPr>
              <w:t>Wei Zhao（赵蔚）</w:t>
            </w:r>
          </w:p>
        </w:tc>
        <w:tc>
          <w:tcPr>
            <w:tcW w:w="102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119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Multifunctional nanoparticles for co-delivery of paclitaxel and carboplatin against ovarian cancer by inactivating the JMJD3-HER2 axis</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Nanoscale</w:t>
            </w:r>
          </w:p>
        </w:tc>
        <w:tc>
          <w:tcPr>
            <w:tcW w:w="109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Mo, Jingxin#(莫靖欣); Wang, Li</w:t>
            </w:r>
            <w:r>
              <w:rPr>
                <w:rFonts w:hint="eastAsia" w:eastAsia="等线"/>
                <w:snapToGrid w:val="0"/>
                <w:color w:val="000000"/>
                <w:sz w:val="18"/>
                <w:szCs w:val="18"/>
              </w:rPr>
              <w:t>（王力）</w:t>
            </w:r>
            <w:r>
              <w:rPr>
                <w:rFonts w:eastAsia="等线"/>
                <w:snapToGrid w:val="0"/>
                <w:color w:val="000000"/>
                <w:sz w:val="18"/>
                <w:szCs w:val="18"/>
              </w:rPr>
              <w:t>; Huang, Xiaojia</w:t>
            </w:r>
            <w:r>
              <w:rPr>
                <w:rFonts w:hint="eastAsia" w:eastAsia="等线"/>
                <w:snapToGrid w:val="0"/>
                <w:color w:val="000000"/>
                <w:sz w:val="18"/>
                <w:szCs w:val="18"/>
              </w:rPr>
              <w:t>（黄晓佳）</w:t>
            </w:r>
            <w:r>
              <w:rPr>
                <w:rFonts w:eastAsia="等线"/>
                <w:snapToGrid w:val="0"/>
                <w:color w:val="000000"/>
                <w:sz w:val="18"/>
                <w:szCs w:val="18"/>
              </w:rPr>
              <w:t>; Lu, Bing</w:t>
            </w:r>
            <w:r>
              <w:rPr>
                <w:rFonts w:hint="eastAsia" w:eastAsia="等线"/>
                <w:snapToGrid w:val="0"/>
                <w:color w:val="000000"/>
                <w:sz w:val="18"/>
                <w:szCs w:val="18"/>
              </w:rPr>
              <w:t>（鲁冰）</w:t>
            </w:r>
            <w:r>
              <w:rPr>
                <w:rFonts w:eastAsia="等线"/>
                <w:snapToGrid w:val="0"/>
                <w:color w:val="000000"/>
                <w:sz w:val="18"/>
                <w:szCs w:val="18"/>
              </w:rPr>
              <w:t>; Zou, Changye</w:t>
            </w:r>
            <w:r>
              <w:rPr>
                <w:rFonts w:hint="eastAsia" w:eastAsia="等线"/>
                <w:snapToGrid w:val="0"/>
                <w:color w:val="000000"/>
                <w:sz w:val="18"/>
                <w:szCs w:val="18"/>
              </w:rPr>
              <w:t>（邹昌业）</w:t>
            </w:r>
            <w:r>
              <w:rPr>
                <w:rFonts w:eastAsia="等线"/>
                <w:snapToGrid w:val="0"/>
                <w:color w:val="000000"/>
                <w:sz w:val="18"/>
                <w:szCs w:val="18"/>
              </w:rPr>
              <w:t>; Wei, Lili</w:t>
            </w:r>
            <w:r>
              <w:rPr>
                <w:rFonts w:hint="eastAsia" w:eastAsia="等线"/>
                <w:snapToGrid w:val="0"/>
                <w:color w:val="000000"/>
                <w:sz w:val="18"/>
                <w:szCs w:val="18"/>
              </w:rPr>
              <w:t>（韦荔莉）</w:t>
            </w:r>
            <w:r>
              <w:rPr>
                <w:rFonts w:eastAsia="等线"/>
                <w:snapToGrid w:val="0"/>
                <w:color w:val="000000"/>
                <w:sz w:val="18"/>
                <w:szCs w:val="18"/>
              </w:rPr>
              <w:t>; Chu, Junjun</w:t>
            </w:r>
            <w:r>
              <w:rPr>
                <w:rFonts w:hint="eastAsia" w:eastAsia="等线"/>
                <w:snapToGrid w:val="0"/>
                <w:color w:val="000000"/>
                <w:sz w:val="18"/>
                <w:szCs w:val="18"/>
              </w:rPr>
              <w:t>（褚君君）</w:t>
            </w:r>
            <w:r>
              <w:rPr>
                <w:rFonts w:eastAsia="等线"/>
                <w:snapToGrid w:val="0"/>
                <w:color w:val="000000"/>
                <w:sz w:val="18"/>
                <w:szCs w:val="18"/>
              </w:rPr>
              <w:t>; Eggers, Paul K</w:t>
            </w:r>
            <w:r>
              <w:rPr>
                <w:rFonts w:hint="eastAsia" w:eastAsia="等线"/>
                <w:snapToGrid w:val="0"/>
                <w:color w:val="000000"/>
                <w:sz w:val="18"/>
                <w:szCs w:val="18"/>
              </w:rPr>
              <w:t>（埃格斯，保罗·</w:t>
            </w:r>
            <w:r>
              <w:rPr>
                <w:rFonts w:eastAsia="等线"/>
                <w:snapToGrid w:val="0"/>
                <w:color w:val="000000"/>
                <w:sz w:val="18"/>
                <w:szCs w:val="18"/>
              </w:rPr>
              <w:t>K</w:t>
            </w:r>
            <w:r>
              <w:rPr>
                <w:rFonts w:hint="eastAsia" w:eastAsia="等线"/>
                <w:snapToGrid w:val="0"/>
                <w:color w:val="000000"/>
                <w:sz w:val="18"/>
                <w:szCs w:val="18"/>
              </w:rPr>
              <w:t>）</w:t>
            </w:r>
            <w:r>
              <w:rPr>
                <w:rFonts w:eastAsia="等线"/>
                <w:snapToGrid w:val="0"/>
                <w:color w:val="000000"/>
                <w:sz w:val="18"/>
                <w:szCs w:val="18"/>
              </w:rPr>
              <w:t>; Chen, Shen</w:t>
            </w:r>
            <w:r>
              <w:rPr>
                <w:rFonts w:hint="eastAsia" w:eastAsia="等线"/>
                <w:snapToGrid w:val="0"/>
                <w:color w:val="000000"/>
                <w:sz w:val="18"/>
                <w:szCs w:val="18"/>
              </w:rPr>
              <w:t>（陈燊）</w:t>
            </w:r>
            <w:r>
              <w:rPr>
                <w:rFonts w:eastAsia="等线"/>
                <w:snapToGrid w:val="0"/>
                <w:color w:val="000000"/>
                <w:sz w:val="18"/>
                <w:szCs w:val="18"/>
              </w:rPr>
              <w:t>; Raston, Colin L</w:t>
            </w:r>
            <w:r>
              <w:rPr>
                <w:rFonts w:hint="eastAsia" w:eastAsia="等线"/>
                <w:snapToGrid w:val="0"/>
                <w:color w:val="000000"/>
                <w:sz w:val="18"/>
                <w:szCs w:val="18"/>
              </w:rPr>
              <w:t>（拉斯顿，科林·</w:t>
            </w:r>
            <w:r>
              <w:rPr>
                <w:rFonts w:eastAsia="等线"/>
                <w:snapToGrid w:val="0"/>
                <w:color w:val="000000"/>
                <w:sz w:val="18"/>
                <w:szCs w:val="18"/>
              </w:rPr>
              <w:t>L</w:t>
            </w:r>
            <w:r>
              <w:rPr>
                <w:rFonts w:hint="eastAsia" w:eastAsia="等线"/>
                <w:snapToGrid w:val="0"/>
                <w:color w:val="000000"/>
                <w:sz w:val="18"/>
                <w:szCs w:val="18"/>
              </w:rPr>
              <w:t>）</w:t>
            </w:r>
            <w:r>
              <w:rPr>
                <w:rFonts w:eastAsia="等线"/>
                <w:snapToGrid w:val="0"/>
                <w:color w:val="000000"/>
                <w:sz w:val="18"/>
                <w:szCs w:val="18"/>
              </w:rPr>
              <w:t>; Wu, Jun*</w:t>
            </w:r>
            <w:r>
              <w:rPr>
                <w:rFonts w:hint="eastAsia" w:eastAsia="等线"/>
                <w:snapToGrid w:val="0"/>
                <w:color w:val="000000"/>
                <w:sz w:val="18"/>
                <w:szCs w:val="18"/>
              </w:rPr>
              <w:t>吴钧</w:t>
            </w:r>
            <w:r>
              <w:rPr>
                <w:rFonts w:eastAsia="等线"/>
                <w:snapToGrid w:val="0"/>
                <w:color w:val="000000"/>
                <w:sz w:val="18"/>
                <w:szCs w:val="18"/>
              </w:rPr>
              <w:t>; Lim, Lee Yong*</w:t>
            </w:r>
            <w:r>
              <w:rPr>
                <w:rFonts w:hint="eastAsia" w:eastAsia="等线"/>
                <w:snapToGrid w:val="0"/>
                <w:color w:val="000000"/>
                <w:sz w:val="18"/>
                <w:szCs w:val="18"/>
              </w:rPr>
              <w:t>（林丽蓉）</w:t>
            </w:r>
            <w:r>
              <w:rPr>
                <w:rFonts w:eastAsia="等线"/>
                <w:snapToGrid w:val="0"/>
                <w:color w:val="000000"/>
                <w:sz w:val="18"/>
                <w:szCs w:val="18"/>
              </w:rPr>
              <w:t>; Zhao, Wei*</w:t>
            </w:r>
            <w:r>
              <w:rPr>
                <w:rFonts w:hint="eastAsia" w:eastAsia="等线"/>
                <w:snapToGrid w:val="0"/>
                <w:color w:val="000000"/>
                <w:sz w:val="18"/>
                <w:szCs w:val="18"/>
              </w:rPr>
              <w:t>（赵蔚）</w:t>
            </w:r>
          </w:p>
        </w:tc>
        <w:tc>
          <w:tcPr>
            <w:tcW w:w="61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2017,9(35):13142-13152.</w:t>
            </w:r>
          </w:p>
        </w:tc>
        <w:tc>
          <w:tcPr>
            <w:tcW w:w="69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2017.8.3</w:t>
            </w:r>
          </w:p>
        </w:tc>
        <w:tc>
          <w:tcPr>
            <w:tcW w:w="120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Wu, Jun*（吴钧）; Lim, Lee Yong*（林丽蓉）; Zhao, Wei*（赵蔚）</w:t>
            </w:r>
          </w:p>
        </w:tc>
        <w:tc>
          <w:tcPr>
            <w:tcW w:w="84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Mo, Jingxin#(莫靖欣); Wang, Li（王力）;</w:t>
            </w:r>
          </w:p>
        </w:tc>
        <w:tc>
          <w:tcPr>
            <w:tcW w:w="183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 xml:space="preserve">Key Laboratory for Stem Cells and Tissue Engineering, Ministry of Education, Sun Yat-sen University, Guangzhou 510080, China. </w:t>
            </w:r>
            <w:r>
              <w:rPr>
                <w:rFonts w:hint="eastAsia" w:eastAsia="等线"/>
                <w:snapToGrid w:val="0"/>
                <w:color w:val="000000"/>
                <w:sz w:val="18"/>
                <w:szCs w:val="18"/>
              </w:rPr>
              <w:t>（中山大学教育部干细胞与组织工程重点实验室）</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Musculoskeletal Oncology Center, the First Affiliated Hospital of Sun Yat-sen University, Guangzhou, China</w:t>
            </w:r>
            <w:r>
              <w:rPr>
                <w:rFonts w:hint="eastAsia" w:eastAsia="等线"/>
                <w:snapToGrid w:val="0"/>
                <w:color w:val="000000"/>
                <w:sz w:val="18"/>
                <w:szCs w:val="18"/>
              </w:rPr>
              <w:t>（中山大学第一附属医院骨肌肉肿瘤中心）</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Pharmacy, the Affiliated Hospital of Guilin Medical University, China</w:t>
            </w:r>
            <w:r>
              <w:rPr>
                <w:rFonts w:hint="eastAsia" w:eastAsia="等线"/>
                <w:snapToGrid w:val="0"/>
                <w:color w:val="000000"/>
                <w:sz w:val="18"/>
                <w:szCs w:val="18"/>
              </w:rPr>
              <w:t>（桂林医学院附属医院药学部）</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School of Chemistry and Biochemistry, The University of Western Australia</w:t>
            </w:r>
            <w:r>
              <w:rPr>
                <w:rFonts w:hint="eastAsia" w:eastAsia="等线"/>
                <w:snapToGrid w:val="0"/>
                <w:color w:val="000000"/>
                <w:sz w:val="18"/>
                <w:szCs w:val="18"/>
              </w:rPr>
              <w:t>（西澳大利亚大学化学与生物化学学院）</w:t>
            </w:r>
            <w:r>
              <w:rPr>
                <w:rFonts w:eastAsia="等线"/>
                <w:snapToGrid w:val="0"/>
                <w:color w:val="000000"/>
                <w:sz w:val="18"/>
                <w:szCs w:val="18"/>
              </w:rPr>
              <w:t xml:space="preserve">, </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Centre for Nanoscale Science and Technology, School of Chemical and Physical Sciences, Flinders University</w:t>
            </w:r>
            <w:r>
              <w:rPr>
                <w:rFonts w:hint="eastAsia" w:eastAsia="等线"/>
                <w:snapToGrid w:val="0"/>
                <w:color w:val="000000"/>
                <w:sz w:val="18"/>
                <w:szCs w:val="18"/>
              </w:rPr>
              <w:t>（弗林德斯大学化学与物理科学学院纳米科学与技术中心）</w:t>
            </w:r>
            <w:r>
              <w:rPr>
                <w:rFonts w:eastAsia="等线"/>
                <w:snapToGrid w:val="0"/>
                <w:color w:val="000000"/>
                <w:sz w:val="18"/>
                <w:szCs w:val="18"/>
              </w:rPr>
              <w:t xml:space="preserve">, </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Guangdong Provincial Key Laboratory of Sensor Technology and Biomedical Instrument, School of Engineering, Sun Yat-sen University, Guangzhou, 510006, Guangdong, P. R. China</w:t>
            </w:r>
            <w:r>
              <w:rPr>
                <w:rFonts w:hint="eastAsia" w:eastAsia="等线"/>
                <w:snapToGrid w:val="0"/>
                <w:color w:val="000000"/>
                <w:sz w:val="18"/>
                <w:szCs w:val="18"/>
              </w:rPr>
              <w:t>（中山大学工学院广东省传感技术与生物医学仪器重点实验室）</w:t>
            </w:r>
            <w:r>
              <w:rPr>
                <w:rFonts w:eastAsia="等线"/>
                <w:snapToGrid w:val="0"/>
                <w:color w:val="000000"/>
                <w:sz w:val="18"/>
                <w:szCs w:val="18"/>
              </w:rPr>
              <w:t>.</w:t>
            </w:r>
          </w:p>
          <w:p>
            <w:pPr>
              <w:spacing w:line="260" w:lineRule="exact"/>
              <w:jc w:val="center"/>
              <w:rPr>
                <w:rFonts w:ascii="仿宋_GB2312" w:hAnsi="仿宋_GB2312" w:eastAsia="仿宋_GB2312" w:cs="仿宋_GB2312"/>
                <w:szCs w:val="21"/>
              </w:rPr>
            </w:pPr>
            <w:r>
              <w:rPr>
                <w:rFonts w:eastAsia="等线"/>
                <w:snapToGrid w:val="0"/>
                <w:color w:val="000000"/>
                <w:sz w:val="18"/>
                <w:szCs w:val="18"/>
              </w:rPr>
              <w:t>Pharmacy, School of Allied Health, University of Western Australia, Australia</w:t>
            </w:r>
            <w:r>
              <w:rPr>
                <w:rFonts w:hint="eastAsia" w:eastAsia="等线"/>
                <w:snapToGrid w:val="0"/>
                <w:color w:val="000000"/>
                <w:sz w:val="18"/>
                <w:szCs w:val="18"/>
              </w:rPr>
              <w:t>西澳大利亚大学综合健康学院药学部）</w:t>
            </w:r>
            <w:r>
              <w:rPr>
                <w:rFonts w:eastAsia="等线"/>
                <w:snapToGrid w:val="0"/>
                <w:color w:val="000000"/>
                <w:sz w:val="18"/>
                <w:szCs w:val="18"/>
              </w:rPr>
              <w:t>.</w:t>
            </w:r>
          </w:p>
        </w:tc>
        <w:tc>
          <w:tcPr>
            <w:tcW w:w="102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119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Targeting Super-Enhancers via Nanoparticle-FacilitatedBRD4 and CDK7 Inhibitors Synergistically Suppresses Pancreatic Ductal Adenocarcinoma</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Advanced Science</w:t>
            </w:r>
          </w:p>
        </w:tc>
        <w:tc>
          <w:tcPr>
            <w:tcW w:w="109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Chen-Song Huang#</w:t>
            </w:r>
            <w:r>
              <w:rPr>
                <w:rFonts w:hint="eastAsia" w:eastAsia="等线"/>
                <w:snapToGrid w:val="0"/>
                <w:color w:val="000000"/>
                <w:sz w:val="18"/>
                <w:szCs w:val="18"/>
              </w:rPr>
              <w:t>（黄晨松）</w:t>
            </w:r>
            <w:r>
              <w:rPr>
                <w:rFonts w:eastAsia="等线"/>
                <w:snapToGrid w:val="0"/>
                <w:color w:val="000000"/>
                <w:sz w:val="18"/>
                <w:szCs w:val="18"/>
              </w:rPr>
              <w:t>, Xinru You</w:t>
            </w:r>
            <w:r>
              <w:rPr>
                <w:rFonts w:hint="eastAsia" w:eastAsia="等线"/>
                <w:snapToGrid w:val="0"/>
                <w:color w:val="000000"/>
                <w:sz w:val="18"/>
                <w:szCs w:val="18"/>
              </w:rPr>
              <w:t>（游欣如）</w:t>
            </w:r>
            <w:r>
              <w:rPr>
                <w:rFonts w:eastAsia="等线"/>
                <w:snapToGrid w:val="0"/>
                <w:color w:val="000000"/>
                <w:sz w:val="18"/>
                <w:szCs w:val="18"/>
              </w:rPr>
              <w:t>, Chunlei Dai</w:t>
            </w:r>
            <w:r>
              <w:rPr>
                <w:rFonts w:hint="eastAsia" w:eastAsia="等线"/>
                <w:snapToGrid w:val="0"/>
                <w:color w:val="000000"/>
                <w:sz w:val="18"/>
                <w:szCs w:val="18"/>
              </w:rPr>
              <w:t>（戴春磊）</w:t>
            </w:r>
            <w:r>
              <w:rPr>
                <w:rFonts w:eastAsia="等线"/>
                <w:snapToGrid w:val="0"/>
                <w:color w:val="000000"/>
                <w:sz w:val="18"/>
                <w:szCs w:val="18"/>
              </w:rPr>
              <w:t>, Qiong-Cong Xu</w:t>
            </w:r>
            <w:r>
              <w:rPr>
                <w:rFonts w:hint="eastAsia" w:eastAsia="等线"/>
                <w:snapToGrid w:val="0"/>
                <w:color w:val="000000"/>
                <w:sz w:val="18"/>
                <w:szCs w:val="18"/>
              </w:rPr>
              <w:t>（许琼聪）</w:t>
            </w:r>
            <w:r>
              <w:rPr>
                <w:rFonts w:eastAsia="等线"/>
                <w:snapToGrid w:val="0"/>
                <w:color w:val="000000"/>
                <w:sz w:val="18"/>
                <w:szCs w:val="18"/>
              </w:rPr>
              <w:t>, Fuxi Li</w:t>
            </w:r>
            <w:r>
              <w:rPr>
                <w:rFonts w:hint="eastAsia" w:eastAsia="等线"/>
                <w:snapToGrid w:val="0"/>
                <w:color w:val="000000"/>
                <w:sz w:val="18"/>
                <w:szCs w:val="18"/>
              </w:rPr>
              <w:t>（李福喜）</w:t>
            </w:r>
            <w:r>
              <w:rPr>
                <w:rFonts w:eastAsia="等线"/>
                <w:snapToGrid w:val="0"/>
                <w:color w:val="000000"/>
                <w:sz w:val="18"/>
                <w:szCs w:val="18"/>
              </w:rPr>
              <w:t>, Li Wang</w:t>
            </w:r>
            <w:r>
              <w:rPr>
                <w:rFonts w:hint="eastAsia" w:eastAsia="等线"/>
                <w:snapToGrid w:val="0"/>
                <w:color w:val="000000"/>
                <w:sz w:val="18"/>
                <w:szCs w:val="18"/>
              </w:rPr>
              <w:t>（王力）</w:t>
            </w:r>
            <w:r>
              <w:rPr>
                <w:rFonts w:eastAsia="等线"/>
                <w:snapToGrid w:val="0"/>
                <w:color w:val="000000"/>
                <w:sz w:val="18"/>
                <w:szCs w:val="18"/>
              </w:rPr>
              <w:t>, Xi-Tai Huang</w:t>
            </w:r>
            <w:r>
              <w:rPr>
                <w:rFonts w:hint="eastAsia" w:eastAsia="等线"/>
                <w:snapToGrid w:val="0"/>
                <w:color w:val="000000"/>
                <w:sz w:val="18"/>
                <w:szCs w:val="18"/>
              </w:rPr>
              <w:t>（黄锡泰）</w:t>
            </w:r>
            <w:r>
              <w:rPr>
                <w:rFonts w:eastAsia="等线"/>
                <w:snapToGrid w:val="0"/>
                <w:color w:val="000000"/>
                <w:sz w:val="18"/>
                <w:szCs w:val="18"/>
              </w:rPr>
              <w:t>,Jie-Qin Wang</w:t>
            </w:r>
            <w:r>
              <w:rPr>
                <w:rFonts w:hint="eastAsia" w:eastAsia="等线"/>
                <w:snapToGrid w:val="0"/>
                <w:color w:val="000000"/>
                <w:sz w:val="18"/>
                <w:szCs w:val="18"/>
              </w:rPr>
              <w:t>（王杰钦）</w:t>
            </w:r>
            <w:r>
              <w:rPr>
                <w:rFonts w:eastAsia="等线"/>
                <w:snapToGrid w:val="0"/>
                <w:color w:val="000000"/>
                <w:sz w:val="18"/>
                <w:szCs w:val="18"/>
              </w:rPr>
              <w:t>, Shi-Jin Li</w:t>
            </w:r>
            <w:r>
              <w:rPr>
                <w:rFonts w:hint="eastAsia" w:eastAsia="等线"/>
                <w:snapToGrid w:val="0"/>
                <w:color w:val="000000"/>
                <w:sz w:val="18"/>
                <w:szCs w:val="18"/>
              </w:rPr>
              <w:t>（李仕进）</w:t>
            </w:r>
            <w:r>
              <w:rPr>
                <w:rFonts w:eastAsia="等线"/>
                <w:snapToGrid w:val="0"/>
                <w:color w:val="000000"/>
                <w:sz w:val="18"/>
                <w:szCs w:val="18"/>
              </w:rPr>
              <w:t>, Zhuoxing Gao</w:t>
            </w:r>
            <w:r>
              <w:rPr>
                <w:rFonts w:hint="eastAsia" w:eastAsia="等线"/>
                <w:snapToGrid w:val="0"/>
                <w:color w:val="000000"/>
                <w:sz w:val="18"/>
                <w:szCs w:val="18"/>
              </w:rPr>
              <w:t>（高卓行）</w:t>
            </w:r>
            <w:r>
              <w:rPr>
                <w:rFonts w:eastAsia="等线"/>
                <w:snapToGrid w:val="0"/>
                <w:color w:val="000000"/>
                <w:sz w:val="18"/>
                <w:szCs w:val="18"/>
              </w:rPr>
              <w:t>, Jun Wu</w:t>
            </w:r>
            <w:r>
              <w:rPr>
                <w:rFonts w:hint="eastAsia" w:eastAsia="等线"/>
                <w:snapToGrid w:val="0"/>
                <w:color w:val="000000"/>
                <w:sz w:val="18"/>
                <w:szCs w:val="18"/>
              </w:rPr>
              <w:t>（吴钧）</w:t>
            </w:r>
            <w:r>
              <w:rPr>
                <w:rFonts w:eastAsia="等线"/>
                <w:snapToGrid w:val="0"/>
                <w:color w:val="000000"/>
                <w:sz w:val="18"/>
                <w:szCs w:val="18"/>
              </w:rPr>
              <w:t>,* Xiao-Yu Yin</w:t>
            </w:r>
            <w:r>
              <w:rPr>
                <w:rFonts w:hint="eastAsia" w:eastAsia="等线"/>
                <w:snapToGrid w:val="0"/>
                <w:color w:val="000000"/>
                <w:sz w:val="18"/>
                <w:szCs w:val="18"/>
              </w:rPr>
              <w:t>（殷晓煜）</w:t>
            </w:r>
            <w:r>
              <w:rPr>
                <w:rFonts w:eastAsia="等线"/>
                <w:snapToGrid w:val="0"/>
                <w:color w:val="000000"/>
                <w:sz w:val="18"/>
                <w:szCs w:val="18"/>
              </w:rPr>
              <w:t>,* and Wei Zhao</w:t>
            </w:r>
            <w:r>
              <w:rPr>
                <w:rFonts w:hint="eastAsia" w:eastAsia="等线"/>
                <w:snapToGrid w:val="0"/>
                <w:color w:val="000000"/>
                <w:sz w:val="18"/>
                <w:szCs w:val="18"/>
              </w:rPr>
              <w:t>（赵蔚）</w:t>
            </w:r>
            <w:r>
              <w:rPr>
                <w:rFonts w:eastAsia="等线"/>
                <w:snapToGrid w:val="0"/>
                <w:color w:val="000000"/>
                <w:sz w:val="18"/>
                <w:szCs w:val="18"/>
              </w:rPr>
              <w:t>*</w:t>
            </w:r>
          </w:p>
        </w:tc>
        <w:tc>
          <w:tcPr>
            <w:tcW w:w="61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2020,16;7(7):1902926</w:t>
            </w:r>
          </w:p>
        </w:tc>
        <w:tc>
          <w:tcPr>
            <w:tcW w:w="69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2020.1.16</w:t>
            </w:r>
          </w:p>
        </w:tc>
        <w:tc>
          <w:tcPr>
            <w:tcW w:w="120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Jun Wu*(吴钧 Xiao-Yu Yin（殷晓煜）* and Wei Zhao（赵蔚）*</w:t>
            </w:r>
          </w:p>
        </w:tc>
        <w:tc>
          <w:tcPr>
            <w:tcW w:w="84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Chen-Song Huang#（黄晨松）, Xinru You（游欣如）, Chunlei Dai（戴春磊）, Qiong-Cong Xu（许琼聪）</w:t>
            </w:r>
          </w:p>
        </w:tc>
        <w:tc>
          <w:tcPr>
            <w:tcW w:w="183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1Department of Pancreato-Biliary Surgery The First Affiliated Hospital of Sun Yat-sen University Guangzhou 510080 China.</w:t>
            </w:r>
            <w:r>
              <w:rPr>
                <w:rFonts w:hint="eastAsia" w:eastAsia="等线"/>
                <w:snapToGrid w:val="0"/>
                <w:color w:val="000000"/>
                <w:sz w:val="18"/>
                <w:szCs w:val="18"/>
              </w:rPr>
              <w:t>（</w:t>
            </w:r>
            <w:r>
              <w:rPr>
                <w:rFonts w:eastAsia="等线" w:cs="Segoe UI"/>
                <w:color w:val="2A2B2E"/>
                <w:sz w:val="18"/>
                <w:szCs w:val="21"/>
                <w:shd w:val="clear" w:color="auto" w:fill="FFFFFF"/>
              </w:rPr>
              <w:t>中山大学第一附属医院胰胆外科</w:t>
            </w:r>
            <w:r>
              <w:rPr>
                <w:rFonts w:hint="eastAsia" w:eastAsia="等线"/>
                <w:snapToGrid w:val="0"/>
                <w:color w:val="000000"/>
                <w:sz w:val="18"/>
                <w:szCs w:val="18"/>
              </w:rPr>
              <w:t>）</w:t>
            </w:r>
            <w:r>
              <w:rPr>
                <w:rFonts w:eastAsia="等线"/>
                <w:snapToGrid w:val="0"/>
                <w:color w:val="000000"/>
                <w:sz w:val="18"/>
                <w:szCs w:val="18"/>
              </w:rPr>
              <w:t>2Key Laboratory of Sensing Technology and Biomedical Instrument of Guangdong Province School of Biomedical Engineering Sun Yat-sen University Guangzhou 510006 China.</w:t>
            </w:r>
            <w:r>
              <w:rPr>
                <w:rFonts w:hint="eastAsia" w:eastAsia="等线"/>
                <w:snapToGrid w:val="0"/>
                <w:color w:val="000000"/>
                <w:sz w:val="18"/>
                <w:szCs w:val="18"/>
              </w:rPr>
              <w:t>（中山大学生物医学工程学院传感技术与生物医学仪器广东省重点实验室）3</w:t>
            </w:r>
            <w:r>
              <w:rPr>
                <w:rFonts w:eastAsia="等线"/>
                <w:snapToGrid w:val="0"/>
                <w:color w:val="000000"/>
                <w:sz w:val="18"/>
                <w:szCs w:val="18"/>
              </w:rPr>
              <w:t>.RNA Biomedical Institute Sun Yat-sen Memorial Hospital Sun Yat-sen University Guangzhou 510120 China.</w:t>
            </w:r>
            <w:r>
              <w:rPr>
                <w:rFonts w:hint="eastAsia" w:eastAsia="等线"/>
                <w:snapToGrid w:val="0"/>
                <w:color w:val="000000"/>
                <w:sz w:val="18"/>
                <w:szCs w:val="18"/>
              </w:rPr>
              <w:t>（中山大学中山纪念医院</w:t>
            </w:r>
            <w:r>
              <w:rPr>
                <w:rFonts w:eastAsia="等线"/>
                <w:snapToGrid w:val="0"/>
                <w:color w:val="000000"/>
                <w:sz w:val="18"/>
                <w:szCs w:val="18"/>
              </w:rPr>
              <w:t>RNA生物医学研究所</w:t>
            </w:r>
            <w:r>
              <w:rPr>
                <w:rFonts w:hint="eastAsia" w:eastAsia="等线"/>
                <w:snapToGrid w:val="0"/>
                <w:color w:val="000000"/>
                <w:sz w:val="18"/>
                <w:szCs w:val="18"/>
              </w:rPr>
              <w:t>）</w:t>
            </w:r>
            <w:r>
              <w:rPr>
                <w:rFonts w:eastAsia="等线"/>
                <w:snapToGrid w:val="0"/>
                <w:color w:val="000000"/>
                <w:sz w:val="18"/>
                <w:szCs w:val="18"/>
              </w:rPr>
              <w:t>4</w:t>
            </w:r>
            <w:r>
              <w:rPr>
                <w:rFonts w:hint="eastAsia" w:eastAsia="等线"/>
                <w:snapToGrid w:val="0"/>
                <w:color w:val="000000"/>
                <w:sz w:val="18"/>
                <w:szCs w:val="18"/>
              </w:rPr>
              <w:t>.</w:t>
            </w:r>
            <w:r>
              <w:rPr>
                <w:rFonts w:eastAsia="等线"/>
                <w:snapToGrid w:val="0"/>
                <w:color w:val="000000"/>
                <w:sz w:val="18"/>
                <w:szCs w:val="18"/>
              </w:rPr>
              <w:t>Key Laboratory of Stem Cells and Tissue Engineering (Sun Yat-sen University) Ministry of Education Guangzhou 510080 China.</w:t>
            </w:r>
            <w:r>
              <w:rPr>
                <w:rFonts w:hint="eastAsia" w:eastAsia="等线"/>
                <w:snapToGrid w:val="0"/>
                <w:color w:val="000000"/>
                <w:sz w:val="18"/>
                <w:szCs w:val="18"/>
              </w:rPr>
              <w:t>（中山大学干细胞与组织工程教育部重点实验室）</w:t>
            </w:r>
          </w:p>
        </w:tc>
        <w:tc>
          <w:tcPr>
            <w:tcW w:w="102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119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Curcumin: a calixarene derivative micelle potentiates anti-breast cancer stem cells effects in xenografted, triple-negative breast cancer mouse models</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Drug Delivery</w:t>
            </w:r>
          </w:p>
        </w:tc>
        <w:tc>
          <w:tcPr>
            <w:tcW w:w="109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Wei Chen</w:t>
            </w:r>
            <w:r>
              <w:rPr>
                <w:rFonts w:hint="eastAsia" w:eastAsia="等线"/>
                <w:snapToGrid w:val="0"/>
                <w:color w:val="000000"/>
                <w:sz w:val="18"/>
                <w:szCs w:val="18"/>
              </w:rPr>
              <w:t>（陈薇）</w:t>
            </w:r>
            <w:r>
              <w:rPr>
                <w:rFonts w:eastAsia="等线"/>
                <w:snapToGrid w:val="0"/>
                <w:color w:val="000000"/>
                <w:sz w:val="18"/>
                <w:szCs w:val="18"/>
              </w:rPr>
              <w:t>,Lin Li</w:t>
            </w:r>
            <w:r>
              <w:rPr>
                <w:rFonts w:hint="eastAsia" w:eastAsia="等线"/>
                <w:snapToGrid w:val="0"/>
                <w:color w:val="000000"/>
                <w:sz w:val="18"/>
                <w:szCs w:val="18"/>
              </w:rPr>
              <w:t>（李林）</w:t>
            </w:r>
            <w:r>
              <w:rPr>
                <w:rFonts w:eastAsia="等线"/>
                <w:snapToGrid w:val="0"/>
                <w:color w:val="000000"/>
                <w:sz w:val="18"/>
                <w:szCs w:val="18"/>
              </w:rPr>
              <w:t>,Xiaofen Zhang</w:t>
            </w:r>
            <w:r>
              <w:rPr>
                <w:rFonts w:hint="eastAsia" w:eastAsia="等线"/>
                <w:snapToGrid w:val="0"/>
                <w:color w:val="000000"/>
                <w:sz w:val="18"/>
                <w:szCs w:val="18"/>
              </w:rPr>
              <w:t>（张晓芬）</w:t>
            </w:r>
            <w:r>
              <w:rPr>
                <w:rFonts w:eastAsia="等线"/>
                <w:snapToGrid w:val="0"/>
                <w:color w:val="000000"/>
                <w:sz w:val="18"/>
                <w:szCs w:val="18"/>
              </w:rPr>
              <w:t>,Yuan Liang</w:t>
            </w:r>
            <w:r>
              <w:rPr>
                <w:rFonts w:hint="eastAsia" w:eastAsia="等线"/>
                <w:snapToGrid w:val="0"/>
                <w:color w:val="000000"/>
                <w:sz w:val="18"/>
                <w:szCs w:val="18"/>
              </w:rPr>
              <w:t>（梁园）</w:t>
            </w:r>
            <w:r>
              <w:rPr>
                <w:rFonts w:eastAsia="等线"/>
                <w:snapToGrid w:val="0"/>
                <w:color w:val="000000"/>
                <w:sz w:val="18"/>
                <w:szCs w:val="18"/>
              </w:rPr>
              <w:t>,Zhijun Pu</w:t>
            </w:r>
            <w:r>
              <w:rPr>
                <w:rFonts w:hint="eastAsia" w:eastAsia="等线"/>
                <w:snapToGrid w:val="0"/>
                <w:color w:val="000000"/>
                <w:sz w:val="18"/>
                <w:szCs w:val="18"/>
              </w:rPr>
              <w:t>（蒲志军）</w:t>
            </w:r>
            <w:r>
              <w:rPr>
                <w:rFonts w:eastAsia="等线"/>
                <w:snapToGrid w:val="0"/>
                <w:color w:val="000000"/>
                <w:sz w:val="18"/>
                <w:szCs w:val="18"/>
              </w:rPr>
              <w:t>,Lingfeng Wang</w:t>
            </w:r>
            <w:r>
              <w:rPr>
                <w:rFonts w:hint="eastAsia" w:eastAsia="等线"/>
                <w:snapToGrid w:val="0"/>
                <w:color w:val="000000"/>
                <w:sz w:val="18"/>
                <w:szCs w:val="18"/>
              </w:rPr>
              <w:t>（王凌峰）</w:t>
            </w:r>
            <w:r>
              <w:rPr>
                <w:rFonts w:eastAsia="等线"/>
                <w:snapToGrid w:val="0"/>
                <w:color w:val="000000"/>
                <w:sz w:val="18"/>
                <w:szCs w:val="18"/>
              </w:rPr>
              <w:t xml:space="preserve"> &amp;Jingxin Mo</w:t>
            </w:r>
            <w:r>
              <w:rPr>
                <w:rFonts w:hint="eastAsia" w:eastAsia="等线"/>
                <w:snapToGrid w:val="0"/>
                <w:color w:val="000000"/>
                <w:sz w:val="18"/>
                <w:szCs w:val="18"/>
              </w:rPr>
              <w:t>（莫靖欣）</w:t>
            </w:r>
          </w:p>
        </w:tc>
        <w:tc>
          <w:tcPr>
            <w:tcW w:w="61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2017,24:1, 1470-1481</w:t>
            </w:r>
          </w:p>
        </w:tc>
        <w:tc>
          <w:tcPr>
            <w:tcW w:w="69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2017.9.28</w:t>
            </w:r>
          </w:p>
        </w:tc>
        <w:tc>
          <w:tcPr>
            <w:tcW w:w="120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Jingxin Mo（莫靖欣）</w:t>
            </w:r>
          </w:p>
        </w:tc>
        <w:tc>
          <w:tcPr>
            <w:tcW w:w="84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Wei Chen（陈薇）,Lin Li（李林）,</w:t>
            </w:r>
          </w:p>
        </w:tc>
        <w:tc>
          <w:tcPr>
            <w:tcW w:w="183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Department of Pharmacy, Affiliated Hospital of Guilin Medical University, Guilin, China</w:t>
            </w:r>
            <w:r>
              <w:rPr>
                <w:rFonts w:hint="eastAsia" w:eastAsia="等线"/>
                <w:snapToGrid w:val="0"/>
                <w:color w:val="000000"/>
                <w:sz w:val="18"/>
                <w:szCs w:val="18"/>
              </w:rPr>
              <w:t>（桂林医学院附属医院药学部）</w:t>
            </w:r>
            <w:r>
              <w:rPr>
                <w:rFonts w:eastAsia="等线"/>
                <w:snapToGrid w:val="0"/>
                <w:color w:val="000000"/>
                <w:sz w:val="18"/>
                <w:szCs w:val="18"/>
              </w:rPr>
              <w:t>; Department of Pharmacy, Nanchong Central</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Hospital, Nanchong, China</w:t>
            </w:r>
            <w:r>
              <w:rPr>
                <w:rFonts w:hint="eastAsia" w:eastAsia="等线"/>
                <w:snapToGrid w:val="0"/>
                <w:color w:val="000000"/>
                <w:sz w:val="18"/>
                <w:szCs w:val="18"/>
              </w:rPr>
              <w:t>（南充中心医院药剂科）</w:t>
            </w:r>
            <w:r>
              <w:rPr>
                <w:rFonts w:eastAsia="等线"/>
                <w:snapToGrid w:val="0"/>
                <w:color w:val="000000"/>
                <w:sz w:val="18"/>
                <w:szCs w:val="18"/>
              </w:rPr>
              <w:t>; Department of Pharmacy, the 303rd Hospital of the Chinese People’s Liberation Army, Nanning, China</w:t>
            </w:r>
            <w:r>
              <w:rPr>
                <w:rFonts w:hint="eastAsia" w:eastAsia="等线"/>
                <w:snapToGrid w:val="0"/>
                <w:color w:val="000000"/>
                <w:sz w:val="18"/>
                <w:szCs w:val="18"/>
              </w:rPr>
              <w:t>（解放军3</w:t>
            </w:r>
            <w:r>
              <w:rPr>
                <w:rFonts w:eastAsia="等线"/>
                <w:snapToGrid w:val="0"/>
                <w:color w:val="000000"/>
                <w:sz w:val="18"/>
                <w:szCs w:val="18"/>
              </w:rPr>
              <w:t>03</w:t>
            </w:r>
            <w:r>
              <w:rPr>
                <w:rFonts w:hint="eastAsia" w:eastAsia="等线"/>
                <w:snapToGrid w:val="0"/>
                <w:color w:val="000000"/>
                <w:sz w:val="18"/>
                <w:szCs w:val="18"/>
              </w:rPr>
              <w:t>医院，药学部）</w:t>
            </w:r>
            <w:r>
              <w:rPr>
                <w:rFonts w:eastAsia="等线"/>
                <w:snapToGrid w:val="0"/>
                <w:color w:val="000000"/>
                <w:sz w:val="18"/>
                <w:szCs w:val="18"/>
              </w:rPr>
              <w:t>;</w:t>
            </w:r>
          </w:p>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School of Pharmacy, Guilin Medical University, Guilin, China</w:t>
            </w:r>
            <w:r>
              <w:rPr>
                <w:rFonts w:hint="eastAsia" w:eastAsia="等线"/>
                <w:snapToGrid w:val="0"/>
                <w:color w:val="000000"/>
                <w:sz w:val="18"/>
                <w:szCs w:val="18"/>
              </w:rPr>
              <w:t>（桂林医学院药学院）</w:t>
            </w:r>
            <w:r>
              <w:rPr>
                <w:rFonts w:eastAsia="等线"/>
                <w:snapToGrid w:val="0"/>
                <w:color w:val="000000"/>
                <w:sz w:val="18"/>
                <w:szCs w:val="18"/>
              </w:rPr>
              <w:t>; Key Laboratory for Stem Cells and Tissue Engineering, Ministry of Education,</w:t>
            </w:r>
          </w:p>
          <w:p>
            <w:pPr>
              <w:spacing w:line="260" w:lineRule="exact"/>
              <w:jc w:val="center"/>
              <w:rPr>
                <w:rFonts w:ascii="仿宋_GB2312" w:hAnsi="仿宋_GB2312" w:eastAsia="仿宋_GB2312" w:cs="仿宋_GB2312"/>
                <w:szCs w:val="21"/>
              </w:rPr>
            </w:pPr>
            <w:r>
              <w:rPr>
                <w:rFonts w:eastAsia="等线"/>
                <w:snapToGrid w:val="0"/>
                <w:color w:val="000000"/>
                <w:sz w:val="18"/>
                <w:szCs w:val="18"/>
              </w:rPr>
              <w:t>Sun Yat-sen University, Guangzhou, China</w:t>
            </w:r>
            <w:r>
              <w:rPr>
                <w:rFonts w:hint="eastAsia" w:eastAsia="等线"/>
                <w:snapToGrid w:val="0"/>
                <w:color w:val="000000"/>
                <w:sz w:val="18"/>
                <w:szCs w:val="18"/>
              </w:rPr>
              <w:t>（中山大学教育部干细胞与组织工程重点实验室）</w:t>
            </w:r>
          </w:p>
        </w:tc>
        <w:tc>
          <w:tcPr>
            <w:tcW w:w="102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119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Nanomaterial-Facilitated Cyclin-Dependent Kinase 7 Inhibition Suppresses Gallbladder Cancer Progression via Targeting Transcriptional Addiction</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ACS Nano</w:t>
            </w:r>
          </w:p>
        </w:tc>
        <w:tc>
          <w:tcPr>
            <w:tcW w:w="109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Chen-Song Huang（黄晨松）, Qiong-Cong Xu（许琼聪）, Chunlei Dai, Liying Wang（王丽英）, Yi-Chih Tien(易恬琦), Fuxi Li（李福喜）, Qiao Su（苏乔）, Xi-Tai Huang（黄锡泰）, Jun Wu*（吴钧）, Wei Zhao*（赵蔚）, and Xiao-Yu Yin*（殷晓煜）</w:t>
            </w:r>
          </w:p>
        </w:tc>
        <w:tc>
          <w:tcPr>
            <w:tcW w:w="61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2021,15, 9, 14744–14755</w:t>
            </w:r>
          </w:p>
        </w:tc>
        <w:tc>
          <w:tcPr>
            <w:tcW w:w="69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2021.8.18</w:t>
            </w:r>
          </w:p>
        </w:tc>
        <w:tc>
          <w:tcPr>
            <w:tcW w:w="120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Jun Wu*(吴钧 ,Wei Zhao（赵蔚）*,Xiao-Yu Yin（殷晓煜）*</w:t>
            </w:r>
          </w:p>
        </w:tc>
        <w:tc>
          <w:tcPr>
            <w:tcW w:w="84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Chen-Song Huang（黄晨松）, Qiong-Cong Xu（许琼聪）, Chunlei Dai, Liying Wang（王丽英）</w:t>
            </w:r>
          </w:p>
        </w:tc>
        <w:tc>
          <w:tcPr>
            <w:tcW w:w="183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adjustRightInd w:val="0"/>
              <w:snapToGrid w:val="0"/>
              <w:spacing w:line="320" w:lineRule="exact"/>
              <w:jc w:val="center"/>
              <w:outlineLvl w:val="1"/>
              <w:rPr>
                <w:rFonts w:eastAsia="等线"/>
                <w:snapToGrid w:val="0"/>
                <w:color w:val="000000"/>
                <w:sz w:val="18"/>
                <w:szCs w:val="18"/>
              </w:rPr>
            </w:pPr>
            <w:r>
              <w:rPr>
                <w:rFonts w:eastAsia="等线"/>
                <w:snapToGrid w:val="0"/>
                <w:color w:val="000000"/>
                <w:sz w:val="18"/>
                <w:szCs w:val="18"/>
              </w:rPr>
              <w:t>Department of Pancreato-Biliary Surgery, The First Affiliated Hospital of Sun Yat-sen University, Guangzhou 510080, China（中山大学附属第一医院胰腺胆道外科）</w:t>
            </w:r>
          </w:p>
          <w:p>
            <w:pPr>
              <w:adjustRightInd w:val="0"/>
              <w:snapToGrid w:val="0"/>
              <w:spacing w:line="320" w:lineRule="exact"/>
              <w:jc w:val="center"/>
              <w:outlineLvl w:val="1"/>
              <w:rPr>
                <w:rFonts w:eastAsia="等线"/>
                <w:snapToGrid w:val="0"/>
                <w:color w:val="000000"/>
                <w:sz w:val="18"/>
                <w:szCs w:val="18"/>
              </w:rPr>
            </w:pPr>
            <w:r>
              <w:rPr>
                <w:rFonts w:hint="eastAsia" w:eastAsia="等线"/>
                <w:snapToGrid w:val="0"/>
                <w:color w:val="000000"/>
                <w:sz w:val="18"/>
                <w:szCs w:val="18"/>
              </w:rPr>
              <w:t>；</w:t>
            </w:r>
            <w:r>
              <w:rPr>
                <w:rFonts w:eastAsia="等线"/>
                <w:snapToGrid w:val="0"/>
                <w:color w:val="000000"/>
                <w:sz w:val="18"/>
                <w:szCs w:val="18"/>
              </w:rPr>
              <w:t xml:space="preserve"> Department of Pancreato-Biliary Surgery, The First Affiliated Hospital of Sun Yat-sen University, Guangzhou 510080, China（中山大学附属第一医院胰腺胆道外科）</w:t>
            </w:r>
          </w:p>
          <w:p>
            <w:pPr>
              <w:adjustRightInd w:val="0"/>
              <w:snapToGrid w:val="0"/>
              <w:spacing w:line="320" w:lineRule="exact"/>
              <w:jc w:val="center"/>
              <w:outlineLvl w:val="1"/>
              <w:rPr>
                <w:rFonts w:eastAsia="等线"/>
                <w:snapToGrid w:val="0"/>
                <w:color w:val="000000"/>
                <w:sz w:val="18"/>
                <w:szCs w:val="18"/>
              </w:rPr>
            </w:pPr>
            <w:r>
              <w:rPr>
                <w:rFonts w:hint="eastAsia" w:eastAsia="等线"/>
                <w:snapToGrid w:val="0"/>
                <w:color w:val="000000"/>
                <w:sz w:val="18"/>
                <w:szCs w:val="18"/>
              </w:rPr>
              <w:t>；</w:t>
            </w:r>
            <w:r>
              <w:rPr>
                <w:rFonts w:eastAsia="等线"/>
                <w:snapToGrid w:val="0"/>
                <w:color w:val="000000"/>
                <w:sz w:val="18"/>
                <w:szCs w:val="18"/>
              </w:rPr>
              <w:t>Key Laboratory of Sensing Technology and Biomedical Instrument of Guangdong Province, School of Biomedical Engineering, Sun Yat-sen University, Guangzhou 510006, China（中山大学生物医学工程学院，广东省感知技术和生物医学仪器重点实验室）</w:t>
            </w:r>
          </w:p>
          <w:p>
            <w:pPr>
              <w:adjustRightInd w:val="0"/>
              <w:snapToGrid w:val="0"/>
              <w:spacing w:line="320" w:lineRule="exact"/>
              <w:jc w:val="center"/>
              <w:outlineLvl w:val="1"/>
              <w:rPr>
                <w:rFonts w:eastAsia="等线"/>
                <w:snapToGrid w:val="0"/>
                <w:color w:val="000000"/>
                <w:sz w:val="18"/>
                <w:szCs w:val="18"/>
              </w:rPr>
            </w:pPr>
            <w:r>
              <w:rPr>
                <w:rFonts w:hint="eastAsia" w:eastAsia="等线"/>
                <w:snapToGrid w:val="0"/>
                <w:color w:val="000000"/>
                <w:sz w:val="18"/>
                <w:szCs w:val="18"/>
              </w:rPr>
              <w:t>；</w:t>
            </w:r>
            <w:r>
              <w:rPr>
                <w:rFonts w:eastAsia="等线"/>
                <w:snapToGrid w:val="0"/>
                <w:color w:val="000000"/>
                <w:sz w:val="18"/>
                <w:szCs w:val="18"/>
              </w:rPr>
              <w:t xml:space="preserve"> Key Laboratory of Sensing Technology and Biomedical Instrument of Guangdong Province, School of Biomedical Engineering, Sun Yat-sen University, Guangzhou 510006, China（中山大学生物医学工程学院，广东省感知技术和生物医学仪器重点实验室）</w:t>
            </w:r>
          </w:p>
          <w:p>
            <w:pPr>
              <w:adjustRightInd w:val="0"/>
              <w:snapToGrid w:val="0"/>
              <w:spacing w:line="320" w:lineRule="exact"/>
              <w:jc w:val="center"/>
              <w:outlineLvl w:val="1"/>
              <w:rPr>
                <w:rFonts w:eastAsia="等线"/>
                <w:snapToGrid w:val="0"/>
                <w:color w:val="000000"/>
                <w:sz w:val="18"/>
                <w:szCs w:val="18"/>
              </w:rPr>
            </w:pPr>
            <w:r>
              <w:rPr>
                <w:rFonts w:hint="eastAsia" w:eastAsia="等线"/>
                <w:snapToGrid w:val="0"/>
                <w:color w:val="000000"/>
                <w:sz w:val="18"/>
                <w:szCs w:val="18"/>
              </w:rPr>
              <w:t>；</w:t>
            </w:r>
            <w:r>
              <w:rPr>
                <w:rFonts w:eastAsia="等线"/>
                <w:snapToGrid w:val="0"/>
                <w:color w:val="000000"/>
                <w:sz w:val="18"/>
                <w:szCs w:val="18"/>
              </w:rPr>
              <w:t xml:space="preserve"> Department of Pancreato-Biliary Surgery, The First Affiliated Hospital of Sun Yat-sen University, Guangzhou 510080, China（中山大学附属第一医院胰腺胆道外科）</w:t>
            </w:r>
          </w:p>
          <w:p>
            <w:pPr>
              <w:adjustRightInd w:val="0"/>
              <w:snapToGrid w:val="0"/>
              <w:spacing w:line="320" w:lineRule="exact"/>
              <w:jc w:val="center"/>
              <w:outlineLvl w:val="1"/>
              <w:rPr>
                <w:rFonts w:eastAsia="等线"/>
                <w:snapToGrid w:val="0"/>
                <w:color w:val="000000"/>
                <w:sz w:val="18"/>
                <w:szCs w:val="18"/>
              </w:rPr>
            </w:pPr>
            <w:r>
              <w:rPr>
                <w:rFonts w:hint="eastAsia" w:eastAsia="等线"/>
                <w:snapToGrid w:val="0"/>
                <w:color w:val="000000"/>
                <w:sz w:val="18"/>
                <w:szCs w:val="18"/>
              </w:rPr>
              <w:t>；</w:t>
            </w:r>
            <w:r>
              <w:rPr>
                <w:rFonts w:eastAsia="等线"/>
                <w:snapToGrid w:val="0"/>
                <w:color w:val="000000"/>
                <w:sz w:val="18"/>
                <w:szCs w:val="18"/>
              </w:rPr>
              <w:t xml:space="preserve"> Guangdong Provincial People’s Hospital, Guangdong Academy of Medical Sciences, Guangzhou, 510080, China（广东省人民医院，广东医科学院）</w:t>
            </w:r>
          </w:p>
          <w:p>
            <w:pPr>
              <w:adjustRightInd w:val="0"/>
              <w:snapToGrid w:val="0"/>
              <w:spacing w:line="320" w:lineRule="exact"/>
              <w:jc w:val="center"/>
              <w:outlineLvl w:val="1"/>
              <w:rPr>
                <w:rFonts w:eastAsia="等线"/>
                <w:snapToGrid w:val="0"/>
                <w:color w:val="000000"/>
                <w:sz w:val="18"/>
                <w:szCs w:val="18"/>
              </w:rPr>
            </w:pPr>
            <w:r>
              <w:rPr>
                <w:rFonts w:hint="eastAsia" w:eastAsia="等线"/>
                <w:snapToGrid w:val="0"/>
                <w:color w:val="000000"/>
                <w:sz w:val="18"/>
                <w:szCs w:val="18"/>
              </w:rPr>
              <w:t>；</w:t>
            </w:r>
            <w:r>
              <w:rPr>
                <w:rFonts w:eastAsia="等线"/>
                <w:snapToGrid w:val="0"/>
                <w:color w:val="000000"/>
                <w:sz w:val="18"/>
                <w:szCs w:val="18"/>
              </w:rPr>
              <w:t xml:space="preserve"> Department of Animal Experiment Center, First Affiliated Hospital of Sun Yat-sen University, Guangzhou 510080, China（中山大学附属第一医院动物实验中心）</w:t>
            </w:r>
          </w:p>
          <w:p>
            <w:pPr>
              <w:spacing w:line="260" w:lineRule="exact"/>
              <w:jc w:val="center"/>
              <w:rPr>
                <w:rFonts w:ascii="仿宋_GB2312" w:hAnsi="仿宋_GB2312" w:eastAsia="仿宋_GB2312" w:cs="仿宋_GB2312"/>
                <w:szCs w:val="21"/>
              </w:rPr>
            </w:pPr>
            <w:r>
              <w:rPr>
                <w:rFonts w:hint="eastAsia" w:eastAsia="等线"/>
                <w:snapToGrid w:val="0"/>
                <w:color w:val="000000"/>
                <w:sz w:val="18"/>
                <w:szCs w:val="18"/>
              </w:rPr>
              <w:t>；</w:t>
            </w:r>
            <w:r>
              <w:rPr>
                <w:rFonts w:eastAsia="等线"/>
                <w:snapToGrid w:val="0"/>
                <w:color w:val="000000"/>
                <w:sz w:val="18"/>
                <w:szCs w:val="18"/>
              </w:rPr>
              <w:t xml:space="preserve"> Department of Pancreato-Biliary Surgery, The First Affiliated Hospital of Sun Yat-sen University, Guangzhou 510080, China（中山大学附属第一医院胰腺胆道外科）</w:t>
            </w:r>
          </w:p>
        </w:tc>
        <w:tc>
          <w:tcPr>
            <w:tcW w:w="102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119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Intranasal administration of dauricine loaded on graphene oxide: multi-target therapy for Alzheimer's disease</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Drug Delivery</w:t>
            </w:r>
          </w:p>
        </w:tc>
        <w:tc>
          <w:tcPr>
            <w:tcW w:w="109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Kaixuan Wang#</w:t>
            </w:r>
            <w:r>
              <w:rPr>
                <w:rFonts w:hint="eastAsia" w:eastAsia="等线"/>
                <w:snapToGrid w:val="0"/>
                <w:color w:val="000000"/>
                <w:sz w:val="18"/>
                <w:szCs w:val="18"/>
              </w:rPr>
              <w:t>（王凯旋）</w:t>
            </w:r>
            <w:r>
              <w:rPr>
                <w:rFonts w:eastAsia="等线"/>
                <w:snapToGrid w:val="0"/>
                <w:color w:val="000000"/>
                <w:sz w:val="18"/>
                <w:szCs w:val="18"/>
              </w:rPr>
              <w:t>; Lingfeng Wang</w:t>
            </w:r>
            <w:r>
              <w:rPr>
                <w:rFonts w:hint="eastAsia" w:eastAsia="等线"/>
                <w:snapToGrid w:val="0"/>
                <w:color w:val="000000"/>
                <w:sz w:val="18"/>
                <w:szCs w:val="18"/>
              </w:rPr>
              <w:t>（王凌峰）</w:t>
            </w:r>
            <w:r>
              <w:rPr>
                <w:rFonts w:eastAsia="等线"/>
                <w:snapToGrid w:val="0"/>
                <w:color w:val="000000"/>
                <w:sz w:val="18"/>
                <w:szCs w:val="18"/>
              </w:rPr>
              <w:t>; Ling Chen</w:t>
            </w:r>
            <w:r>
              <w:rPr>
                <w:rFonts w:hint="eastAsia" w:eastAsia="等线"/>
                <w:snapToGrid w:val="0"/>
                <w:color w:val="000000"/>
                <w:sz w:val="18"/>
                <w:szCs w:val="18"/>
              </w:rPr>
              <w:t>（陈玲）</w:t>
            </w:r>
            <w:r>
              <w:rPr>
                <w:rFonts w:eastAsia="等线"/>
                <w:snapToGrid w:val="0"/>
                <w:color w:val="000000"/>
                <w:sz w:val="18"/>
                <w:szCs w:val="18"/>
              </w:rPr>
              <w:t>; Chiwei Peng</w:t>
            </w:r>
            <w:r>
              <w:rPr>
                <w:rFonts w:hint="eastAsia" w:eastAsia="等线"/>
                <w:snapToGrid w:val="0"/>
                <w:color w:val="000000"/>
                <w:sz w:val="18"/>
                <w:szCs w:val="18"/>
              </w:rPr>
              <w:t>（彭驰伟）</w:t>
            </w:r>
            <w:r>
              <w:rPr>
                <w:rFonts w:eastAsia="等线"/>
                <w:snapToGrid w:val="0"/>
                <w:color w:val="000000"/>
                <w:sz w:val="18"/>
                <w:szCs w:val="18"/>
              </w:rPr>
              <w:t>; Beijiao Luo</w:t>
            </w:r>
            <w:r>
              <w:rPr>
                <w:rFonts w:hint="eastAsia" w:eastAsia="等线"/>
                <w:snapToGrid w:val="0"/>
                <w:color w:val="000000"/>
                <w:sz w:val="18"/>
                <w:szCs w:val="18"/>
              </w:rPr>
              <w:t>（罗北娇）</w:t>
            </w:r>
            <w:r>
              <w:rPr>
                <w:rFonts w:eastAsia="等线"/>
                <w:snapToGrid w:val="0"/>
                <w:color w:val="000000"/>
                <w:sz w:val="18"/>
                <w:szCs w:val="18"/>
              </w:rPr>
              <w:t>; Jingxin Mo*</w:t>
            </w:r>
            <w:r>
              <w:rPr>
                <w:rFonts w:hint="eastAsia" w:eastAsia="等线"/>
                <w:snapToGrid w:val="0"/>
                <w:color w:val="000000"/>
                <w:sz w:val="18"/>
                <w:szCs w:val="18"/>
              </w:rPr>
              <w:t>（莫靖欣）</w:t>
            </w:r>
            <w:r>
              <w:rPr>
                <w:rFonts w:eastAsia="等线"/>
                <w:snapToGrid w:val="0"/>
                <w:color w:val="000000"/>
                <w:sz w:val="18"/>
                <w:szCs w:val="18"/>
              </w:rPr>
              <w:t>; Wei Chen*</w:t>
            </w:r>
            <w:r>
              <w:rPr>
                <w:rFonts w:hint="eastAsia" w:eastAsia="等线"/>
                <w:snapToGrid w:val="0"/>
                <w:color w:val="000000"/>
                <w:sz w:val="18"/>
                <w:szCs w:val="18"/>
              </w:rPr>
              <w:t>（陈薇）</w:t>
            </w:r>
          </w:p>
        </w:tc>
        <w:tc>
          <w:tcPr>
            <w:tcW w:w="61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eastAsia="等线"/>
                <w:snapToGrid w:val="0"/>
                <w:color w:val="000000"/>
                <w:sz w:val="18"/>
                <w:szCs w:val="18"/>
              </w:rPr>
              <w:t>2021,28(1):580-593.</w:t>
            </w:r>
          </w:p>
        </w:tc>
        <w:tc>
          <w:tcPr>
            <w:tcW w:w="69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eastAsia="等线"/>
                <w:snapToGrid w:val="0"/>
                <w:color w:val="000000"/>
                <w:sz w:val="18"/>
                <w:szCs w:val="18"/>
              </w:rPr>
              <w:t>2</w:t>
            </w:r>
            <w:r>
              <w:rPr>
                <w:rFonts w:eastAsia="等线"/>
                <w:snapToGrid w:val="0"/>
                <w:color w:val="000000"/>
                <w:sz w:val="18"/>
                <w:szCs w:val="18"/>
              </w:rPr>
              <w:t>021.3.17</w:t>
            </w:r>
          </w:p>
        </w:tc>
        <w:tc>
          <w:tcPr>
            <w:tcW w:w="120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Jingxin Mo*（莫靖欣）; Wei Chen*（陈薇）</w:t>
            </w:r>
          </w:p>
        </w:tc>
        <w:tc>
          <w:tcPr>
            <w:tcW w:w="84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Kaixuan Wang#（王凯旋）; Lingfeng Wang（王凌峰）</w:t>
            </w:r>
          </w:p>
        </w:tc>
        <w:tc>
          <w:tcPr>
            <w:tcW w:w="183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School of Pharmacy, Guilin Medical University, Guilin, China（桂林医学院药学院）; School of Pharmacy, Zhejiang Chinese Medical University, Zhejiang, China（浙江中医药大学药学院）;</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Department of Pharmacy, Affiliated Hospital of Guilin Medical University, Guilin, China（桂林医学院附属医院药学部）</w:t>
            </w:r>
          </w:p>
        </w:tc>
        <w:tc>
          <w:tcPr>
            <w:tcW w:w="102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9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61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69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20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4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83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02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1198"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9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61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69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4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83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02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8" w:type="dxa"/>
            <w:tcMar>
              <w:left w:w="57" w:type="dxa"/>
              <w:right w:w="57" w:type="dxa"/>
            </w:tcMar>
            <w:vAlign w:val="center"/>
          </w:tcPr>
          <w:p>
            <w:pPr>
              <w:spacing w:line="260" w:lineRule="exact"/>
              <w:jc w:val="center"/>
              <w:rPr>
                <w:sz w:val="18"/>
                <w:szCs w:val="18"/>
              </w:rPr>
            </w:pPr>
            <w:r>
              <w:rPr>
                <w:sz w:val="18"/>
                <w:szCs w:val="18"/>
              </w:rPr>
              <w:t>科普作品名称</w:t>
            </w:r>
          </w:p>
        </w:tc>
        <w:tc>
          <w:tcPr>
            <w:tcW w:w="785" w:type="dxa"/>
            <w:gridSpan w:val="2"/>
            <w:tcMar>
              <w:left w:w="57" w:type="dxa"/>
              <w:right w:w="57" w:type="dxa"/>
            </w:tcMar>
            <w:vAlign w:val="center"/>
          </w:tcPr>
          <w:p>
            <w:pPr>
              <w:spacing w:line="260" w:lineRule="exact"/>
              <w:jc w:val="center"/>
              <w:rPr>
                <w:sz w:val="18"/>
                <w:szCs w:val="18"/>
              </w:rPr>
            </w:pPr>
            <w:r>
              <w:rPr>
                <w:sz w:val="18"/>
                <w:szCs w:val="18"/>
              </w:rPr>
              <w:t>版号</w:t>
            </w:r>
          </w:p>
        </w:tc>
        <w:tc>
          <w:tcPr>
            <w:tcW w:w="1095" w:type="dxa"/>
            <w:tcMar>
              <w:left w:w="57" w:type="dxa"/>
              <w:right w:w="57" w:type="dxa"/>
            </w:tcMar>
            <w:vAlign w:val="center"/>
          </w:tcPr>
          <w:p>
            <w:pPr>
              <w:spacing w:line="260" w:lineRule="exact"/>
              <w:jc w:val="center"/>
              <w:rPr>
                <w:sz w:val="18"/>
                <w:szCs w:val="18"/>
              </w:rPr>
            </w:pPr>
            <w:r>
              <w:rPr>
                <w:sz w:val="18"/>
                <w:szCs w:val="18"/>
              </w:rPr>
              <w:t>作者或主编</w:t>
            </w:r>
          </w:p>
        </w:tc>
        <w:tc>
          <w:tcPr>
            <w:tcW w:w="615" w:type="dxa"/>
            <w:tcMar>
              <w:left w:w="57" w:type="dxa"/>
              <w:right w:w="57" w:type="dxa"/>
            </w:tcMar>
            <w:vAlign w:val="center"/>
          </w:tcPr>
          <w:p>
            <w:pPr>
              <w:spacing w:line="260" w:lineRule="exact"/>
              <w:jc w:val="center"/>
              <w:rPr>
                <w:sz w:val="18"/>
                <w:szCs w:val="18"/>
              </w:rPr>
            </w:pPr>
            <w:r>
              <w:rPr>
                <w:sz w:val="18"/>
                <w:szCs w:val="18"/>
              </w:rPr>
              <w:t>出版时间（年月日）</w:t>
            </w:r>
          </w:p>
        </w:tc>
        <w:tc>
          <w:tcPr>
            <w:tcW w:w="690" w:type="dxa"/>
            <w:tcMar>
              <w:left w:w="57" w:type="dxa"/>
              <w:right w:w="57" w:type="dxa"/>
            </w:tcMar>
            <w:vAlign w:val="center"/>
          </w:tcPr>
          <w:p>
            <w:pPr>
              <w:spacing w:line="260" w:lineRule="exact"/>
              <w:jc w:val="center"/>
              <w:rPr>
                <w:sz w:val="18"/>
                <w:szCs w:val="18"/>
              </w:rPr>
            </w:pPr>
            <w:r>
              <w:rPr>
                <w:sz w:val="18"/>
                <w:szCs w:val="18"/>
              </w:rPr>
              <w:t>出版单位</w:t>
            </w:r>
          </w:p>
        </w:tc>
        <w:tc>
          <w:tcPr>
            <w:tcW w:w="1200" w:type="dxa"/>
            <w:tcMar>
              <w:left w:w="57" w:type="dxa"/>
              <w:right w:w="57" w:type="dxa"/>
            </w:tcMar>
            <w:vAlign w:val="center"/>
          </w:tcPr>
          <w:p>
            <w:pPr>
              <w:spacing w:line="260" w:lineRule="exact"/>
              <w:jc w:val="center"/>
              <w:rPr>
                <w:sz w:val="18"/>
                <w:szCs w:val="18"/>
              </w:rPr>
            </w:pPr>
            <w:r>
              <w:rPr>
                <w:sz w:val="18"/>
                <w:szCs w:val="18"/>
              </w:rPr>
              <w:t>是否为丛书</w:t>
            </w:r>
          </w:p>
        </w:tc>
        <w:tc>
          <w:tcPr>
            <w:tcW w:w="840" w:type="dxa"/>
            <w:tcMar>
              <w:left w:w="57" w:type="dxa"/>
              <w:right w:w="57" w:type="dxa"/>
            </w:tcMar>
            <w:vAlign w:val="center"/>
          </w:tcPr>
          <w:p>
            <w:pPr>
              <w:spacing w:line="260" w:lineRule="exact"/>
              <w:jc w:val="center"/>
              <w:rPr>
                <w:sz w:val="18"/>
                <w:szCs w:val="18"/>
              </w:rPr>
            </w:pPr>
            <w:r>
              <w:rPr>
                <w:sz w:val="18"/>
                <w:szCs w:val="18"/>
              </w:rPr>
              <w:t>丛书册数</w:t>
            </w:r>
          </w:p>
        </w:tc>
        <w:tc>
          <w:tcPr>
            <w:tcW w:w="1830" w:type="dxa"/>
            <w:tcMar>
              <w:left w:w="57" w:type="dxa"/>
              <w:right w:w="57" w:type="dxa"/>
            </w:tcMar>
            <w:vAlign w:val="center"/>
          </w:tcPr>
          <w:p>
            <w:pPr>
              <w:spacing w:line="260" w:lineRule="exact"/>
              <w:jc w:val="center"/>
              <w:rPr>
                <w:sz w:val="18"/>
                <w:szCs w:val="18"/>
              </w:rPr>
            </w:pPr>
          </w:p>
        </w:tc>
        <w:tc>
          <w:tcPr>
            <w:tcW w:w="1020" w:type="dxa"/>
            <w:tcMar>
              <w:left w:w="57" w:type="dxa"/>
              <w:right w:w="57" w:type="dxa"/>
            </w:tcMar>
            <w:vAlign w:val="center"/>
          </w:tcPr>
          <w:p>
            <w:pPr>
              <w:spacing w:line="260" w:lineRule="exact"/>
              <w:jc w:val="center"/>
              <w:rPr>
                <w:sz w:val="18"/>
                <w:szCs w:val="18"/>
              </w:rPr>
            </w:pPr>
          </w:p>
        </w:tc>
        <w:tc>
          <w:tcPr>
            <w:tcW w:w="707" w:type="dxa"/>
            <w:gridSpan w:val="2"/>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198"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9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61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69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4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83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2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07"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9980" w:type="dxa"/>
            <w:gridSpan w:val="1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spacing w:val="2"/>
                <w:sz w:val="28"/>
                <w:szCs w:val="28"/>
                <w:lang w:eastAsia="zh-CN"/>
              </w:rPr>
              <w:t>（</w:t>
            </w:r>
            <w:r>
              <w:rPr>
                <w:rFonts w:hint="eastAsia" w:ascii="仿宋_GB2312" w:hAnsi="仿宋_GB2312" w:eastAsia="仿宋_GB2312" w:cs="仿宋_GB2312"/>
                <w:bCs/>
                <w:spacing w:val="2"/>
                <w:sz w:val="28"/>
                <w:szCs w:val="28"/>
                <w:lang w:val="en-US" w:eastAsia="zh-CN"/>
              </w:rPr>
              <w:t>自然科学奖</w:t>
            </w:r>
            <w:bookmarkStart w:id="2" w:name="_GoBack"/>
            <w:bookmarkEnd w:id="2"/>
            <w:r>
              <w:rPr>
                <w:rFonts w:hint="eastAsia" w:ascii="仿宋_GB2312" w:hAnsi="仿宋_GB2312" w:eastAsia="仿宋_GB2312" w:cs="仿宋_GB2312"/>
                <w:bCs/>
                <w:spacing w:val="2"/>
                <w:sz w:val="28"/>
                <w:szCs w:val="28"/>
                <w:lang w:eastAsia="zh-CN"/>
              </w:rPr>
              <w:t>）</w:t>
            </w:r>
            <w:r>
              <w:rPr>
                <w:rFonts w:hint="eastAsia" w:ascii="仿宋_GB2312" w:hAnsi="仿宋_GB2312" w:eastAsia="仿宋_GB2312" w:cs="仿宋_GB2312"/>
                <w:bCs/>
                <w:spacing w:val="2"/>
                <w:sz w:val="28"/>
                <w:szCs w:val="28"/>
                <w:u w:val="single"/>
              </w:rPr>
              <w:t xml:space="preserve"> 一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二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9980" w:type="dxa"/>
            <w:gridSpan w:val="12"/>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桂林医学院附属医院在脑损伤与肿瘤治疗方面取得突破，开发了智能纳米载体，实现特异性药物释放，提高治疗效果。该研究首次证明纳米载体可特异性输送神经保护剂，显著改善神经功能，为未来临床应用奠定基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trPr>
        <w:tc>
          <w:tcPr>
            <w:tcW w:w="9980" w:type="dxa"/>
            <w:gridSpan w:val="12"/>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研究通过智能纳米技术针对脑损伤和癌症的治疗进行创新改进。研究开发了高效的智能纳米技术，利用特定响应机制实现精准药物输送，并探索了联合治疗策略，实现了多种疾病的治疗效果提高。这一科学发现为相关治疗提供了新策略，具有重要的医疗价值。本研究成果已发表8篇代表性论文，其中在中科院一区（Top）发表5 篇，中科院二区（Top）发表1 篇，中科院二区发表2 篇，被他引144次，得到了国内外专家的高度认可。</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adjustRightInd w:val="0"/>
              <w:snapToGrid w:val="0"/>
              <w:spacing w:line="406" w:lineRule="exact"/>
              <w:ind w:firstLine="480" w:firstLineChars="200"/>
              <w:rPr>
                <w:rFonts w:ascii="仿宋" w:hAnsi="仿宋" w:eastAsia="仿宋"/>
                <w:snapToGrid w:val="0"/>
                <w:color w:val="000000"/>
                <w:sz w:val="24"/>
                <w:szCs w:val="24"/>
              </w:rPr>
            </w:pPr>
            <w:r>
              <w:rPr>
                <w:rFonts w:ascii="仿宋" w:hAnsi="仿宋" w:eastAsia="仿宋"/>
                <w:snapToGrid w:val="0"/>
                <w:color w:val="000000"/>
                <w:sz w:val="24"/>
                <w:szCs w:val="24"/>
              </w:rPr>
              <w:t>自2015年9月以来，第一候选人与中山大学中山医学院的赵蔚教授的合作已经在智能纳米材料技术领域取得了显著的科研成果。他们的联合努力，对传统治疗方法进行了创新性的优化和改进，这种卓越的合作关系已经在多个高水平期刊，如ACS Applied Materials &amp; Interfaces和Nanoscale等期刊上发表的五篇高质量论文中得到了体现。此外，他们还成功申请了多项科研基金，这些成果不仅凸显了他们的合作实力，也为相关研究领域做出了重要的贡献。</w:t>
            </w:r>
          </w:p>
          <w:p>
            <w:pPr>
              <w:adjustRightInd w:val="0"/>
              <w:snapToGrid w:val="0"/>
              <w:spacing w:line="406" w:lineRule="exact"/>
              <w:ind w:firstLine="480" w:firstLineChars="200"/>
              <w:rPr>
                <w:rFonts w:ascii="仿宋" w:hAnsi="仿宋" w:eastAsia="仿宋"/>
                <w:snapToGrid w:val="0"/>
                <w:color w:val="000000"/>
                <w:sz w:val="24"/>
                <w:szCs w:val="24"/>
              </w:rPr>
            </w:pPr>
            <w:r>
              <w:rPr>
                <w:rFonts w:ascii="仿宋" w:hAnsi="仿宋" w:eastAsia="仿宋"/>
                <w:snapToGrid w:val="0"/>
                <w:color w:val="000000"/>
                <w:sz w:val="24"/>
                <w:szCs w:val="24"/>
              </w:rPr>
              <w:t>他们的专业知识形成了强大的互补性。第一候选人在</w:t>
            </w:r>
            <w:r>
              <w:rPr>
                <w:rFonts w:hint="eastAsia" w:ascii="仿宋" w:hAnsi="仿宋" w:eastAsia="仿宋"/>
                <w:snapToGrid w:val="0"/>
                <w:color w:val="000000"/>
                <w:sz w:val="24"/>
                <w:szCs w:val="24"/>
              </w:rPr>
              <w:t>智能纳米</w:t>
            </w:r>
            <w:r>
              <w:rPr>
                <w:rFonts w:ascii="仿宋" w:hAnsi="仿宋" w:eastAsia="仿宋"/>
                <w:snapToGrid w:val="0"/>
                <w:color w:val="000000"/>
                <w:sz w:val="24"/>
                <w:szCs w:val="24"/>
              </w:rPr>
              <w:t>材料靶向多靶点协同治疗不同疾病方面有着深厚的研究背景，而赵蔚教授则在肿瘤微环境表观遗传调控领域有着丰富的经验。这种互补性使他们的合作能够涵盖更广泛的研究领域。</w:t>
            </w:r>
          </w:p>
          <w:p>
            <w:pPr>
              <w:adjustRightInd w:val="0"/>
              <w:snapToGrid w:val="0"/>
              <w:spacing w:line="406" w:lineRule="exact"/>
              <w:ind w:firstLine="480" w:firstLineChars="200"/>
              <w:rPr>
                <w:rFonts w:ascii="仿宋" w:hAnsi="仿宋" w:eastAsia="仿宋"/>
                <w:snapToGrid w:val="0"/>
                <w:color w:val="000000"/>
                <w:sz w:val="24"/>
                <w:szCs w:val="24"/>
              </w:rPr>
            </w:pPr>
            <w:r>
              <w:rPr>
                <w:rFonts w:ascii="仿宋" w:hAnsi="仿宋" w:eastAsia="仿宋"/>
                <w:snapToGrid w:val="0"/>
                <w:color w:val="000000"/>
                <w:sz w:val="24"/>
                <w:szCs w:val="24"/>
              </w:rPr>
              <w:t>他们的合作展示了跨学科合作的巨大潜力，通过集合各自的专业知识和技能，不仅有助于解决当前面临的医疗挑战，也为未来的科研工作提供了宝贵的经验。</w:t>
            </w:r>
          </w:p>
          <w:p>
            <w:pPr>
              <w:adjustRightInd w:val="0"/>
              <w:snapToGrid w:val="0"/>
              <w:spacing w:line="406" w:lineRule="exact"/>
              <w:ind w:firstLine="480" w:firstLineChars="200"/>
              <w:rPr>
                <w:rFonts w:ascii="仿宋" w:hAnsi="仿宋" w:eastAsia="仿宋"/>
                <w:snapToGrid w:val="0"/>
                <w:color w:val="000000"/>
                <w:sz w:val="24"/>
                <w:szCs w:val="24"/>
              </w:rPr>
            </w:pPr>
            <w:r>
              <w:rPr>
                <w:rFonts w:ascii="仿宋" w:hAnsi="仿宋" w:eastAsia="仿宋"/>
                <w:snapToGrid w:val="0"/>
                <w:color w:val="000000"/>
                <w:sz w:val="24"/>
                <w:szCs w:val="24"/>
              </w:rPr>
              <w:t>这种合作关系的形成并非偶然，而是基于双方对科研工作的共同热情和对创新的追求。他们都认识到，只有通过跨学科合作，才能解决当今医学领域面临的复杂问题。因此，他们决定将各自的专业知识和技能结合起来，以实现更大的科研目标。</w:t>
            </w:r>
          </w:p>
          <w:p>
            <w:pPr>
              <w:adjustRightInd w:val="0"/>
              <w:snapToGrid w:val="0"/>
              <w:spacing w:line="406" w:lineRule="exact"/>
              <w:ind w:firstLine="480" w:firstLineChars="200"/>
              <w:rPr>
                <w:rFonts w:ascii="仿宋" w:hAnsi="仿宋" w:eastAsia="仿宋"/>
                <w:snapToGrid w:val="0"/>
                <w:color w:val="000000"/>
                <w:sz w:val="24"/>
                <w:szCs w:val="24"/>
              </w:rPr>
            </w:pPr>
            <w:r>
              <w:rPr>
                <w:rFonts w:ascii="仿宋" w:hAnsi="仿宋" w:eastAsia="仿宋"/>
                <w:snapToGrid w:val="0"/>
                <w:color w:val="000000"/>
                <w:sz w:val="24"/>
                <w:szCs w:val="24"/>
              </w:rPr>
              <w:t>在他们的合作中，第一候选人主要负责开发</w:t>
            </w:r>
            <w:r>
              <w:rPr>
                <w:rFonts w:hint="eastAsia" w:ascii="仿宋" w:hAnsi="仿宋" w:eastAsia="仿宋"/>
                <w:snapToGrid w:val="0"/>
                <w:color w:val="000000"/>
                <w:sz w:val="24"/>
                <w:szCs w:val="24"/>
              </w:rPr>
              <w:t>智能纳米</w:t>
            </w:r>
            <w:r>
              <w:rPr>
                <w:rFonts w:ascii="仿宋" w:hAnsi="仿宋" w:eastAsia="仿宋"/>
                <w:snapToGrid w:val="0"/>
                <w:color w:val="000000"/>
                <w:sz w:val="24"/>
                <w:szCs w:val="24"/>
              </w:rPr>
              <w:t>材料，这些材料可以有效地将药物输送到病变部位，从而提高治疗的效果和安全性。他的研究工作为治疗多种疾病提供了新的可能性，包括癌症、神经退行性疾病和心血管疾病。</w:t>
            </w:r>
          </w:p>
          <w:p>
            <w:pPr>
              <w:adjustRightInd w:val="0"/>
              <w:snapToGrid w:val="0"/>
              <w:spacing w:line="406" w:lineRule="exact"/>
              <w:ind w:firstLine="480" w:firstLineChars="200"/>
              <w:rPr>
                <w:rFonts w:ascii="仿宋" w:hAnsi="仿宋" w:eastAsia="仿宋"/>
                <w:snapToGrid w:val="0"/>
                <w:color w:val="000000"/>
                <w:sz w:val="24"/>
                <w:szCs w:val="24"/>
              </w:rPr>
            </w:pPr>
            <w:r>
              <w:rPr>
                <w:rFonts w:ascii="仿宋" w:hAnsi="仿宋" w:eastAsia="仿宋"/>
                <w:snapToGrid w:val="0"/>
                <w:color w:val="000000"/>
                <w:sz w:val="24"/>
                <w:szCs w:val="24"/>
              </w:rPr>
              <w:t>与此同时，赵蔚教授的研究工作主要集中在肿瘤微环境的表观遗传调控。他的工作揭示了肿瘤微环境如何影响肿瘤细胞的行为，包括其增殖、迁移和抵抗药物治疗的能力。他的研究成果为开发新的抗癌策略提供了重要的理论依据。</w:t>
            </w:r>
          </w:p>
          <w:p>
            <w:pPr>
              <w:adjustRightInd w:val="0"/>
              <w:snapToGrid w:val="0"/>
              <w:spacing w:line="406" w:lineRule="exact"/>
              <w:ind w:firstLine="480" w:firstLineChars="200"/>
              <w:rPr>
                <w:rFonts w:ascii="仿宋" w:hAnsi="仿宋" w:eastAsia="仿宋"/>
                <w:snapToGrid w:val="0"/>
                <w:color w:val="000000"/>
                <w:sz w:val="24"/>
                <w:szCs w:val="24"/>
              </w:rPr>
            </w:pPr>
            <w:r>
              <w:rPr>
                <w:rFonts w:ascii="仿宋" w:hAnsi="仿宋" w:eastAsia="仿宋"/>
                <w:snapToGrid w:val="0"/>
                <w:color w:val="000000"/>
                <w:sz w:val="24"/>
                <w:szCs w:val="24"/>
              </w:rPr>
              <w:t>他们的合作不仅产生了重要的科研成果，也为他们的研究团队提供了宝贵的学习和成长机会。他们的研究团队成员有机会接触到不同的研究领域，学习新的技术和方法，从而提高自己的研究能力。此外，他们的合作也为研究团队创造了一个开放、合作的研究环境，鼓励团队成员之间的交流和合作。</w:t>
            </w:r>
          </w:p>
          <w:p>
            <w:pPr>
              <w:adjustRightInd w:val="0"/>
              <w:snapToGrid w:val="0"/>
              <w:spacing w:line="406" w:lineRule="exact"/>
              <w:ind w:firstLine="480" w:firstLineChars="200"/>
              <w:rPr>
                <w:rFonts w:ascii="仿宋" w:hAnsi="仿宋" w:eastAsia="仿宋"/>
                <w:snapToGrid w:val="0"/>
                <w:color w:val="000000"/>
                <w:sz w:val="24"/>
                <w:szCs w:val="24"/>
              </w:rPr>
            </w:pPr>
            <w:r>
              <w:rPr>
                <w:rFonts w:ascii="仿宋" w:hAnsi="仿宋" w:eastAsia="仿宋"/>
                <w:snapToGrid w:val="0"/>
                <w:color w:val="000000"/>
                <w:sz w:val="24"/>
                <w:szCs w:val="24"/>
              </w:rPr>
              <w:t>总的来说，第一候选人和赵蔚教授的合作是一次成功的跨学科合作实践。他们的合作不仅产生了重要的科研成果，也为他们的研究团队提供了宝贵的学习和成长机会。他们的成功经验为其他科研人员提供了宝贵的参考，展示了跨学科合作的巨大潜力和价值。</w:t>
            </w: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rPr>
                <w:snapToGrid w:val="0"/>
                <w:color w:val="000000"/>
                <w:sz w:val="28"/>
                <w:szCs w:val="28"/>
              </w:rPr>
            </w:pPr>
          </w:p>
          <w:p>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ascii="????" w:eastAsia="????" w:cs="????" w:hAnsiTheme="minorHAnsi"/>
                <w:kern w:val="0"/>
                <w:szCs w:val="21"/>
              </w:rPr>
              <w:t>论文合著</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jc w:val="left"/>
              <w:rPr>
                <w:rFonts w:ascii="????" w:eastAsia="????" w:cs="????" w:hAnsiTheme="minorHAnsi"/>
                <w:kern w:val="0"/>
                <w:szCs w:val="21"/>
              </w:rPr>
            </w:pPr>
            <w:r>
              <w:rPr>
                <w:rFonts w:hint="eastAsia" w:ascii="????" w:eastAsia="????" w:cs="????" w:hAnsiTheme="minorHAnsi"/>
                <w:kern w:val="0"/>
                <w:szCs w:val="21"/>
              </w:rPr>
              <w:t>莫靖欣、王力、韦荔莉、赵蔚</w:t>
            </w:r>
          </w:p>
        </w:tc>
        <w:tc>
          <w:tcPr>
            <w:tcW w:w="1559" w:type="dxa"/>
            <w:tcBorders>
              <w:top w:val="single" w:color="000000" w:sz="4" w:space="0"/>
              <w:left w:val="nil"/>
              <w:bottom w:val="single" w:color="000000" w:sz="4" w:space="0"/>
              <w:right w:val="single" w:color="000000" w:sz="4" w:space="0"/>
            </w:tcBorders>
            <w:vAlign w:val="center"/>
          </w:tcPr>
          <w:p>
            <w:pPr>
              <w:autoSpaceDE w:val="0"/>
              <w:autoSpaceDN w:val="0"/>
              <w:adjustRightInd w:val="0"/>
              <w:jc w:val="left"/>
              <w:rPr>
                <w:rFonts w:ascii="????" w:eastAsia="????" w:cs="????" w:hAnsiTheme="minorHAnsi"/>
                <w:kern w:val="0"/>
                <w:szCs w:val="21"/>
              </w:rPr>
            </w:pPr>
            <w:r>
              <w:rPr>
                <w:rFonts w:ascii="????" w:eastAsia="????" w:cs="????" w:hAnsiTheme="minorHAnsi"/>
                <w:kern w:val="0"/>
                <w:szCs w:val="21"/>
              </w:rPr>
              <w:t>2016-01-01</w:t>
            </w:r>
          </w:p>
          <w:p>
            <w:pPr>
              <w:adjustRightInd w:val="0"/>
              <w:snapToGrid w:val="0"/>
              <w:spacing w:line="320" w:lineRule="exact"/>
              <w:rPr>
                <w:snapToGrid w:val="0"/>
                <w:color w:val="000000"/>
                <w:szCs w:val="21"/>
              </w:rPr>
            </w:pPr>
            <w:r>
              <w:rPr>
                <w:rFonts w:ascii="????" w:eastAsia="????" w:cs="????" w:hAnsiTheme="minorHAnsi"/>
                <w:kern w:val="0"/>
                <w:szCs w:val="21"/>
              </w:rPr>
              <w:t>2022-12-31</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Multifunctional nanoparticles for co-delivery ofpaclitaxel and carboplatin against ovarian cancer by inactivating the JMJD3-HER2 axis.</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6</w:t>
            </w:r>
            <w:r>
              <w:rPr>
                <w:snapToGrid w:val="0"/>
                <w:color w:val="000000"/>
                <w:szCs w:val="21"/>
              </w:rPr>
              <w:t>-1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Nanoscale. 2017 Sep 14;9(35):13142-13152. doi: 10.1039/c7nr04473a.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ascii="????" w:eastAsia="????" w:cs="????" w:hAnsiTheme="minorHAnsi"/>
                <w:kern w:val="0"/>
                <w:szCs w:val="21"/>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莫靖欣、韦荔莉、赵蔚</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2016-01-01</w:t>
            </w:r>
          </w:p>
          <w:p>
            <w:pPr>
              <w:adjustRightInd w:val="0"/>
              <w:snapToGrid w:val="0"/>
              <w:spacing w:line="320" w:lineRule="exact"/>
              <w:rPr>
                <w:snapToGrid w:val="0"/>
                <w:color w:val="000000"/>
                <w:szCs w:val="21"/>
              </w:rPr>
            </w:pPr>
            <w:r>
              <w:rPr>
                <w:snapToGrid w:val="0"/>
                <w:color w:val="000000"/>
                <w:szCs w:val="21"/>
              </w:rPr>
              <w:t>2019-12-31</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Preparationand characterization ofloperamide-loaded Dynasan 114 solidlipid nanoparticles forincreased oral absorption in the treatment of diarrhoe</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6</w:t>
            </w:r>
            <w:r>
              <w:rPr>
                <w:snapToGrid w:val="0"/>
                <w:color w:val="000000"/>
                <w:szCs w:val="21"/>
              </w:rPr>
              <w:t>-1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ascii="????" w:eastAsia="????" w:cs="????" w:hAnsiTheme="minorHAnsi"/>
                <w:kern w:val="0"/>
                <w:szCs w:val="21"/>
              </w:rPr>
              <w:t>Frontiers inPharmacology. doi:/10.3389/fphar.2016.00332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3</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ascii="????" w:eastAsia="????" w:cs="????" w:hAnsiTheme="minorHAnsi"/>
                <w:kern w:val="0"/>
                <w:szCs w:val="21"/>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ascii="????" w:eastAsia="????" w:cs="????" w:hAnsiTheme="minorHAnsi"/>
                <w:kern w:val="0"/>
                <w:szCs w:val="21"/>
              </w:rPr>
              <w:t>莫靖欣、赵蔚</w:t>
            </w:r>
          </w:p>
        </w:tc>
        <w:tc>
          <w:tcPr>
            <w:tcW w:w="1559" w:type="dxa"/>
            <w:tcBorders>
              <w:top w:val="single" w:color="000000" w:sz="4" w:space="0"/>
              <w:left w:val="nil"/>
              <w:bottom w:val="single" w:color="000000" w:sz="4" w:space="0"/>
              <w:right w:val="single" w:color="000000" w:sz="4" w:space="0"/>
            </w:tcBorders>
            <w:vAlign w:val="center"/>
          </w:tcPr>
          <w:p>
            <w:pPr>
              <w:autoSpaceDE w:val="0"/>
              <w:autoSpaceDN w:val="0"/>
              <w:adjustRightInd w:val="0"/>
              <w:jc w:val="left"/>
              <w:rPr>
                <w:rFonts w:ascii="????" w:eastAsia="????" w:cs="????" w:hAnsiTheme="minorHAnsi"/>
                <w:kern w:val="0"/>
                <w:szCs w:val="21"/>
              </w:rPr>
            </w:pPr>
            <w:r>
              <w:rPr>
                <w:rFonts w:ascii="????" w:eastAsia="????" w:cs="????" w:hAnsiTheme="minorHAnsi"/>
                <w:kern w:val="0"/>
                <w:szCs w:val="21"/>
              </w:rPr>
              <w:t>2016-01-01</w:t>
            </w:r>
          </w:p>
          <w:p>
            <w:pPr>
              <w:adjustRightInd w:val="0"/>
              <w:snapToGrid w:val="0"/>
              <w:spacing w:line="320" w:lineRule="exact"/>
              <w:rPr>
                <w:snapToGrid w:val="0"/>
                <w:color w:val="000000"/>
                <w:szCs w:val="21"/>
              </w:rPr>
            </w:pPr>
            <w:r>
              <w:rPr>
                <w:rFonts w:ascii="????" w:eastAsia="????" w:cs="????" w:hAnsiTheme="minorHAnsi"/>
                <w:kern w:val="0"/>
                <w:szCs w:val="21"/>
              </w:rPr>
              <w:t>2019-12-31</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ascii="????" w:eastAsia="????" w:cs="????" w:hAnsiTheme="minorHAnsi"/>
                <w:kern w:val="0"/>
                <w:szCs w:val="21"/>
              </w:rPr>
              <w:t>Drug delivery using nanoparticles for cancer stem-like celltargeting</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6</w:t>
            </w:r>
            <w:r>
              <w:rPr>
                <w:snapToGrid w:val="0"/>
                <w:color w:val="000000"/>
                <w:szCs w:val="21"/>
              </w:rPr>
              <w:t>-1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ascii="????" w:eastAsia="????" w:cs="????" w:hAnsiTheme="minorHAnsi"/>
                <w:kern w:val="0"/>
                <w:szCs w:val="21"/>
              </w:rPr>
              <w:t>Frontiers inPharmacology. doi:10.3389/fphar.2016.00084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4</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ascii="????" w:eastAsia="????" w:cs="????" w:hAnsiTheme="minorHAnsi"/>
                <w:kern w:val="0"/>
                <w:szCs w:val="21"/>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ascii="????" w:eastAsia="????" w:cs="????" w:hAnsiTheme="minorHAnsi"/>
                <w:kern w:val="0"/>
                <w:szCs w:val="21"/>
              </w:rPr>
              <w:t>莫靖欣、赵蔚</w:t>
            </w:r>
          </w:p>
        </w:tc>
        <w:tc>
          <w:tcPr>
            <w:tcW w:w="1559" w:type="dxa"/>
            <w:tcBorders>
              <w:top w:val="single" w:color="000000" w:sz="4" w:space="0"/>
              <w:left w:val="nil"/>
              <w:bottom w:val="single" w:color="000000" w:sz="4" w:space="0"/>
              <w:right w:val="single" w:color="000000" w:sz="4" w:space="0"/>
            </w:tcBorders>
            <w:vAlign w:val="center"/>
          </w:tcPr>
          <w:p>
            <w:pPr>
              <w:autoSpaceDE w:val="0"/>
              <w:autoSpaceDN w:val="0"/>
              <w:adjustRightInd w:val="0"/>
              <w:jc w:val="left"/>
              <w:rPr>
                <w:rFonts w:ascii="????" w:eastAsia="????" w:cs="????" w:hAnsiTheme="minorHAnsi"/>
                <w:kern w:val="0"/>
                <w:szCs w:val="21"/>
              </w:rPr>
            </w:pPr>
            <w:r>
              <w:rPr>
                <w:rFonts w:ascii="????" w:eastAsia="????" w:cs="????" w:hAnsiTheme="minorHAnsi"/>
                <w:kern w:val="0"/>
                <w:szCs w:val="21"/>
              </w:rPr>
              <w:t>2016-01-01</w:t>
            </w:r>
          </w:p>
          <w:p>
            <w:pPr>
              <w:adjustRightInd w:val="0"/>
              <w:snapToGrid w:val="0"/>
              <w:spacing w:line="320" w:lineRule="exact"/>
              <w:rPr>
                <w:snapToGrid w:val="0"/>
                <w:color w:val="000000"/>
                <w:szCs w:val="21"/>
              </w:rPr>
            </w:pPr>
            <w:r>
              <w:rPr>
                <w:rFonts w:ascii="????" w:eastAsia="????" w:cs="????" w:hAnsiTheme="minorHAnsi"/>
                <w:kern w:val="0"/>
                <w:szCs w:val="21"/>
              </w:rPr>
              <w:t>2019-12-31</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ascii="????" w:eastAsia="????" w:cs="????" w:hAnsiTheme="minorHAnsi"/>
                <w:kern w:val="0"/>
                <w:szCs w:val="21"/>
              </w:rPr>
              <w:t>Targeting Strategies forRenal Cell Carcinoma: From Renal Cancer Cells toRenal CancerStem Cells</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6</w:t>
            </w:r>
            <w:r>
              <w:rPr>
                <w:snapToGrid w:val="0"/>
                <w:color w:val="000000"/>
                <w:szCs w:val="21"/>
              </w:rPr>
              <w:t>-1</w:t>
            </w:r>
          </w:p>
        </w:tc>
        <w:tc>
          <w:tcPr>
            <w:tcW w:w="1134" w:type="dxa"/>
            <w:tcBorders>
              <w:top w:val="single" w:color="000000" w:sz="4" w:space="0"/>
              <w:left w:val="nil"/>
              <w:bottom w:val="single" w:color="000000" w:sz="4" w:space="0"/>
              <w:right w:val="single" w:color="000000" w:sz="4" w:space="0"/>
            </w:tcBorders>
            <w:vAlign w:val="center"/>
          </w:tcPr>
          <w:p>
            <w:pPr>
              <w:autoSpaceDE w:val="0"/>
              <w:autoSpaceDN w:val="0"/>
              <w:adjustRightInd w:val="0"/>
              <w:jc w:val="left"/>
              <w:rPr>
                <w:rFonts w:ascii="????" w:eastAsia="????" w:cs="????" w:hAnsiTheme="minorHAnsi"/>
                <w:kern w:val="0"/>
                <w:szCs w:val="21"/>
              </w:rPr>
            </w:pPr>
            <w:r>
              <w:rPr>
                <w:rFonts w:ascii="????" w:eastAsia="????" w:cs="????" w:hAnsiTheme="minorHAnsi"/>
                <w:kern w:val="0"/>
                <w:szCs w:val="21"/>
              </w:rPr>
              <w:t>Frontiers inPharmacology. doi:10.3389/fphar.2016</w:t>
            </w:r>
          </w:p>
          <w:p>
            <w:pPr>
              <w:adjustRightInd w:val="0"/>
              <w:snapToGrid w:val="0"/>
              <w:spacing w:line="320" w:lineRule="exact"/>
              <w:rPr>
                <w:snapToGrid w:val="0"/>
                <w:color w:val="000000"/>
                <w:szCs w:val="21"/>
              </w:rPr>
            </w:pPr>
            <w:r>
              <w:rPr>
                <w:rFonts w:ascii="????" w:eastAsia="????" w:cs="????" w:hAnsiTheme="minorHAnsi"/>
                <w:kern w:val="0"/>
                <w:szCs w:val="21"/>
              </w:rPr>
              <w:t>.00423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5</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ascii="????" w:eastAsia="????" w:cs="????" w:hAnsiTheme="minorHAnsi"/>
                <w:kern w:val="0"/>
                <w:szCs w:val="21"/>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ascii="????" w:eastAsia="????" w:cs="????" w:hAnsiTheme="minorHAnsi"/>
                <w:kern w:val="0"/>
                <w:szCs w:val="21"/>
              </w:rPr>
              <w:t>莫靖欣、赵蔚</w:t>
            </w:r>
          </w:p>
        </w:tc>
        <w:tc>
          <w:tcPr>
            <w:tcW w:w="1559" w:type="dxa"/>
            <w:tcBorders>
              <w:top w:val="single" w:color="000000" w:sz="4" w:space="0"/>
              <w:left w:val="nil"/>
              <w:bottom w:val="single" w:color="000000" w:sz="4" w:space="0"/>
              <w:right w:val="single" w:color="000000" w:sz="4" w:space="0"/>
            </w:tcBorders>
            <w:vAlign w:val="center"/>
          </w:tcPr>
          <w:p>
            <w:pPr>
              <w:autoSpaceDE w:val="0"/>
              <w:autoSpaceDN w:val="0"/>
              <w:adjustRightInd w:val="0"/>
              <w:jc w:val="left"/>
              <w:rPr>
                <w:rFonts w:ascii="????" w:eastAsia="????" w:cs="????" w:hAnsiTheme="minorHAnsi"/>
                <w:kern w:val="0"/>
                <w:szCs w:val="21"/>
              </w:rPr>
            </w:pPr>
            <w:r>
              <w:rPr>
                <w:rFonts w:ascii="????" w:eastAsia="????" w:cs="????" w:hAnsiTheme="minorHAnsi"/>
                <w:kern w:val="0"/>
                <w:szCs w:val="21"/>
              </w:rPr>
              <w:t>2019-01-01</w:t>
            </w:r>
          </w:p>
          <w:p>
            <w:pPr>
              <w:adjustRightInd w:val="0"/>
              <w:snapToGrid w:val="0"/>
              <w:spacing w:line="320" w:lineRule="exact"/>
              <w:rPr>
                <w:snapToGrid w:val="0"/>
                <w:color w:val="000000"/>
                <w:szCs w:val="21"/>
              </w:rPr>
            </w:pPr>
            <w:r>
              <w:rPr>
                <w:rFonts w:ascii="????" w:eastAsia="????" w:cs="????" w:hAnsiTheme="minorHAnsi"/>
                <w:kern w:val="0"/>
                <w:szCs w:val="21"/>
              </w:rPr>
              <w:t>2022-12-31</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ascii="????" w:eastAsia="????" w:cs="????" w:hAnsiTheme="minorHAnsi"/>
                <w:kern w:val="0"/>
                <w:szCs w:val="21"/>
              </w:rPr>
              <w:t>UpconversionNanoparticleBased Cell Membrane Coated cRGD Peptide Bioorthogonally Labeled Nanoplatform for Glioblastoma treatment</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6</w:t>
            </w:r>
            <w:r>
              <w:rPr>
                <w:snapToGrid w:val="0"/>
                <w:color w:val="00000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ascii="????" w:eastAsia="????" w:cs="????" w:hAnsiTheme="minorHAnsi"/>
                <w:kern w:val="0"/>
                <w:szCs w:val="21"/>
              </w:rPr>
              <w:t>ACS AppliedMaterials &amp;Interfaces,2022 Oct 27.doi: 10.1021/acsami.2c11284.</w:t>
            </w:r>
          </w:p>
        </w:tc>
      </w:tr>
    </w:tbl>
    <w:p>
      <w:pPr>
        <w:pStyle w:val="10"/>
      </w:pPr>
    </w:p>
    <w:p>
      <w:pPr>
        <w:pStyle w:val="10"/>
      </w:pPr>
      <w:r>
        <w:rPr>
          <w:rFonts w:hint="eastAsia"/>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方正黑体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124F20"/>
    <w:rsid w:val="003C164E"/>
    <w:rsid w:val="0044312C"/>
    <w:rsid w:val="0048501C"/>
    <w:rsid w:val="00563915"/>
    <w:rsid w:val="00583E9C"/>
    <w:rsid w:val="00594DCD"/>
    <w:rsid w:val="008361AC"/>
    <w:rsid w:val="009405EC"/>
    <w:rsid w:val="00A4126F"/>
    <w:rsid w:val="00B50F5D"/>
    <w:rsid w:val="00BB03A1"/>
    <w:rsid w:val="00D620A5"/>
    <w:rsid w:val="00E53629"/>
    <w:rsid w:val="00F02784"/>
    <w:rsid w:val="00F043DB"/>
    <w:rsid w:val="00FB0B1F"/>
    <w:rsid w:val="00FD0F8B"/>
    <w:rsid w:val="020D324F"/>
    <w:rsid w:val="0CC8630E"/>
    <w:rsid w:val="18D20291"/>
    <w:rsid w:val="241F02D3"/>
    <w:rsid w:val="284250BC"/>
    <w:rsid w:val="39D0466F"/>
    <w:rsid w:val="43DA1533"/>
    <w:rsid w:val="591A65C1"/>
    <w:rsid w:val="5BE93EEE"/>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27</Pages>
  <Words>4519</Words>
  <Characters>11494</Characters>
  <Lines>91</Lines>
  <Paragraphs>25</Paragraphs>
  <TotalTime>5</TotalTime>
  <ScaleCrop>false</ScaleCrop>
  <LinksUpToDate>false</LinksUpToDate>
  <CharactersWithSpaces>12585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2023-08-22T12:30:00Z</dcterms:created>
  <dc:creator>lenovo</dc:creator>
  <cp:lastModifiedBy>猫-GM</cp:lastModifiedBy>
  <dcterms:modified xsi:type="dcterms:W3CDTF">2023-08-23T09:38:01Z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