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2"/>
        <w:gridCol w:w="372"/>
        <w:gridCol w:w="784"/>
        <w:gridCol w:w="851"/>
        <w:gridCol w:w="709"/>
        <w:gridCol w:w="992"/>
        <w:gridCol w:w="850"/>
        <w:gridCol w:w="2127"/>
        <w:gridCol w:w="850"/>
        <w:gridCol w:w="6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创伤急救基础与临床关键技术集成创新及推广应用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唐华民</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王威</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朱晓玲</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阳</w:t>
            </w:r>
            <w:r>
              <w:rPr>
                <w:rFonts w:hint="eastAsia" w:ascii="仿宋_GB2312" w:hAnsi="仿宋_GB2312" w:eastAsia="仿宋_GB2312" w:cs="仿宋_GB2312"/>
                <w:sz w:val="28"/>
                <w:szCs w:val="28"/>
                <w:lang w:eastAsia="zh-Hans"/>
              </w:rPr>
              <w:t>世雄；</w:t>
            </w:r>
            <w:r>
              <w:rPr>
                <w:rFonts w:hint="eastAsia" w:ascii="仿宋_GB2312" w:hAnsi="仿宋_GB2312" w:eastAsia="仿宋_GB2312" w:cs="仿宋_GB2312"/>
                <w:sz w:val="28"/>
                <w:szCs w:val="28"/>
              </w:rPr>
              <w:t>周树武</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滕红丽；班志红</w:t>
            </w:r>
            <w:r>
              <w:rPr>
                <w:rFonts w:hint="eastAsia"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龙飞；赵湘培</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eastAsia="zh-Hans"/>
              </w:rPr>
              <w:t>蔡利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eastAsia="zh-Hans"/>
              </w:rPr>
              <w:t>广西</w:t>
            </w:r>
            <w:r>
              <w:rPr>
                <w:rFonts w:hint="eastAsia" w:ascii="仿宋_GB2312" w:hAnsi="仿宋_GB2312" w:eastAsia="仿宋_GB2312" w:cs="仿宋_GB2312"/>
                <w:sz w:val="28"/>
                <w:szCs w:val="28"/>
              </w:rPr>
              <w:t>国际壮医</w:t>
            </w:r>
            <w:r>
              <w:rPr>
                <w:rFonts w:hint="eastAsia" w:ascii="仿宋_GB2312" w:hAnsi="仿宋_GB2312" w:eastAsia="仿宋_GB2312" w:cs="仿宋_GB2312"/>
                <w:sz w:val="28"/>
                <w:szCs w:val="28"/>
                <w:lang w:eastAsia="zh-Hans"/>
              </w:rPr>
              <w:t>医院</w:t>
            </w:r>
            <w:r>
              <w:rPr>
                <w:rFonts w:ascii="仿宋_GB2312" w:hAnsi="仿宋_GB2312" w:eastAsia="仿宋_GB2312" w:cs="仿宋_GB2312"/>
                <w:sz w:val="28"/>
                <w:szCs w:val="28"/>
                <w:lang w:eastAsia="zh-Hans"/>
              </w:rPr>
              <w:t>（</w:t>
            </w:r>
            <w:r>
              <w:rPr>
                <w:rFonts w:hint="eastAsia" w:ascii="仿宋_GB2312" w:hAnsi="仿宋_GB2312" w:eastAsia="仿宋_GB2312" w:cs="仿宋_GB2312"/>
                <w:sz w:val="28"/>
                <w:szCs w:val="28"/>
                <w:lang w:eastAsia="zh-Hans"/>
              </w:rPr>
              <w:t>广西壮族自治区民族医药研究院</w:t>
            </w:r>
            <w:r>
              <w:rPr>
                <w:rFonts w:ascii="仿宋_GB2312" w:hAnsi="仿宋_GB2312" w:eastAsia="仿宋_GB2312" w:cs="仿宋_GB2312"/>
                <w:sz w:val="28"/>
                <w:szCs w:val="28"/>
                <w:lang w:eastAsia="zh-Hans"/>
              </w:rPr>
              <w:t>）</w:t>
            </w:r>
            <w:r>
              <w:rPr>
                <w:rFonts w:hint="eastAsia" w:ascii="仿宋_GB2312" w:hAnsi="仿宋_GB2312" w:eastAsia="仿宋_GB2312" w:cs="仿宋_GB2312"/>
                <w:sz w:val="28"/>
                <w:szCs w:val="28"/>
              </w:rPr>
              <w:t>、广西医科大学第一附属医院、广西医科大学第二附属医院(广西医科大学第二临床医学院)、广西壮族自治区疾病预防控制中心、</w:t>
            </w:r>
            <w:r>
              <w:rPr>
                <w:rFonts w:hint="eastAsia" w:ascii="仿宋_GB2312" w:hAnsi="仿宋_GB2312" w:eastAsia="仿宋_GB2312" w:cs="仿宋_GB2312"/>
                <w:sz w:val="28"/>
                <w:szCs w:val="28"/>
                <w:lang w:eastAsia="zh-Hans"/>
              </w:rPr>
              <w:t>南宁市第四人民医院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784"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70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992"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2127"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6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实用新型专利</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一种预弯气</w:t>
            </w:r>
            <w:r>
              <w:rPr>
                <w:rFonts w:ascii="仿宋_GB2312" w:hAnsi="仿宋_GB2312" w:eastAsia="仿宋_GB2312" w:cs="仿宋_GB2312"/>
                <w:szCs w:val="21"/>
              </w:rPr>
              <w:t>管导管</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中国</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CN207</w:t>
            </w:r>
            <w:r>
              <w:rPr>
                <w:rFonts w:ascii="Times New Roman Regular" w:hAnsi="Times New Roman Regular" w:cs="Times New Roman Regular"/>
                <w:color w:val="000000"/>
                <w:szCs w:val="21"/>
              </w:rPr>
              <w:t>950292U</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201</w:t>
            </w:r>
            <w:r>
              <w:rPr>
                <w:rFonts w:ascii="Times New Roman Regular" w:hAnsi="Times New Roman Regular" w:cs="Times New Roman Regular"/>
                <w:color w:val="000000"/>
                <w:szCs w:val="21"/>
              </w:rPr>
              <w:t>8-10-12</w:t>
            </w:r>
          </w:p>
        </w:tc>
        <w:tc>
          <w:tcPr>
            <w:tcW w:w="992"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国家知识产权局</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广西</w:t>
            </w:r>
            <w:r>
              <w:rPr>
                <w:rFonts w:hint="eastAsia" w:ascii="仿宋_GB2312" w:hAnsi="仿宋_GB2312" w:eastAsia="仿宋_GB2312" w:cs="仿宋_GB2312"/>
                <w:szCs w:val="21"/>
                <w:lang w:eastAsia="zh-Hans"/>
              </w:rPr>
              <w:t>医</w:t>
            </w:r>
            <w:r>
              <w:rPr>
                <w:rFonts w:hint="eastAsia" w:ascii="仿宋_GB2312" w:hAnsi="仿宋_GB2312" w:eastAsia="仿宋_GB2312" w:cs="仿宋_GB2312"/>
                <w:szCs w:val="21"/>
              </w:rPr>
              <w:t>科大学</w:t>
            </w: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唐华民</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有效</w:t>
            </w:r>
          </w:p>
        </w:tc>
        <w:tc>
          <w:tcPr>
            <w:tcW w:w="658"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发明专利</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鹰不扑总皂</w:t>
            </w:r>
            <w:r>
              <w:rPr>
                <w:rFonts w:ascii="仿宋_GB2312" w:hAnsi="仿宋_GB2312" w:eastAsia="仿宋_GB2312" w:cs="仿宋_GB2312"/>
                <w:szCs w:val="21"/>
              </w:rPr>
              <w:t>甙及其在制备治疗血管损伤后再狭 窄的药物中的应用</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中国</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CN112</w:t>
            </w:r>
            <w:r>
              <w:rPr>
                <w:rFonts w:ascii="Times New Roman Regular" w:hAnsi="Times New Roman Regular" w:cs="Times New Roman Regular"/>
                <w:color w:val="000000"/>
                <w:szCs w:val="21"/>
              </w:rPr>
              <w:t>656827B</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2022-0</w:t>
            </w:r>
            <w:r>
              <w:rPr>
                <w:rFonts w:ascii="Times New Roman Regular" w:hAnsi="Times New Roman Regular" w:cs="Times New Roman Regular"/>
                <w:color w:val="000000"/>
                <w:szCs w:val="21"/>
              </w:rPr>
              <w:t>2</w:t>
            </w:r>
            <w:r>
              <w:rPr>
                <w:rFonts w:hint="eastAsia" w:ascii="Times New Roman Regular" w:hAnsi="Times New Roman Regular" w:cs="Times New Roman Regular"/>
                <w:color w:val="000000"/>
                <w:szCs w:val="21"/>
              </w:rPr>
              <w:t>-1</w:t>
            </w:r>
            <w:r>
              <w:rPr>
                <w:rFonts w:ascii="Times New Roman Regular" w:hAnsi="Times New Roman Regular" w:cs="Times New Roman Regular"/>
                <w:color w:val="000000"/>
                <w:szCs w:val="21"/>
              </w:rPr>
              <w:t>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bCs/>
                <w:szCs w:val="21"/>
                <w:lang w:eastAsia="zh-Hans"/>
              </w:rPr>
              <w:t>国家知识产权局</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广西国际壮医医院</w:t>
            </w:r>
          </w:p>
        </w:tc>
        <w:tc>
          <w:tcPr>
            <w:tcW w:w="2127"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仿宋_GB2312" w:hAnsi="仿宋_GB2312" w:eastAsia="仿宋_GB2312" w:cs="仿宋_GB2312"/>
                <w:bCs/>
                <w:szCs w:val="21"/>
              </w:rPr>
              <w:t xml:space="preserve">赵湘培, </w:t>
            </w:r>
            <w:r>
              <w:rPr>
                <w:rFonts w:ascii="仿宋_GB2312" w:hAnsi="仿宋_GB2312" w:eastAsia="仿宋_GB2312" w:cs="仿宋_GB2312"/>
                <w:bCs/>
                <w:szCs w:val="21"/>
              </w:rPr>
              <w:t>滕红丽, 钟传梅, 陈少锋, 钟文</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有效</w:t>
            </w:r>
          </w:p>
        </w:tc>
        <w:tc>
          <w:tcPr>
            <w:tcW w:w="658"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国家诊</w:t>
            </w:r>
            <w:r>
              <w:rPr>
                <w:rFonts w:ascii="仿宋_GB2312" w:hAnsi="仿宋_GB2312" w:eastAsia="仿宋_GB2312" w:cs="仿宋_GB2312"/>
                <w:szCs w:val="21"/>
              </w:rPr>
              <w:t>疗规范</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非新生儿破</w:t>
            </w:r>
            <w:r>
              <w:rPr>
                <w:rFonts w:ascii="仿宋_GB2312" w:hAnsi="仿宋_GB2312" w:eastAsia="仿宋_GB2312" w:cs="仿宋_GB2312"/>
                <w:szCs w:val="21"/>
              </w:rPr>
              <w:t xml:space="preserve">伤风诊疗规范（2019年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版）</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国卫</w:t>
            </w:r>
            <w:r>
              <w:rPr>
                <w:rFonts w:ascii="仿宋_GB2312" w:hAnsi="仿宋_GB2312" w:eastAsia="仿宋_GB2312" w:cs="仿宋_GB2312"/>
                <w:szCs w:val="21"/>
              </w:rPr>
              <w:t>办</w:t>
            </w:r>
            <w:r>
              <w:rPr>
                <w:rFonts w:hint="eastAsia" w:ascii="仿宋_GB2312" w:hAnsi="仿宋_GB2312" w:eastAsia="仿宋_GB2312" w:cs="仿宋_GB2312"/>
                <w:szCs w:val="21"/>
                <w:lang w:eastAsia="zh-Hans"/>
              </w:rPr>
              <w:t>医</w:t>
            </w:r>
            <w:r>
              <w:rPr>
                <w:rFonts w:ascii="仿宋_GB2312" w:hAnsi="仿宋_GB2312" w:eastAsia="仿宋_GB2312" w:cs="仿宋_GB2312"/>
                <w:szCs w:val="21"/>
              </w:rPr>
              <w:t xml:space="preserve">函[20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19]806号</w:t>
            </w:r>
          </w:p>
        </w:tc>
        <w:tc>
          <w:tcPr>
            <w:tcW w:w="709"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Regular" w:hAnsi="Times New Roman Regular" w:cs="Times New Roman Regular"/>
                <w:color w:val="000000"/>
                <w:szCs w:val="21"/>
              </w:rPr>
              <w:t>201</w:t>
            </w:r>
            <w:r>
              <w:rPr>
                <w:rFonts w:ascii="Times New Roman Regular" w:hAnsi="Times New Roman Regular" w:cs="Times New Roman Regular"/>
                <w:color w:val="000000"/>
                <w:szCs w:val="21"/>
              </w:rPr>
              <w:t>9-10-31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国家卫生健康委员会</w:t>
            </w:r>
            <w:r>
              <w:rPr>
                <w:rFonts w:ascii="仿宋_GB2312" w:hAnsi="仿宋_GB2312" w:eastAsia="仿宋_GB2312" w:cs="仿宋_GB2312"/>
                <w:szCs w:val="21"/>
              </w:rPr>
              <w:t>办公厅</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2127"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仿宋_GB2312" w:hAnsi="仿宋_GB2312" w:eastAsia="仿宋_GB2312" w:cs="仿宋_GB2312"/>
                <w:bCs/>
                <w:szCs w:val="21"/>
                <w:lang w:eastAsia="zh-Hans"/>
              </w:rPr>
              <w:t>姜保国,陈志海,王传林,刘斯,陈庆军,邵祝军,吴纪峰,范昭,王培戈,朱政纲,兰频,李建国,郑以山,何武兵,徐哲,唐卫东,逄金满,班志红,杨树青,丁文涛,郑希福,张齐龙,杨焕,汪萱怡,马霄,马超,王青,王凌航,尹遵栋,邓继岿,李艺星,赵智娴,吴丹,吴疆,张丽,姚开虎,高源,谢旭</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p>
        </w:tc>
        <w:tc>
          <w:tcPr>
            <w:tcW w:w="658"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国家诊</w:t>
            </w:r>
            <w:r>
              <w:rPr>
                <w:rFonts w:ascii="仿宋_GB2312" w:hAnsi="仿宋_GB2312" w:eastAsia="仿宋_GB2312" w:cs="仿宋_GB2312"/>
                <w:szCs w:val="21"/>
              </w:rPr>
              <w:t>疗规范</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常见动物致伤诊疗规范（2021年版）</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国卫办[2021]417号</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snapToGrid w:val="0"/>
                <w:color w:val="000000"/>
                <w:sz w:val="24"/>
                <w:szCs w:val="24"/>
              </w:rPr>
              <w:t>2021-8-6</w:t>
            </w:r>
          </w:p>
        </w:tc>
        <w:tc>
          <w:tcPr>
            <w:tcW w:w="992"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szCs w:val="21"/>
              </w:rPr>
              <w:t>国家卫生健康委员会</w:t>
            </w:r>
            <w:r>
              <w:rPr>
                <w:rFonts w:ascii="仿宋_GB2312" w:hAnsi="仿宋_GB2312" w:eastAsia="仿宋_GB2312" w:cs="仿宋_GB2312"/>
                <w:szCs w:val="21"/>
              </w:rPr>
              <w:t>办公厅</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王传林</w:t>
            </w:r>
            <w:r>
              <w:rPr>
                <w:rFonts w:ascii="仿宋_GB2312" w:hAnsi="仿宋_GB2312" w:eastAsia="仿宋_GB2312" w:cs="仿宋_GB2312"/>
                <w:szCs w:val="21"/>
              </w:rPr>
              <w:t>,殷文武,陈庆军,刘斯,范昭,白峰,宾文凯,陈名智,邓玖旭,丁庆明,杜望,杜哲,冯祖欣,郭慧,郭贯成,郭树彬,郭志涛,何武兵,黄磊,菅向东,蒋荣猛,康新,康建华,兰频,李明,李洪臣,李建国,李其斌,李永武,李宗浩,梁子敬,林起庆,刘珵,刘凤娥,陆军,吕新军,苗冬滨,潘群婕,皮党育,邱泽武,曲晨,石斌,唐华民,唐映利,王博,王敬,王威,王华峰,王培戈,魏蜀一,王万春,王义宣,王志伟,吾路汗·马汗,吴纪峰,吴俊华,吴凌峰,肖敏,谢璐涛,谢增如,徐哲,薛乔升,颜长护,杨凯春,杨树青,张艳,张志升,张中良,赵宇,郑以山,朱思奇,朱政纲,庄鸿志,庄天从</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p>
        </w:tc>
        <w:tc>
          <w:tcPr>
            <w:tcW w:w="658" w:type="dxa"/>
            <w:tcMar>
              <w:left w:w="57" w:type="dxa"/>
              <w:right w:w="57" w:type="dxa"/>
            </w:tcMar>
            <w:vAlign w:val="center"/>
          </w:tcPr>
          <w:p>
            <w:pPr>
              <w:spacing w:line="260" w:lineRule="exact"/>
              <w:jc w:val="center"/>
              <w:rPr>
                <w:rFonts w:ascii="仿宋_GB2312" w:hAnsi="仿宋_GB2312" w:eastAsia="仿宋_GB2312" w:cs="仿宋_GB2312"/>
                <w:bCs/>
                <w:szCs w:val="21"/>
                <w:lang w:eastAsia="zh-Hans"/>
              </w:rPr>
            </w:pPr>
            <w:r>
              <w:rPr>
                <w:rFonts w:hint="eastAsia" w:ascii="仿宋_GB2312" w:hAnsi="仿宋_GB2312" w:eastAsia="仿宋_GB2312" w:cs="仿宋_GB2312"/>
                <w:bCs/>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484"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78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85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709"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992"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5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2127"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50" w:type="dxa"/>
            <w:tcMar>
              <w:left w:w="57" w:type="dxa"/>
              <w:right w:w="57" w:type="dxa"/>
            </w:tcMar>
            <w:vAlign w:val="center"/>
          </w:tcPr>
          <w:p>
            <w:pPr>
              <w:spacing w:line="260" w:lineRule="exact"/>
              <w:jc w:val="center"/>
              <w:rPr>
                <w:rFonts w:ascii="黑体" w:hAnsi="黑体" w:eastAsia="黑体" w:cs="黑体"/>
                <w:bCs/>
                <w:sz w:val="18"/>
                <w:szCs w:val="18"/>
              </w:rPr>
            </w:pPr>
          </w:p>
        </w:tc>
        <w:tc>
          <w:tcPr>
            <w:tcW w:w="658"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严重胸外伤</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合并多发伤</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紧急救治探</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讨</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广西医</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科大学</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学报</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 xml:space="preserve">唐华民, </w:t>
            </w:r>
            <w:r>
              <w:rPr>
                <w:rFonts w:ascii="仿宋_GB2312" w:hAnsi="仿宋_GB2312" w:eastAsia="仿宋_GB2312" w:cs="仿宋_GB2312"/>
                <w:szCs w:val="21"/>
              </w:rPr>
              <w:t>赵会民, 张剑锋, 凌志安,曾光,赵劲民,潘磊</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2012</w:t>
            </w:r>
            <w:r>
              <w:rPr>
                <w:rFonts w:ascii="Times New Roman Regular" w:hAnsi="Times New Roman Regular" w:cs="Times New Roman Regular"/>
                <w:color w:val="000000"/>
                <w:szCs w:val="21"/>
              </w:rPr>
              <w:t>,29(4) :601-602</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2012</w:t>
            </w:r>
            <w:r>
              <w:rPr>
                <w:rFonts w:ascii="Times New Roman Regular" w:hAnsi="Times New Roman Regular" w:cs="Times New Roman Regular"/>
                <w:color w:val="000000"/>
                <w:szCs w:val="21"/>
              </w:rPr>
              <w:t>-04-01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赵会</w:t>
            </w:r>
            <w:r>
              <w:rPr>
                <w:rFonts w:ascii="仿宋_GB2312" w:hAnsi="仿宋_GB2312" w:eastAsia="仿宋_GB2312" w:cs="仿宋_GB2312"/>
                <w:szCs w:val="21"/>
              </w:rPr>
              <w:t>民</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唐华民</w:t>
            </w: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rPr>
              <w:t xml:space="preserve">广西医科大学第一附 </w:t>
            </w:r>
          </w:p>
          <w:p>
            <w:pPr>
              <w:spacing w:line="260" w:lineRule="exact"/>
              <w:jc w:val="center"/>
              <w:rPr>
                <w:rFonts w:ascii="仿宋_GB2312" w:hAnsi="仿宋_GB2312" w:eastAsia="仿宋_GB2312" w:cs="仿宋_GB2312"/>
                <w:szCs w:val="21"/>
                <w:lang w:eastAsia="zh-Hans"/>
              </w:rPr>
            </w:pPr>
            <w:r>
              <w:rPr>
                <w:rFonts w:ascii="仿宋_GB2312" w:hAnsi="仿宋_GB2312" w:eastAsia="仿宋_GB2312" w:cs="仿宋_GB2312"/>
                <w:szCs w:val="21"/>
              </w:rPr>
              <w:t>属医院</w:t>
            </w:r>
          </w:p>
        </w:tc>
        <w:tc>
          <w:tcPr>
            <w:tcW w:w="850"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两种手术方</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式治疗高血</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压脑出血的</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对比研究</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中华急</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诊医学</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杂志</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唐华民, </w:t>
            </w:r>
            <w:r>
              <w:rPr>
                <w:rFonts w:ascii="仿宋_GB2312" w:hAnsi="仿宋_GB2312" w:eastAsia="仿宋_GB2312" w:cs="仿宋_GB2312"/>
                <w:szCs w:val="21"/>
              </w:rPr>
              <w:t>周建国, 张剑锋, 赵会民,龙飞,黄丽轩,曾</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光</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2018,</w:t>
            </w:r>
            <w:r>
              <w:rPr>
                <w:rFonts w:ascii="Times New Roman Regular" w:hAnsi="Times New Roman Regular" w:cs="Times New Roman Regular"/>
                <w:color w:val="000000"/>
                <w:szCs w:val="21"/>
              </w:rPr>
              <w:t>27(4) :425-429</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201</w:t>
            </w:r>
            <w:r>
              <w:rPr>
                <w:rFonts w:ascii="Times New Roman Regular" w:hAnsi="Times New Roman Regular" w:cs="Times New Roman Regular"/>
                <w:color w:val="000000"/>
                <w:szCs w:val="21"/>
              </w:rPr>
              <w:t>8-04-01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曾光</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唐华民</w:t>
            </w: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广西医科大学第二附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属医院 </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PC cine MRI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对急性颅内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高压致脑疝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动物模型的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脑脊液动力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学监测研究</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中华急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诊医学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杂志</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周建国, </w:t>
            </w:r>
            <w:r>
              <w:rPr>
                <w:rFonts w:ascii="仿宋_GB2312" w:hAnsi="仿宋_GB2312" w:eastAsia="仿宋_GB2312" w:cs="仿宋_GB2312"/>
                <w:szCs w:val="21"/>
              </w:rPr>
              <w:t xml:space="preserve">朱晓玲, 韦武鹏, 黄丽轩, 冯永彪, 张灵,马相飞,李伟雄,张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剑锋,欧和生,唐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华民</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201</w:t>
            </w:r>
            <w:r>
              <w:rPr>
                <w:rFonts w:ascii="Times New Roman Regular" w:hAnsi="Times New Roman Regular" w:cs="Times New Roman Regular"/>
                <w:color w:val="000000"/>
                <w:szCs w:val="21"/>
              </w:rPr>
              <w:t>9</w:t>
            </w:r>
            <w:r>
              <w:rPr>
                <w:rFonts w:hint="eastAsia" w:ascii="Times New Roman Regular" w:hAnsi="Times New Roman Regular" w:cs="Times New Roman Regular"/>
                <w:color w:val="000000"/>
                <w:szCs w:val="21"/>
              </w:rPr>
              <w:t>,</w:t>
            </w:r>
            <w:r>
              <w:rPr>
                <w:rFonts w:ascii="Times New Roman Regular" w:hAnsi="Times New Roman Regular" w:cs="Times New Roman Regular"/>
                <w:color w:val="000000"/>
                <w:szCs w:val="21"/>
              </w:rPr>
              <w:t>28(5) :584-590</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201</w:t>
            </w:r>
            <w:r>
              <w:rPr>
                <w:rFonts w:ascii="Times New Roman Regular" w:hAnsi="Times New Roman Regular" w:cs="Times New Roman Regular"/>
                <w:color w:val="000000"/>
                <w:szCs w:val="21"/>
              </w:rPr>
              <w:t>9-05-01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唐华</w:t>
            </w:r>
            <w:r>
              <w:rPr>
                <w:rFonts w:ascii="仿宋_GB2312" w:hAnsi="仿宋_GB2312" w:eastAsia="仿宋_GB2312" w:cs="仿宋_GB2312"/>
                <w:szCs w:val="21"/>
              </w:rPr>
              <w:t>民</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周建国</w:t>
            </w:r>
          </w:p>
        </w:tc>
        <w:tc>
          <w:tcPr>
            <w:tcW w:w="2127" w:type="dxa"/>
            <w:tcMar>
              <w:left w:w="57" w:type="dxa"/>
              <w:right w:w="57" w:type="dxa"/>
            </w:tcMar>
            <w:vAlign w:val="center"/>
          </w:tcPr>
          <w:p>
            <w:pPr>
              <w:spacing w:line="260" w:lineRule="exact"/>
              <w:jc w:val="left"/>
              <w:rPr>
                <w:rFonts w:ascii="仿宋_GB2312" w:hAnsi="仿宋_GB2312" w:eastAsia="仿宋_GB2312" w:cs="仿宋_GB2312"/>
                <w:szCs w:val="21"/>
              </w:rPr>
            </w:pPr>
            <w:r>
              <w:rPr>
                <w:rFonts w:hint="eastAsia" w:ascii="仿宋_GB2312" w:hAnsi="仿宋_GB2312" w:eastAsia="仿宋_GB2312" w:cs="仿宋_GB2312"/>
                <w:szCs w:val="21"/>
              </w:rPr>
              <w:t xml:space="preserve">广西医科大学第二附 </w:t>
            </w:r>
            <w:r>
              <w:rPr>
                <w:rFonts w:ascii="仿宋_GB2312" w:hAnsi="仿宋_GB2312" w:eastAsia="仿宋_GB2312" w:cs="仿宋_GB2312"/>
                <w:szCs w:val="21"/>
              </w:rPr>
              <w:t>属医院、广西医科大学研究生院、南宁市第一人民医院、广西医科大学第一附属医院、广西国际壮医医院</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超早期颅内</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钻孔引流对</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猪急性颅内</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高压合并脑</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疝的作用研</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究</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中国急</w:t>
            </w:r>
            <w:r>
              <w:rPr>
                <w:rFonts w:ascii="仿宋_GB2312" w:hAnsi="仿宋_GB2312" w:eastAsia="仿宋_GB2312" w:cs="仿宋_GB2312"/>
                <w:szCs w:val="21"/>
              </w:rPr>
              <w:t>救医学</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吴红月, </w:t>
            </w:r>
            <w:r>
              <w:rPr>
                <w:rFonts w:ascii="仿宋_GB2312" w:hAnsi="仿宋_GB2312" w:eastAsia="仿宋_GB2312" w:cs="仿宋_GB2312"/>
                <w:szCs w:val="21"/>
              </w:rPr>
              <w:t>朱晓玲, 李小蝶, 牟思曈, 陈少锋, 邹晓素, 唐日新, 孙婷,滕红丽,唐华民</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23</w:t>
            </w:r>
            <w:r>
              <w:rPr>
                <w:rFonts w:hint="eastAsia" w:ascii="Times New Roman Regular" w:hAnsi="Times New Roman Regular" w:cs="Times New Roman Regular"/>
                <w:color w:val="000000"/>
                <w:szCs w:val="21"/>
              </w:rPr>
              <w:t>,</w:t>
            </w:r>
            <w:r>
              <w:rPr>
                <w:rFonts w:ascii="Times New Roman Regular" w:hAnsi="Times New Roman Regular" w:cs="Times New Roman Regular"/>
                <w:color w:val="000000"/>
                <w:szCs w:val="21"/>
              </w:rPr>
              <w:t>43(7) :442-446</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23-07-01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唐华</w:t>
            </w:r>
            <w:r>
              <w:rPr>
                <w:rFonts w:ascii="仿宋_GB2312" w:hAnsi="仿宋_GB2312" w:eastAsia="仿宋_GB2312" w:cs="仿宋_GB2312"/>
                <w:szCs w:val="21"/>
              </w:rPr>
              <w:t>民</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吴红月</w:t>
            </w: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广西医科大学第二附</w:t>
            </w:r>
            <w:r>
              <w:rPr>
                <w:rFonts w:ascii="仿宋_GB2312" w:hAnsi="仿宋_GB2312" w:eastAsia="仿宋_GB2312" w:cs="仿宋_GB2312"/>
                <w:szCs w:val="21"/>
              </w:rPr>
              <w:t>属医院、广西中医药大学、广西国际壮医医院</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南宁市交通</w:t>
            </w:r>
            <w:r>
              <w:rPr>
                <w:rFonts w:ascii="仿宋_GB2312" w:hAnsi="仿宋_GB2312" w:eastAsia="仿宋_GB2312" w:cs="仿宋_GB2312"/>
                <w:szCs w:val="21"/>
              </w:rPr>
              <w:t>伤院前急救流行病学分析</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中华灾</w:t>
            </w:r>
            <w:r>
              <w:rPr>
                <w:rFonts w:ascii="仿宋_GB2312" w:hAnsi="仿宋_GB2312" w:eastAsia="仿宋_GB2312" w:cs="仿宋_GB2312"/>
                <w:szCs w:val="21"/>
              </w:rPr>
              <w:t>难救援医学</w:t>
            </w: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廖凯,张</w:t>
            </w:r>
            <w:r>
              <w:rPr>
                <w:rFonts w:ascii="仿宋_GB2312" w:hAnsi="仿宋_GB2312" w:eastAsia="仿宋_GB2312" w:cs="仿宋_GB2312"/>
                <w:szCs w:val="21"/>
              </w:rPr>
              <w:t>剑锋,冯基花,阳世雄</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21</w:t>
            </w:r>
            <w:r>
              <w:rPr>
                <w:rFonts w:hint="eastAsia" w:ascii="Times New Roman Regular" w:hAnsi="Times New Roman Regular" w:cs="Times New Roman Regular"/>
                <w:color w:val="000000"/>
                <w:szCs w:val="21"/>
              </w:rPr>
              <w:t>,</w:t>
            </w:r>
            <w:r>
              <w:rPr>
                <w:rFonts w:ascii="Times New Roman Regular" w:hAnsi="Times New Roman Regular" w:cs="Times New Roman Regular"/>
                <w:color w:val="000000"/>
                <w:szCs w:val="21"/>
              </w:rPr>
              <w:t>9(6) :1062-1065</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21-06-01</w:t>
            </w: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阳世雄</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廖凯</w:t>
            </w: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南宁急救医疗中心南</w:t>
            </w:r>
            <w:r>
              <w:rPr>
                <w:rFonts w:ascii="仿宋_GB2312" w:hAnsi="仿宋_GB2312" w:eastAsia="仿宋_GB2312" w:cs="仿宋_GB2312"/>
                <w:szCs w:val="21"/>
              </w:rPr>
              <w:t>湖急救站、南宁市疾病控制中心、 广西医科大学第二附属医院</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lang w:eastAsia="zh-Hans"/>
              </w:rPr>
              <w:t>Strategies to in Terrupt RAbies Transmission for the Elimination Goal by 2030 In China (STRATEGIC): a</w:t>
            </w:r>
            <w:r>
              <w:rPr>
                <w:rFonts w:ascii="Times New Roman Regular" w:hAnsi="Times New Roman Regular" w:cs="Times New Roman Regular"/>
                <w:color w:val="000000"/>
                <w:szCs w:val="21"/>
                <w:lang w:eastAsia="zh-Hans"/>
              </w:rPr>
              <w:t xml:space="preserve"> </w:t>
            </w:r>
            <w:r>
              <w:rPr>
                <w:rFonts w:hint="eastAsia" w:ascii="Times New Roman Regular" w:hAnsi="Times New Roman Regular" w:cs="Times New Roman Regular"/>
                <w:color w:val="000000"/>
                <w:szCs w:val="21"/>
                <w:lang w:eastAsia="zh-Hans"/>
              </w:rPr>
              <w:t>modelling study</w:t>
            </w:r>
          </w:p>
        </w:tc>
        <w:tc>
          <w:tcPr>
            <w:tcW w:w="1484" w:type="dxa"/>
            <w:gridSpan w:val="2"/>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lang w:eastAsia="zh-Hans"/>
              </w:rPr>
              <w:t>BMC Medicine</w:t>
            </w:r>
          </w:p>
        </w:tc>
        <w:tc>
          <w:tcPr>
            <w:tcW w:w="784"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 xml:space="preserve">Qiulan </w:t>
            </w:r>
            <w:r>
              <w:rPr>
                <w:rFonts w:ascii="Times New Roman Regular" w:hAnsi="Times New Roman Regular" w:cs="Times New Roman Regular"/>
                <w:color w:val="000000"/>
                <w:szCs w:val="21"/>
              </w:rPr>
              <w:t>Chen,Qiuping Liu,Chao Gong,Wenwu Yin,Di Mu,Yu Li,Shujun Ding,Yifang Liu,Hao Yang,Shuwu Zhou,Sa Chen,Zhongfa Tao,Yanping Zhang,Xun Tang</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lang w:eastAsia="zh-Hans"/>
              </w:rPr>
              <w:t>2023</w:t>
            </w:r>
            <w:r>
              <w:rPr>
                <w:rFonts w:ascii="Times New Roman Regular" w:hAnsi="Times New Roman Regular" w:cs="Times New Roman Regular"/>
                <w:color w:val="000000"/>
                <w:szCs w:val="21"/>
                <w:lang w:eastAsia="zh-Hans"/>
              </w:rPr>
              <w:t>,</w:t>
            </w:r>
            <w:r>
              <w:rPr>
                <w:rFonts w:hint="eastAsia" w:ascii="Times New Roman Regular" w:hAnsi="Times New Roman Regular" w:cs="Times New Roman Regular"/>
                <w:color w:val="000000"/>
                <w:szCs w:val="21"/>
                <w:lang w:eastAsia="zh-Hans"/>
              </w:rPr>
              <w:t>21 (1): 100</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23-03-16</w:t>
            </w:r>
          </w:p>
        </w:tc>
        <w:tc>
          <w:tcPr>
            <w:tcW w:w="992"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ascii="Times New Roman Regular" w:hAnsi="Times New Roman Regular" w:cs="Times New Roman Regular"/>
                <w:color w:val="000000"/>
                <w:szCs w:val="21"/>
              </w:rPr>
              <w:t>Y</w:t>
            </w:r>
            <w:r>
              <w:rPr>
                <w:rFonts w:hint="eastAsia" w:ascii="Times New Roman Regular" w:hAnsi="Times New Roman Regular" w:cs="Times New Roman Regular"/>
                <w:color w:val="000000"/>
                <w:szCs w:val="21"/>
              </w:rPr>
              <w:t>anpi</w:t>
            </w:r>
            <w:r>
              <w:rPr>
                <w:rFonts w:ascii="Times New Roman Regular" w:hAnsi="Times New Roman Regular" w:cs="Times New Roman Regular"/>
                <w:color w:val="000000"/>
                <w:szCs w:val="21"/>
              </w:rPr>
              <w:t>ng Zhang,Xun Tang</w:t>
            </w:r>
          </w:p>
        </w:tc>
        <w:tc>
          <w:tcPr>
            <w:tcW w:w="850"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Qiulan Chen,Qiuping Liu,Chao Gong</w:t>
            </w:r>
          </w:p>
        </w:tc>
        <w:tc>
          <w:tcPr>
            <w:tcW w:w="2127"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 xml:space="preserve">Chinese Center for </w:t>
            </w:r>
            <w:r>
              <w:rPr>
                <w:rFonts w:ascii="Times New Roman Regular" w:hAnsi="Times New Roman Regular" w:cs="Times New Roman Regular"/>
                <w:color w:val="000000"/>
                <w:szCs w:val="21"/>
              </w:rPr>
              <w:t>Disease Control and Prevention,Peking University School,Shandong Center for Disease Control and Preventio,Tianjin Centers for Disease Control and Prevention,Hunan Provincial Center for Disease Control and Prevention,Guangxi Zhuang Autonomous Region Center for Disease Prevention and Control,Shaanxi Provincial Center for Disease Control and Prevention,Guizhou Center for Disease Control and Prevention</w:t>
            </w: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675" w:type="dxa"/>
            <w:tcMar>
              <w:left w:w="57" w:type="dxa"/>
              <w:right w:w="57" w:type="dxa"/>
            </w:tcMar>
            <w:vAlign w:val="center"/>
          </w:tcPr>
          <w:p>
            <w:pPr>
              <w:widowControl/>
              <w:jc w:val="center"/>
              <w:rPr>
                <w:rFonts w:hint="eastAsia" w:ascii="Times New Roman Regular" w:hAnsi="Times New Roman Regular" w:cs="Times New Roman Regular"/>
                <w:color w:val="000000"/>
                <w:szCs w:val="21"/>
              </w:rPr>
            </w:pPr>
            <w:r>
              <w:rPr>
                <w:rFonts w:hint="eastAsia" w:ascii="Times New Roman Regular" w:hAnsi="Times New Roman Regular" w:cs="Times New Roman Regular"/>
                <w:color w:val="000000"/>
                <w:szCs w:val="21"/>
                <w:lang w:eastAsia="zh-Hans"/>
              </w:rPr>
              <w:t>Calpeptin Reduces Neurobehavioral Deficits and Neuronal Apoptosis Following Subarachnoid Hemorrhage in Rats</w:t>
            </w:r>
          </w:p>
        </w:tc>
        <w:tc>
          <w:tcPr>
            <w:tcW w:w="1484" w:type="dxa"/>
            <w:gridSpan w:val="2"/>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lang w:eastAsia="zh-Hans"/>
              </w:rPr>
              <w:t>J Stroke Cerebrovasc Dis</w:t>
            </w:r>
          </w:p>
        </w:tc>
        <w:tc>
          <w:tcPr>
            <w:tcW w:w="784"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Zhou YD</w:t>
            </w:r>
            <w:r>
              <w:rPr>
                <w:rFonts w:ascii="Times New Roman Regular" w:hAnsi="Times New Roman Regular" w:cs="Times New Roman Regular"/>
                <w:color w:val="000000"/>
                <w:szCs w:val="21"/>
              </w:rPr>
              <w:t>,Cai L</w:t>
            </w:r>
          </w:p>
        </w:tc>
        <w:tc>
          <w:tcPr>
            <w:tcW w:w="851"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lang w:eastAsia="zh-Hans"/>
              </w:rPr>
              <w:t>2019</w:t>
            </w:r>
            <w:r>
              <w:rPr>
                <w:rFonts w:ascii="Times New Roman Regular" w:hAnsi="Times New Roman Regular" w:cs="Times New Roman Regular"/>
                <w:color w:val="000000"/>
                <w:szCs w:val="21"/>
                <w:lang w:eastAsia="zh-Hans"/>
              </w:rPr>
              <w:t>,</w:t>
            </w:r>
            <w:r>
              <w:rPr>
                <w:rFonts w:hint="eastAsia" w:ascii="Times New Roman Regular" w:hAnsi="Times New Roman Regular" w:cs="Times New Roman Regular"/>
                <w:color w:val="000000"/>
                <w:szCs w:val="21"/>
                <w:lang w:eastAsia="zh-Hans"/>
              </w:rPr>
              <w:t>28(1):125-132</w:t>
            </w:r>
          </w:p>
        </w:tc>
        <w:tc>
          <w:tcPr>
            <w:tcW w:w="709"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hint="eastAsia" w:ascii="Times New Roman Regular" w:hAnsi="Times New Roman Regular" w:cs="Times New Roman Regular"/>
                <w:color w:val="000000"/>
                <w:szCs w:val="21"/>
              </w:rPr>
              <w:t>20</w:t>
            </w:r>
            <w:r>
              <w:rPr>
                <w:rFonts w:ascii="Times New Roman Regular" w:hAnsi="Times New Roman Regular" w:cs="Times New Roman Regular"/>
                <w:color w:val="000000"/>
                <w:szCs w:val="21"/>
              </w:rPr>
              <w:t>19-01-01</w:t>
            </w:r>
          </w:p>
        </w:tc>
        <w:tc>
          <w:tcPr>
            <w:tcW w:w="992" w:type="dxa"/>
            <w:tcMar>
              <w:left w:w="57" w:type="dxa"/>
              <w:right w:w="57" w:type="dxa"/>
            </w:tcMar>
            <w:vAlign w:val="center"/>
          </w:tcPr>
          <w:p>
            <w:pPr>
              <w:widowControl/>
              <w:jc w:val="center"/>
              <w:rPr>
                <w:rFonts w:ascii="宋体" w:hAnsi="宋体"/>
                <w:color w:val="000000"/>
                <w:szCs w:val="21"/>
                <w:lang w:eastAsia="zh-Hans"/>
              </w:rPr>
            </w:pPr>
            <w:r>
              <w:rPr>
                <w:rFonts w:hint="eastAsia" w:ascii="宋体" w:hAnsi="宋体"/>
                <w:color w:val="000000"/>
                <w:szCs w:val="21"/>
                <w:lang w:eastAsia="zh-Hans"/>
              </w:rPr>
              <w:t>无</w:t>
            </w:r>
          </w:p>
        </w:tc>
        <w:tc>
          <w:tcPr>
            <w:tcW w:w="850"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ascii="Times New Roman Regular" w:hAnsi="Times New Roman Regular" w:cs="Times New Roman Regular"/>
                <w:color w:val="000000"/>
                <w:szCs w:val="21"/>
              </w:rPr>
              <w:t>Zhou YD,Cai L</w:t>
            </w:r>
          </w:p>
        </w:tc>
        <w:tc>
          <w:tcPr>
            <w:tcW w:w="2127" w:type="dxa"/>
            <w:tcMar>
              <w:left w:w="57" w:type="dxa"/>
              <w:right w:w="57" w:type="dxa"/>
            </w:tcMar>
            <w:vAlign w:val="center"/>
          </w:tcPr>
          <w:p>
            <w:pPr>
              <w:widowControl/>
              <w:jc w:val="center"/>
              <w:rPr>
                <w:rFonts w:hint="eastAsia" w:ascii="Times New Roman Regular" w:hAnsi="Times New Roman Regular" w:cs="Times New Roman Regular"/>
                <w:color w:val="000000"/>
                <w:szCs w:val="21"/>
                <w:lang w:eastAsia="zh-Hans"/>
              </w:rPr>
            </w:pPr>
            <w:r>
              <w:rPr>
                <w:rFonts w:ascii="Times New Roman Regular" w:hAnsi="Times New Roman Regular" w:cs="Times New Roman Regular"/>
                <w:color w:val="000000"/>
                <w:szCs w:val="21"/>
              </w:rPr>
              <w:t>Xiangyang Central Hospital Affiliated to Hubei University of Arts and Science</w:t>
            </w:r>
          </w:p>
        </w:tc>
        <w:tc>
          <w:tcPr>
            <w:tcW w:w="850" w:type="dxa"/>
            <w:tcMar>
              <w:left w:w="57" w:type="dxa"/>
              <w:right w:w="57" w:type="dxa"/>
            </w:tcMar>
            <w:vAlign w:val="center"/>
          </w:tcPr>
          <w:p>
            <w:pPr>
              <w:widowControl/>
              <w:jc w:val="center"/>
              <w:rPr>
                <w:rFonts w:ascii="宋体" w:hAnsi="宋体"/>
                <w:color w:val="000000"/>
                <w:szCs w:val="21"/>
                <w:lang w:eastAsia="zh-Hans"/>
              </w:rPr>
            </w:pPr>
          </w:p>
        </w:tc>
        <w:tc>
          <w:tcPr>
            <w:tcW w:w="658" w:type="dxa"/>
            <w:tcMar>
              <w:left w:w="57" w:type="dxa"/>
              <w:right w:w="57" w:type="dxa"/>
            </w:tcMar>
            <w:vAlign w:val="center"/>
          </w:tcPr>
          <w:p>
            <w:pPr>
              <w:widowControl/>
              <w:jc w:val="center"/>
              <w:rPr>
                <w:rFonts w:ascii="宋体" w:hAnsi="宋体"/>
                <w:color w:val="000000"/>
                <w:szCs w:val="21"/>
                <w:lang w:eastAsia="zh-Hans"/>
              </w:rPr>
            </w:pPr>
            <w:r>
              <w:rPr>
                <w:rFonts w:hint="eastAsia" w:ascii="仿宋_GB2312" w:hAnsi="仿宋_GB2312" w:eastAsia="仿宋_GB2312" w:cs="仿宋_GB2312"/>
                <w:szCs w:val="21"/>
                <w:lang w:eastAsia="zh-Hans"/>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78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70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992"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2127"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无</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9"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92"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2127"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tcMar>
              <w:left w:w="57" w:type="dxa"/>
              <w:right w:w="57" w:type="dxa"/>
            </w:tcMar>
            <w:vAlign w:val="center"/>
          </w:tcPr>
          <w:p>
            <w:pPr>
              <w:spacing w:line="260" w:lineRule="exact"/>
              <w:jc w:val="center"/>
              <w:rPr>
                <w:sz w:val="18"/>
                <w:szCs w:val="18"/>
              </w:rPr>
            </w:pPr>
            <w:r>
              <w:rPr>
                <w:sz w:val="18"/>
                <w:szCs w:val="18"/>
              </w:rPr>
              <w:t>科普作品名称</w:t>
            </w:r>
          </w:p>
        </w:tc>
        <w:tc>
          <w:tcPr>
            <w:tcW w:w="1484" w:type="dxa"/>
            <w:gridSpan w:val="2"/>
            <w:tcMar>
              <w:left w:w="57" w:type="dxa"/>
              <w:right w:w="57" w:type="dxa"/>
            </w:tcMar>
            <w:vAlign w:val="center"/>
          </w:tcPr>
          <w:p>
            <w:pPr>
              <w:spacing w:line="260" w:lineRule="exact"/>
              <w:jc w:val="center"/>
              <w:rPr>
                <w:sz w:val="18"/>
                <w:szCs w:val="18"/>
              </w:rPr>
            </w:pPr>
            <w:r>
              <w:rPr>
                <w:sz w:val="18"/>
                <w:szCs w:val="18"/>
              </w:rPr>
              <w:t>版号</w:t>
            </w:r>
          </w:p>
        </w:tc>
        <w:tc>
          <w:tcPr>
            <w:tcW w:w="784" w:type="dxa"/>
            <w:tcMar>
              <w:left w:w="57" w:type="dxa"/>
              <w:right w:w="57" w:type="dxa"/>
            </w:tcMar>
            <w:vAlign w:val="center"/>
          </w:tcPr>
          <w:p>
            <w:pPr>
              <w:spacing w:line="260" w:lineRule="exact"/>
              <w:jc w:val="center"/>
              <w:rPr>
                <w:sz w:val="18"/>
                <w:szCs w:val="18"/>
              </w:rPr>
            </w:pPr>
            <w:r>
              <w:rPr>
                <w:sz w:val="18"/>
                <w:szCs w:val="18"/>
              </w:rPr>
              <w:t>作者或主编</w:t>
            </w:r>
          </w:p>
        </w:tc>
        <w:tc>
          <w:tcPr>
            <w:tcW w:w="851" w:type="dxa"/>
            <w:tcMar>
              <w:left w:w="57" w:type="dxa"/>
              <w:right w:w="57" w:type="dxa"/>
            </w:tcMar>
            <w:vAlign w:val="center"/>
          </w:tcPr>
          <w:p>
            <w:pPr>
              <w:spacing w:line="260" w:lineRule="exact"/>
              <w:jc w:val="center"/>
              <w:rPr>
                <w:sz w:val="18"/>
                <w:szCs w:val="18"/>
              </w:rPr>
            </w:pPr>
            <w:r>
              <w:rPr>
                <w:sz w:val="18"/>
                <w:szCs w:val="18"/>
              </w:rPr>
              <w:t>出版时间（年月日）</w:t>
            </w:r>
          </w:p>
        </w:tc>
        <w:tc>
          <w:tcPr>
            <w:tcW w:w="709" w:type="dxa"/>
            <w:tcMar>
              <w:left w:w="57" w:type="dxa"/>
              <w:right w:w="57" w:type="dxa"/>
            </w:tcMar>
            <w:vAlign w:val="center"/>
          </w:tcPr>
          <w:p>
            <w:pPr>
              <w:spacing w:line="260" w:lineRule="exact"/>
              <w:jc w:val="center"/>
              <w:rPr>
                <w:sz w:val="18"/>
                <w:szCs w:val="18"/>
              </w:rPr>
            </w:pPr>
            <w:r>
              <w:rPr>
                <w:sz w:val="18"/>
                <w:szCs w:val="18"/>
              </w:rPr>
              <w:t>出版单位</w:t>
            </w:r>
          </w:p>
        </w:tc>
        <w:tc>
          <w:tcPr>
            <w:tcW w:w="992" w:type="dxa"/>
            <w:tcMar>
              <w:left w:w="57" w:type="dxa"/>
              <w:right w:w="57" w:type="dxa"/>
            </w:tcMar>
            <w:vAlign w:val="center"/>
          </w:tcPr>
          <w:p>
            <w:pPr>
              <w:spacing w:line="260" w:lineRule="exact"/>
              <w:jc w:val="center"/>
              <w:rPr>
                <w:sz w:val="18"/>
                <w:szCs w:val="18"/>
              </w:rPr>
            </w:pPr>
            <w:r>
              <w:rPr>
                <w:sz w:val="18"/>
                <w:szCs w:val="18"/>
              </w:rPr>
              <w:t>是否为丛书</w:t>
            </w:r>
          </w:p>
        </w:tc>
        <w:tc>
          <w:tcPr>
            <w:tcW w:w="850" w:type="dxa"/>
            <w:tcMar>
              <w:left w:w="57" w:type="dxa"/>
              <w:right w:w="57" w:type="dxa"/>
            </w:tcMar>
            <w:vAlign w:val="center"/>
          </w:tcPr>
          <w:p>
            <w:pPr>
              <w:spacing w:line="260" w:lineRule="exact"/>
              <w:jc w:val="center"/>
              <w:rPr>
                <w:sz w:val="18"/>
                <w:szCs w:val="18"/>
              </w:rPr>
            </w:pPr>
            <w:r>
              <w:rPr>
                <w:sz w:val="18"/>
                <w:szCs w:val="18"/>
              </w:rPr>
              <w:t>丛书册数</w:t>
            </w:r>
          </w:p>
        </w:tc>
        <w:tc>
          <w:tcPr>
            <w:tcW w:w="2127" w:type="dxa"/>
            <w:tcMar>
              <w:left w:w="57" w:type="dxa"/>
              <w:right w:w="57" w:type="dxa"/>
            </w:tcMar>
            <w:vAlign w:val="center"/>
          </w:tcPr>
          <w:p>
            <w:pPr>
              <w:spacing w:line="260" w:lineRule="exact"/>
              <w:jc w:val="center"/>
              <w:rPr>
                <w:sz w:val="18"/>
                <w:szCs w:val="18"/>
              </w:rPr>
            </w:pPr>
          </w:p>
        </w:tc>
        <w:tc>
          <w:tcPr>
            <w:tcW w:w="850" w:type="dxa"/>
            <w:tcMar>
              <w:left w:w="57" w:type="dxa"/>
              <w:right w:w="57" w:type="dxa"/>
            </w:tcMar>
            <w:vAlign w:val="center"/>
          </w:tcPr>
          <w:p>
            <w:pPr>
              <w:spacing w:line="260" w:lineRule="exact"/>
              <w:jc w:val="center"/>
              <w:rPr>
                <w:sz w:val="18"/>
                <w:szCs w:val="18"/>
              </w:rPr>
            </w:pPr>
          </w:p>
        </w:tc>
        <w:tc>
          <w:tcPr>
            <w:tcW w:w="658"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5" w:type="dxa"/>
            <w:tcMar>
              <w:left w:w="57" w:type="dxa"/>
              <w:right w:w="57" w:type="dxa"/>
            </w:tcMar>
            <w:vAlign w:val="center"/>
          </w:tcPr>
          <w:p>
            <w:pPr>
              <w:spacing w:line="260" w:lineRule="exact"/>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无</w:t>
            </w:r>
          </w:p>
        </w:tc>
        <w:tc>
          <w:tcPr>
            <w:tcW w:w="1484"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78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9"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92"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2127"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658"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eastAsia="zh-Hans"/>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eastAsia="zh-Hans"/>
              </w:rPr>
              <w:t>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广西国际壮医医院是集“医疗、教学、科研、康复、保健、壮瑶医推广应用、制剂研发、民族医药文化传承和国际交流”九大功能于一体的全国较大、广西首个综合性现代化国际化三级甲等民族医医院，也是广西中医药大学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项目取得以下科技创新：创新性提出创伤急救E-MDT快速一体化急救模式，解决了创伤急救快速救治综合配套技术难题，实现创伤急危重症的院前院内无缝隙衔接、整体化急救处置，使大量的创伤危重症患者得到及时有效救治，救治成功率99%，平均救治时间较传统创伤救治模式缩短60min</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集成创新损伤控制“微创急救”关键核心技术，创新性运用大口径吸痰管快速清理口腔异物，预弯导管精准气管插管诊疗技术，解决了创伤的气道、呼吸管理快速评估和救治问题，建立了严重创伤患者“黄金1小时”救治标准流程</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首次建立广西巴马猪重型颅脑损伤模型并进行急诊pc cine MRI评价，创新性提出急性颅内高压合并脑疝模型的诊断标准，为进一步损伤控制神经外科研究打下了基础（如超早期钻孔引流降低颅内高压救治脑疝）</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国内首创建立动物致伤处置重点门诊。</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负责人唐华民 </w:t>
            </w:r>
            <w:r>
              <w:rPr>
                <w:rFonts w:ascii="仿宋_GB2312" w:hAnsi="仿宋_GB2312" w:eastAsia="仿宋_GB2312" w:cs="仿宋_GB2312"/>
                <w:szCs w:val="21"/>
              </w:rPr>
              <w:t xml:space="preserve">2018 </w:t>
            </w:r>
            <w:r>
              <w:rPr>
                <w:rFonts w:hint="eastAsia" w:ascii="仿宋_GB2312" w:hAnsi="仿宋_GB2312" w:eastAsia="仿宋_GB2312" w:cs="仿宋_GB2312"/>
                <w:szCs w:val="21"/>
              </w:rPr>
              <w:t xml:space="preserve">年 </w:t>
            </w:r>
            <w:r>
              <w:rPr>
                <w:rFonts w:ascii="仿宋_GB2312" w:hAnsi="仿宋_GB2312" w:eastAsia="仿宋_GB2312" w:cs="仿宋_GB2312"/>
                <w:szCs w:val="21"/>
              </w:rPr>
              <w:t xml:space="preserve">8 </w:t>
            </w:r>
            <w:r>
              <w:rPr>
                <w:rFonts w:hint="eastAsia" w:ascii="仿宋_GB2312" w:hAnsi="仿宋_GB2312" w:eastAsia="仿宋_GB2312" w:cs="仿宋_GB2312"/>
                <w:szCs w:val="21"/>
              </w:rPr>
              <w:t>月至今就职于广西国际壮医医院，</w:t>
            </w:r>
            <w:r>
              <w:rPr>
                <w:rFonts w:ascii="仿宋_GB2312" w:hAnsi="仿宋_GB2312" w:eastAsia="仿宋_GB2312" w:cs="仿宋_GB2312"/>
                <w:szCs w:val="21"/>
              </w:rPr>
              <w:t xml:space="preserve">2016 </w:t>
            </w:r>
            <w:r>
              <w:rPr>
                <w:rFonts w:hint="eastAsia" w:ascii="仿宋_GB2312" w:hAnsi="仿宋_GB2312" w:eastAsia="仿宋_GB2312" w:cs="仿宋_GB2312"/>
                <w:szCs w:val="21"/>
              </w:rPr>
              <w:t xml:space="preserve">年 </w:t>
            </w:r>
            <w:r>
              <w:rPr>
                <w:rFonts w:ascii="仿宋_GB2312" w:hAnsi="仿宋_GB2312" w:eastAsia="仿宋_GB2312" w:cs="仿宋_GB2312"/>
                <w:szCs w:val="21"/>
              </w:rPr>
              <w:t xml:space="preserve">12 </w:t>
            </w:r>
            <w:r>
              <w:rPr>
                <w:rFonts w:hint="eastAsia" w:ascii="仿宋_GB2312" w:hAnsi="仿宋_GB2312" w:eastAsia="仿宋_GB2312" w:cs="仿宋_GB2312"/>
                <w:szCs w:val="21"/>
              </w:rPr>
              <w:t>月</w:t>
            </w:r>
            <w:r>
              <w:rPr>
                <w:rFonts w:ascii="仿宋_GB2312" w:hAnsi="仿宋_GB2312" w:eastAsia="仿宋_GB2312" w:cs="仿宋_GB2312"/>
                <w:szCs w:val="21"/>
              </w:rPr>
              <w:t xml:space="preserve">-2018 </w:t>
            </w:r>
            <w:r>
              <w:rPr>
                <w:rFonts w:hint="eastAsia" w:ascii="仿宋_GB2312" w:hAnsi="仿宋_GB2312" w:eastAsia="仿宋_GB2312" w:cs="仿宋_GB2312"/>
                <w:szCs w:val="21"/>
              </w:rPr>
              <w:t xml:space="preserve">年 </w:t>
            </w:r>
            <w:r>
              <w:rPr>
                <w:rFonts w:ascii="仿宋_GB2312" w:hAnsi="仿宋_GB2312" w:eastAsia="仿宋_GB2312" w:cs="仿宋_GB2312"/>
                <w:szCs w:val="21"/>
              </w:rPr>
              <w:t xml:space="preserve">7 </w:t>
            </w:r>
            <w:r>
              <w:rPr>
                <w:rFonts w:hint="eastAsia" w:ascii="仿宋_GB2312" w:hAnsi="仿宋_GB2312" w:eastAsia="仿宋_GB2312" w:cs="仿宋_GB2312"/>
                <w:szCs w:val="21"/>
              </w:rPr>
              <w:t>月就职于广西医科大学第二附属医院，</w:t>
            </w:r>
            <w:r>
              <w:rPr>
                <w:rFonts w:ascii="仿宋_GB2312" w:hAnsi="仿宋_GB2312" w:eastAsia="仿宋_GB2312" w:cs="仿宋_GB2312"/>
                <w:szCs w:val="21"/>
              </w:rPr>
              <w:t xml:space="preserve">2007 </w:t>
            </w:r>
            <w:r>
              <w:rPr>
                <w:rFonts w:hint="eastAsia" w:ascii="仿宋_GB2312" w:hAnsi="仿宋_GB2312" w:eastAsia="仿宋_GB2312" w:cs="仿宋_GB2312"/>
                <w:szCs w:val="21"/>
              </w:rPr>
              <w:t xml:space="preserve">年 </w:t>
            </w:r>
            <w:r>
              <w:rPr>
                <w:rFonts w:ascii="仿宋_GB2312" w:hAnsi="仿宋_GB2312" w:eastAsia="仿宋_GB2312" w:cs="仿宋_GB2312"/>
                <w:szCs w:val="21"/>
              </w:rPr>
              <w:t xml:space="preserve">7 </w:t>
            </w:r>
            <w:r>
              <w:rPr>
                <w:rFonts w:hint="eastAsia" w:ascii="仿宋_GB2312" w:hAnsi="仿宋_GB2312" w:eastAsia="仿宋_GB2312" w:cs="仿宋_GB2312"/>
                <w:szCs w:val="21"/>
              </w:rPr>
              <w:t>月</w:t>
            </w:r>
            <w:r>
              <w:rPr>
                <w:rFonts w:ascii="仿宋_GB2312" w:hAnsi="仿宋_GB2312" w:eastAsia="仿宋_GB2312" w:cs="仿宋_GB2312"/>
                <w:szCs w:val="21"/>
              </w:rPr>
              <w:t xml:space="preserve">-2016 </w:t>
            </w:r>
            <w:r>
              <w:rPr>
                <w:rFonts w:hint="eastAsia" w:ascii="仿宋_GB2312" w:hAnsi="仿宋_GB2312" w:eastAsia="仿宋_GB2312" w:cs="仿宋_GB2312"/>
                <w:szCs w:val="21"/>
              </w:rPr>
              <w:t xml:space="preserve">年 </w:t>
            </w:r>
            <w:r>
              <w:rPr>
                <w:rFonts w:ascii="仿宋_GB2312" w:hAnsi="仿宋_GB2312" w:eastAsia="仿宋_GB2312" w:cs="仿宋_GB2312"/>
                <w:szCs w:val="21"/>
              </w:rPr>
              <w:t xml:space="preserve">11 </w:t>
            </w:r>
            <w:r>
              <w:rPr>
                <w:rFonts w:hint="eastAsia" w:ascii="仿宋_GB2312" w:hAnsi="仿宋_GB2312" w:eastAsia="仿宋_GB2312" w:cs="仿宋_GB2312"/>
                <w:szCs w:val="21"/>
              </w:rPr>
              <w:t>月就职于广西医科大学第一附属医院。曾与王威、龙飞为同事关系，共同在临床与基础研究方面开展工作。具体合作关系如下：</w:t>
            </w:r>
          </w:p>
          <w:p>
            <w:pPr>
              <w:numPr>
                <w:ilvl w:val="0"/>
                <w:numId w:val="1"/>
              </w:num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与王威共同执笔撰写《常见动物致伤诊疗规范（</w:t>
            </w:r>
            <w:r>
              <w:rPr>
                <w:rFonts w:ascii="仿宋_GB2312" w:hAnsi="仿宋_GB2312" w:eastAsia="仿宋_GB2312" w:cs="仿宋_GB2312"/>
                <w:szCs w:val="21"/>
              </w:rPr>
              <w:t xml:space="preserve">2021 </w:t>
            </w:r>
            <w:r>
              <w:rPr>
                <w:rFonts w:hint="eastAsia" w:ascii="仿宋_GB2312" w:hAnsi="仿宋_GB2312" w:eastAsia="仿宋_GB2312" w:cs="仿宋_GB2312"/>
                <w:szCs w:val="21"/>
              </w:rPr>
              <w:t>年版）》、《动物致伤致病与规范化防治》，解决了缺乏动物致伤规范化处置问题；</w:t>
            </w:r>
          </w:p>
          <w:p>
            <w:pPr>
              <w:numPr>
                <w:ilvl w:val="0"/>
                <w:numId w:val="1"/>
              </w:num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与朱晓玲发表论文《</w:t>
            </w:r>
            <w:r>
              <w:rPr>
                <w:rFonts w:ascii="仿宋_GB2312" w:hAnsi="仿宋_GB2312" w:eastAsia="仿宋_GB2312" w:cs="仿宋_GB2312"/>
                <w:szCs w:val="21"/>
              </w:rPr>
              <w:t xml:space="preserve">PC cine MRI </w:t>
            </w:r>
            <w:r>
              <w:rPr>
                <w:rFonts w:hint="eastAsia" w:ascii="仿宋_GB2312" w:hAnsi="仿宋_GB2312" w:eastAsia="仿宋_GB2312" w:cs="仿宋_GB2312"/>
                <w:szCs w:val="21"/>
              </w:rPr>
              <w:t>对急性颅内高压致脑疝动物模型的脑脊液动力学监测研究》、《超早期颅内钻孔引流对猪急性颅内高压合并脑疝的作用研究》，解决创伤急救快速救治综合配套技术难题，使重型颅脑损伤急救机理得到阐明，获得新型实用型专利《一种预弯大口径吸痰管》、《一种用于颅底骨折鼻腔大出血的填塞止血装置》，集成创新损伤控制“微创急救”关键核心技术，并共同执笔撰写《动物致伤致病与规范化防治》；</w:t>
            </w:r>
          </w:p>
          <w:p>
            <w:pPr>
              <w:numPr>
                <w:ilvl w:val="0"/>
                <w:numId w:val="1"/>
              </w:num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与龙飞在重型颅脑损伤救治方面长期进行临床、科研合作，发表论文《两种手术方式治疗高血压脑出血的对比研究》；</w:t>
            </w:r>
          </w:p>
          <w:p>
            <w:pPr>
              <w:numPr>
                <w:ilvl w:val="0"/>
                <w:numId w:val="1"/>
              </w:num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与阳世雄长期在院前急救、创伤救治领域进行学术合作，共同承担广西医疗卫生适宜技术开发与推广应用项目（</w:t>
            </w:r>
            <w:r>
              <w:rPr>
                <w:rFonts w:ascii="仿宋_GB2312" w:hAnsi="仿宋_GB2312" w:eastAsia="仿宋_GB2312" w:cs="仿宋_GB2312"/>
                <w:szCs w:val="21"/>
              </w:rPr>
              <w:t>s2020004)</w:t>
            </w:r>
            <w:r>
              <w:rPr>
                <w:rFonts w:hint="eastAsia" w:ascii="仿宋_GB2312" w:hAnsi="仿宋_GB2312" w:eastAsia="仿宋_GB2312" w:cs="仿宋_GB2312"/>
                <w:szCs w:val="21"/>
              </w:rPr>
              <w:t>“紧急多学科团队在合并胸部损伤多发伤救治中的集成创新研究与技术推广”；</w:t>
            </w:r>
          </w:p>
          <w:p>
            <w:pPr>
              <w:numPr>
                <w:ilvl w:val="0"/>
                <w:numId w:val="1"/>
              </w:num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与周树武在狂犬病防控、犬伤处置重点门诊建设方面进行合作，发起成立广西动物致伤防治联盟，将国家规范指南推向基层。 </w:t>
            </w:r>
          </w:p>
          <w:p>
            <w:pPr>
              <w:adjustRightInd w:val="0"/>
              <w:snapToGrid w:val="0"/>
              <w:spacing w:line="406" w:lineRule="exact"/>
              <w:rPr>
                <w:snapToGrid w:val="0"/>
                <w:color w:val="000000"/>
                <w:sz w:val="28"/>
                <w:szCs w:val="28"/>
              </w:rPr>
            </w:pPr>
          </w:p>
          <w:p>
            <w:pPr>
              <w:adjustRightInd w:val="0"/>
              <w:snapToGrid w:val="0"/>
              <w:spacing w:line="406" w:lineRule="exact"/>
              <w:rPr>
                <w:snapToGrid w:val="0"/>
                <w:color w:val="000000"/>
                <w:sz w:val="28"/>
                <w:szCs w:val="28"/>
              </w:rPr>
            </w:pP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6"/>
        <w:gridCol w:w="1154"/>
        <w:gridCol w:w="877"/>
        <w:gridCol w:w="1415"/>
        <w:gridCol w:w="2246"/>
        <w:gridCol w:w="1124"/>
        <w:gridCol w:w="1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1</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共同开展科技合作</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Hans"/>
              </w:rPr>
              <w:t>王威</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2016</w:t>
            </w:r>
            <w:r>
              <w:rPr>
                <w:rFonts w:hint="eastAsia"/>
                <w:snapToGrid w:val="0"/>
                <w:color w:val="000000"/>
                <w:szCs w:val="21"/>
                <w:lang w:eastAsia="zh-Hans"/>
              </w:rPr>
              <w:t>年</w:t>
            </w:r>
            <w:r>
              <w:rPr>
                <w:rFonts w:hint="eastAsia"/>
                <w:snapToGrid w:val="0"/>
                <w:color w:val="000000"/>
                <w:szCs w:val="21"/>
              </w:rPr>
              <w:t>-至今</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国家诊疗规范《</w:t>
            </w:r>
            <w:r>
              <w:rPr>
                <w:rFonts w:hint="eastAsia"/>
                <w:snapToGrid w:val="0"/>
                <w:color w:val="000000"/>
                <w:szCs w:val="21"/>
                <w:lang w:eastAsia="zh-Hans"/>
              </w:rPr>
              <w:t>常见动物致伤诊疗规范（2021年版）</w:t>
            </w:r>
            <w:r>
              <w:rPr>
                <w:rFonts w:hint="eastAsia"/>
                <w:snapToGrid w:val="0"/>
                <w:color w:val="000000"/>
                <w:szCs w:val="21"/>
              </w:rPr>
              <w:t>》</w:t>
            </w:r>
            <w:r>
              <w:rPr>
                <w:snapToGrid w:val="0"/>
                <w:color w:val="000000"/>
                <w:szCs w:val="21"/>
              </w:rPr>
              <w:t>、</w:t>
            </w:r>
            <w:r>
              <w:rPr>
                <w:rFonts w:hint="eastAsia"/>
                <w:snapToGrid w:val="0"/>
                <w:color w:val="000000"/>
                <w:szCs w:val="21"/>
              </w:rPr>
              <w:t>专著</w:t>
            </w:r>
            <w:r>
              <w:rPr>
                <w:snapToGrid w:val="0"/>
                <w:color w:val="000000"/>
                <w:szCs w:val="21"/>
              </w:rPr>
              <w:t>《</w:t>
            </w:r>
            <w:r>
              <w:rPr>
                <w:rFonts w:hint="eastAsia"/>
                <w:snapToGrid w:val="0"/>
                <w:color w:val="000000"/>
                <w:szCs w:val="21"/>
                <w:lang w:eastAsia="zh-Hans"/>
              </w:rPr>
              <w:t>动物致伤致病与规范化防治</w:t>
            </w:r>
            <w:r>
              <w:rPr>
                <w:snapToGrid w:val="0"/>
                <w:color w:val="000000"/>
                <w:szCs w:val="21"/>
              </w:rPr>
              <w:t>》</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6-1</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国家诊疗规范</w:t>
            </w:r>
            <w:r>
              <w:rPr>
                <w:snapToGrid w:val="0"/>
                <w:color w:val="000000"/>
                <w:szCs w:val="21"/>
              </w:rPr>
              <w:t>《常见动物致伤诊疗规范（2021年版）》为附件1-10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2</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共同开展科技合作</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Hans"/>
              </w:rPr>
              <w:t>朱晓玲</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201</w:t>
            </w:r>
            <w:r>
              <w:rPr>
                <w:rFonts w:hint="eastAsia"/>
                <w:snapToGrid w:val="0"/>
                <w:color w:val="000000"/>
                <w:szCs w:val="21"/>
              </w:rPr>
              <w:t>7</w:t>
            </w:r>
            <w:r>
              <w:rPr>
                <w:rFonts w:hint="eastAsia"/>
                <w:snapToGrid w:val="0"/>
                <w:color w:val="000000"/>
                <w:szCs w:val="21"/>
                <w:lang w:eastAsia="zh-Hans"/>
              </w:rPr>
              <w:t>年</w:t>
            </w:r>
            <w:r>
              <w:rPr>
                <w:rFonts w:hint="eastAsia"/>
                <w:snapToGrid w:val="0"/>
                <w:color w:val="000000"/>
                <w:szCs w:val="21"/>
              </w:rPr>
              <w:t>-至今</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lang w:eastAsia="zh-Hans"/>
              </w:rPr>
            </w:pPr>
            <w:r>
              <w:rPr>
                <w:rFonts w:hint="eastAsia"/>
                <w:snapToGrid w:val="0"/>
                <w:color w:val="000000"/>
                <w:szCs w:val="21"/>
                <w:lang w:eastAsia="zh-Hans"/>
              </w:rPr>
              <w:t xml:space="preserve">论文《PC cine MRI对急性颅内高压致脑疝动物模型的脑脊液动力学监测研究》 </w:t>
            </w:r>
            <w:r>
              <w:rPr>
                <w:snapToGrid w:val="0"/>
                <w:color w:val="000000"/>
                <w:szCs w:val="21"/>
                <w:lang w:eastAsia="zh-Hans"/>
              </w:rPr>
              <w:t>、</w:t>
            </w:r>
            <w:r>
              <w:rPr>
                <w:rFonts w:hint="eastAsia"/>
                <w:snapToGrid w:val="0"/>
                <w:color w:val="000000"/>
                <w:szCs w:val="21"/>
                <w:lang w:eastAsia="zh-Hans"/>
              </w:rPr>
              <w:t>论文</w:t>
            </w:r>
            <w:r>
              <w:rPr>
                <w:rFonts w:hint="eastAsia"/>
                <w:snapToGrid w:val="0"/>
                <w:color w:val="000000"/>
                <w:szCs w:val="21"/>
              </w:rPr>
              <w:t>《</w:t>
            </w:r>
            <w:r>
              <w:rPr>
                <w:rFonts w:hint="eastAsia"/>
                <w:snapToGrid w:val="0"/>
                <w:color w:val="000000"/>
                <w:szCs w:val="21"/>
                <w:lang w:eastAsia="zh-Hans"/>
              </w:rPr>
              <w:t>超早期颅内钻孔引流对猪急性颅内高压合并脑疝的作用研究</w:t>
            </w:r>
            <w:r>
              <w:rPr>
                <w:rFonts w:hint="eastAsia"/>
                <w:snapToGrid w:val="0"/>
                <w:color w:val="000000"/>
                <w:szCs w:val="21"/>
              </w:rPr>
              <w:t>》</w:t>
            </w:r>
            <w:r>
              <w:rPr>
                <w:snapToGrid w:val="0"/>
                <w:color w:val="000000"/>
                <w:szCs w:val="21"/>
              </w:rPr>
              <w:t>、</w:t>
            </w:r>
            <w:r>
              <w:rPr>
                <w:rFonts w:hint="eastAsia"/>
                <w:snapToGrid w:val="0"/>
                <w:color w:val="000000"/>
                <w:szCs w:val="21"/>
                <w:lang w:eastAsia="zh-Hans"/>
              </w:rPr>
              <w:t>专著</w:t>
            </w:r>
            <w:r>
              <w:rPr>
                <w:snapToGrid w:val="0"/>
                <w:color w:val="000000"/>
                <w:szCs w:val="21"/>
                <w:lang w:eastAsia="zh-Hans"/>
              </w:rPr>
              <w:t>《</w:t>
            </w:r>
            <w:r>
              <w:rPr>
                <w:rFonts w:hint="eastAsia"/>
                <w:snapToGrid w:val="0"/>
                <w:color w:val="000000"/>
                <w:szCs w:val="21"/>
                <w:lang w:eastAsia="zh-Hans"/>
              </w:rPr>
              <w:t>动物致伤致病与规范化防治</w:t>
            </w:r>
            <w:r>
              <w:rPr>
                <w:snapToGrid w:val="0"/>
                <w:color w:val="000000"/>
                <w:szCs w:val="21"/>
                <w:lang w:eastAsia="zh-Hans"/>
              </w:rPr>
              <w:t>》、</w:t>
            </w:r>
            <w:r>
              <w:rPr>
                <w:rFonts w:hint="eastAsia"/>
                <w:snapToGrid w:val="0"/>
                <w:color w:val="000000"/>
                <w:szCs w:val="21"/>
              </w:rPr>
              <w:t>新型</w:t>
            </w:r>
            <w:r>
              <w:rPr>
                <w:snapToGrid w:val="0"/>
                <w:color w:val="000000"/>
                <w:szCs w:val="21"/>
              </w:rPr>
              <w:t>实用型专利《一种预弯大口径吸痰管》、《一种用于颅底骨折鼻腔大出血的填塞止血装置》</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lang w:eastAsia="zh-Hans"/>
              </w:rPr>
            </w:pPr>
            <w:r>
              <w:rPr>
                <w:rFonts w:hint="eastAsia"/>
                <w:snapToGrid w:val="0"/>
                <w:color w:val="000000"/>
                <w:szCs w:val="21"/>
              </w:rPr>
              <w:t>6-</w:t>
            </w:r>
            <w:r>
              <w:rPr>
                <w:snapToGrid w:val="0"/>
                <w:color w:val="000000"/>
                <w:szCs w:val="21"/>
              </w:rPr>
              <w:t>2</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lang w:eastAsia="zh-Hans"/>
              </w:rPr>
            </w:pPr>
            <w:r>
              <w:rPr>
                <w:rFonts w:hint="eastAsia"/>
                <w:snapToGrid w:val="0"/>
                <w:color w:val="000000"/>
                <w:szCs w:val="21"/>
              </w:rPr>
              <w:t>论文《</w:t>
            </w:r>
            <w:r>
              <w:rPr>
                <w:snapToGrid w:val="0"/>
                <w:color w:val="000000"/>
                <w:szCs w:val="21"/>
              </w:rPr>
              <w:t>PC cine MRI对急性颅内高压致脑疝动物模型的脑脊液动力学监测研究》为附件1-3，论文《超早期颅内钻孔引流对猪急性颅内高压合并脑疝的作用研究》为附件1-4，专著《动物致伤致病与规范化防治》为附件6-1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3</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共同开展科技</w:t>
            </w:r>
            <w:r>
              <w:rPr>
                <w:snapToGrid w:val="0"/>
                <w:color w:val="000000"/>
                <w:szCs w:val="21"/>
              </w:rPr>
              <w:t>、</w:t>
            </w:r>
            <w:r>
              <w:rPr>
                <w:rFonts w:hint="eastAsia"/>
                <w:snapToGrid w:val="0"/>
                <w:color w:val="000000"/>
                <w:szCs w:val="21"/>
              </w:rPr>
              <w:t>临床合作</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Hans"/>
              </w:rPr>
              <w:t>阳世雄</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2018年-至今</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lang w:eastAsia="zh-Hans"/>
              </w:rPr>
            </w:pPr>
            <w:r>
              <w:rPr>
                <w:rFonts w:hint="eastAsia"/>
                <w:snapToGrid w:val="0"/>
                <w:color w:val="000000"/>
                <w:szCs w:val="21"/>
              </w:rPr>
              <w:t>广西医疗卫生</w:t>
            </w:r>
            <w:r>
              <w:rPr>
                <w:snapToGrid w:val="0"/>
                <w:color w:val="000000"/>
                <w:szCs w:val="21"/>
              </w:rPr>
              <w:t>适宜技术开发与推广应用项 目（s2020004 )</w:t>
            </w:r>
            <w:r>
              <w:rPr>
                <w:rFonts w:hint="eastAsia"/>
                <w:snapToGrid w:val="0"/>
                <w:color w:val="000000"/>
                <w:szCs w:val="21"/>
                <w:lang w:eastAsia="zh-Hans"/>
              </w:rPr>
              <w:t>“紧急多学科团队在合并胸部损伤多发伤救治中的集成创新研究与技术推广”</w:t>
            </w:r>
            <w:r>
              <w:rPr>
                <w:rFonts w:hint="eastAsia"/>
                <w:snapToGrid w:val="0"/>
                <w:color w:val="000000"/>
                <w:szCs w:val="21"/>
              </w:rPr>
              <w:t>，犬伤处置重点门诊建立并规范化预防狂犬病破伤风</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lang w:eastAsia="zh-Hans"/>
              </w:rPr>
            </w:pPr>
            <w:r>
              <w:rPr>
                <w:rFonts w:hint="eastAsia"/>
                <w:snapToGrid w:val="0"/>
                <w:color w:val="000000"/>
                <w:szCs w:val="21"/>
              </w:rPr>
              <w:t>6-</w:t>
            </w:r>
            <w:r>
              <w:rPr>
                <w:snapToGrid w:val="0"/>
                <w:color w:val="000000"/>
                <w:szCs w:val="21"/>
              </w:rPr>
              <w:t>3</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lang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4</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共同开展临床合作</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Hans"/>
              </w:rPr>
              <w:t>周树武</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2019年-至今</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犬伤处置重点门诊建立及规范化推广</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6-</w:t>
            </w:r>
            <w:r>
              <w:rPr>
                <w:snapToGrid w:val="0"/>
                <w:color w:val="000000"/>
                <w:szCs w:val="21"/>
              </w:rPr>
              <w:t>4</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64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5</w:t>
            </w:r>
          </w:p>
        </w:tc>
        <w:tc>
          <w:tcPr>
            <w:tcW w:w="115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rPr>
              <w:t>共同开展临床合作</w:t>
            </w:r>
          </w:p>
        </w:tc>
        <w:tc>
          <w:tcPr>
            <w:tcW w:w="87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Hans"/>
              </w:rPr>
              <w:t>龙飞</w:t>
            </w:r>
          </w:p>
        </w:tc>
        <w:tc>
          <w:tcPr>
            <w:tcW w:w="1415"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2012</w:t>
            </w:r>
            <w:r>
              <w:rPr>
                <w:rFonts w:hint="eastAsia"/>
                <w:snapToGrid w:val="0"/>
                <w:color w:val="000000"/>
                <w:szCs w:val="21"/>
              </w:rPr>
              <w:t>年-至今</w:t>
            </w:r>
          </w:p>
        </w:tc>
        <w:tc>
          <w:tcPr>
            <w:tcW w:w="2246"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宋体" w:hAnsi="宋体"/>
                <w:color w:val="000000"/>
                <w:szCs w:val="21"/>
                <w:lang w:eastAsia="zh-Hans"/>
              </w:rPr>
              <w:t>论文</w:t>
            </w:r>
            <w:r>
              <w:rPr>
                <w:rFonts w:hint="eastAsia" w:ascii="宋体" w:hAnsi="宋体"/>
                <w:color w:val="000000"/>
                <w:szCs w:val="21"/>
              </w:rPr>
              <w:t>《两种手术方式治疗高血压脑出血的对比研究》</w:t>
            </w:r>
          </w:p>
        </w:tc>
        <w:tc>
          <w:tcPr>
            <w:tcW w:w="112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snapToGrid w:val="0"/>
                <w:color w:val="000000"/>
                <w:szCs w:val="21"/>
              </w:rPr>
              <w:t>1</w:t>
            </w:r>
            <w:r>
              <w:rPr>
                <w:rFonts w:hint="eastAsia"/>
                <w:snapToGrid w:val="0"/>
                <w:color w:val="000000"/>
                <w:szCs w:val="21"/>
              </w:rPr>
              <w:t>-</w:t>
            </w:r>
            <w:r>
              <w:rPr>
                <w:snapToGrid w:val="0"/>
                <w:color w:val="000000"/>
                <w:szCs w:val="21"/>
              </w:rPr>
              <w:t>2</w:t>
            </w:r>
          </w:p>
        </w:tc>
        <w:tc>
          <w:tcPr>
            <w:tcW w:w="1800"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 New Roman Regular">
    <w:altName w:val="Times New Roman"/>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F7614F"/>
    <w:multiLevelType w:val="singleLevel"/>
    <w:tmpl w:val="77F7614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CC8630E"/>
    <w:rsid w:val="0015633A"/>
    <w:rsid w:val="00157C3E"/>
    <w:rsid w:val="0048501C"/>
    <w:rsid w:val="00FB0B1F"/>
    <w:rsid w:val="00FD0F8B"/>
    <w:rsid w:val="02801AB0"/>
    <w:rsid w:val="03EB11CF"/>
    <w:rsid w:val="0CC8630E"/>
    <w:rsid w:val="14EADF02"/>
    <w:rsid w:val="241F02D3"/>
    <w:rsid w:val="2A4B60B0"/>
    <w:rsid w:val="43DA1533"/>
    <w:rsid w:val="45AB6B3A"/>
    <w:rsid w:val="591A65C1"/>
    <w:rsid w:val="59DF20AD"/>
    <w:rsid w:val="5BE93EEE"/>
    <w:rsid w:val="6CF38051"/>
    <w:rsid w:val="73BC66FB"/>
    <w:rsid w:val="77A07CD2"/>
    <w:rsid w:val="7CCE4F9A"/>
    <w:rsid w:val="A6B75856"/>
    <w:rsid w:val="BF3F0E83"/>
    <w:rsid w:val="D6DF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782</Words>
  <Characters>4464</Characters>
  <Lines>37</Lines>
  <Paragraphs>10</Paragraphs>
  <TotalTime>12</TotalTime>
  <ScaleCrop>false</ScaleCrop>
  <LinksUpToDate>false</LinksUpToDate>
  <CharactersWithSpaces>5236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2023-08-23T02:01:00Z</dcterms:created>
  <dc:creator>lenovo</dc:creator>
  <cp:lastModifiedBy>猫-GM</cp:lastModifiedBy>
  <dcterms:modified xsi:type="dcterms:W3CDTF">2023-08-23T09:37:05Z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