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基于脑肠互动及肝郁脾虚理论探索肠易激综合征中医诊疗机制与推广应用示范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张涛、</w:t>
            </w:r>
            <w:r>
              <w:rPr>
                <w:rFonts w:hint="eastAsia" w:ascii="仿宋_GB2312" w:hAnsi="仿宋_GB2312" w:eastAsia="仿宋_GB2312" w:cs="仿宋_GB2312"/>
                <w:color w:val="auto"/>
                <w:sz w:val="28"/>
                <w:szCs w:val="28"/>
                <w:lang w:val="en-US" w:eastAsia="zh-CN"/>
              </w:rPr>
              <w:t>潘锋、陈远能、黄适、黄晓燕、陈小芬、张馨月、廖美华、朱梓铭、赖冬萍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广西中医药大学附属瑞康医院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自治区</w:t>
            </w:r>
            <w:r>
              <w:rPr>
                <w:rFonts w:hint="eastAsia" w:ascii="仿宋_GB2312" w:hAnsi="仿宋_GB2312" w:eastAsia="仿宋_GB2312" w:cs="仿宋_GB2312"/>
                <w:sz w:val="28"/>
                <w:szCs w:val="28"/>
                <w:lang w:val="en-US" w:eastAsia="zh-CN"/>
              </w:rPr>
              <w:t>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hint="eastAsia" w:ascii="黑体" w:hAnsi="黑体" w:eastAsia="黑体" w:cs="黑体"/>
                <w:bCs/>
                <w:sz w:val="18"/>
                <w:szCs w:val="18"/>
                <w:lang w:eastAsia="zh-CN"/>
              </w:rPr>
            </w:pPr>
            <w:r>
              <w:rPr>
                <w:rFonts w:hint="eastAsia" w:ascii="黑体" w:hAnsi="黑体" w:eastAsia="黑体" w:cs="黑体"/>
                <w:bCs/>
                <w:sz w:val="18"/>
                <w:szCs w:val="18"/>
              </w:rPr>
              <w:t>证书编号</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rPr>
              <w:t>专利</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rPr>
              <w:t>一种消化系统用的肛肠给药器</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中国</w:t>
            </w:r>
          </w:p>
        </w:tc>
        <w:tc>
          <w:tcPr>
            <w:tcW w:w="97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rPr>
              <w:t>ZL202120848431.9</w:t>
            </w:r>
          </w:p>
        </w:tc>
        <w:tc>
          <w:tcPr>
            <w:tcW w:w="85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rPr>
              <w:t>2021年12月07日</w:t>
            </w:r>
          </w:p>
        </w:tc>
        <w:tc>
          <w:tcPr>
            <w:tcW w:w="1034"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rPr>
              <w:t>国家知识产权局</w:t>
            </w:r>
          </w:p>
        </w:tc>
        <w:tc>
          <w:tcPr>
            <w:tcW w:w="883"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rPr>
              <w:t>广西中医药大学附属瑞康医院</w:t>
            </w:r>
          </w:p>
        </w:tc>
        <w:tc>
          <w:tcPr>
            <w:tcW w:w="783"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rPr>
              <w:t>张涛，陈思羽，黄会云，陈远能，黄适，黄鳞茜</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rPr>
              <w:t>已授权登记</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170"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7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疏肝健脾法治疗腹泻型肠易激综合征临床及实验研究评述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辽宁中医杂志</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方健松, 马媛萍, 潘锋, 刘畅, 张涛</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2016, 43(10):2226-2228</w:t>
            </w:r>
          </w:p>
        </w:tc>
        <w:tc>
          <w:tcPr>
            <w:tcW w:w="855"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2016.10.21</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张涛</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方健松</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广西中医药大学</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束缚-应激联合辣素灌胃建立大鼠腹泻型肠易激综合征模型及评价</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中国比较医学杂志</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张涛， 方健松, 黄晓燕, 马媛萍, 刘畅,  潘锋</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2017, 27(3):1-7</w:t>
            </w:r>
          </w:p>
        </w:tc>
        <w:tc>
          <w:tcPr>
            <w:tcW w:w="855"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2017.3.30</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张涛</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张涛</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广西中医药大学附属瑞康医院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PKA/PKC介导TRPV1敏化在肠易激综合征中的作用</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实用医学杂志</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张涛， 方健松, 潘锋, 黄晓燕, 陈玉</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2017, 33(2):319-321.</w:t>
            </w:r>
          </w:p>
        </w:tc>
        <w:tc>
          <w:tcPr>
            <w:tcW w:w="855"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2017.1.25</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张涛</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张涛</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广西中医药大学</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PKA依赖cAMP信号介导SP调节内脏敏感性及疏肝健脾方防治肠易激综合征研究</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辽宁中医杂志</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马媛萍, 黄晓燕, 陈远能, 方健松, 潘锋, 张涛</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2017, 44(1):180-183.</w:t>
            </w:r>
          </w:p>
        </w:tc>
        <w:tc>
          <w:tcPr>
            <w:tcW w:w="855"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2017.1.18</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张涛</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马媛萍</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广西中医药大学</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PKA调控TRPV1敏化介导CGRP表达探讨疏肝健脾方防治肠易激综合征研究</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中华中医药学刊</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方健松, 马媛萍, 刘畅, 张涛*</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2017, 35(3):601-604</w:t>
            </w:r>
          </w:p>
        </w:tc>
        <w:tc>
          <w:tcPr>
            <w:tcW w:w="855"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2017.3.10</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张涛</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方健松</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广西中医药大学</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 xml:space="preserve">基于网络药理学—分子对接探讨四逆散“异病同治”溃疡性结肠炎和肠易激综合征的作用机制 </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中药药理与临床</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卢鑫,张馨月,林逸婷,张涛,赖冬萍</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[2021-08-22], 1-25</w:t>
            </w:r>
          </w:p>
        </w:tc>
        <w:tc>
          <w:tcPr>
            <w:tcW w:w="855"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2021.08.09</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张涛</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卢鑫</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广西中医药大学</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基于网络药理学探讨疏肝健脾方干预腹泻型肠易激综合征的药理机制</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中药材</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钟婵,黄李冰雪,陈远能,张涛</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2020,43(04):951-960.</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2020.05.07</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张涛</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钟婵</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广西中医药大学</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 xml:space="preserve">疏肝健脾方对腹泻型肠易激综合征p-CaMK II、AMPK、MEF2表达的影响 </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时珍国医国药</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廖美华;张涛;陈思羽;黄晓燕;卓少元;丁明健</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2021,32(07):1627-1630.</w:t>
            </w:r>
          </w:p>
        </w:tc>
        <w:tc>
          <w:tcPr>
            <w:tcW w:w="855"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2021.08.10</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张涛</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廖美华</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广西中医药大学</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基于脑－肠轴的疏肝健脾方对IBS－D大鼠结肠－下丘脑－垂体CＲEB、NGF、BDNF 的影响</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时珍国医国药</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陈小芬，张馨月，张涛* ，廖美华，孙丽君，杨武</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2022,02,33(02):317-323.</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2022.02.08</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张涛</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陈小芬</w:t>
            </w:r>
          </w:p>
        </w:tc>
        <w:tc>
          <w:tcPr>
            <w:tcW w:w="783"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广西中医药大学</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脾胃学说应用与创新·综合卷</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ISBN 978 -7 -5132 -5612 -4</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陈 言</w:t>
            </w:r>
          </w:p>
        </w:tc>
        <w:tc>
          <w:tcPr>
            <w:tcW w:w="975" w:type="dxa"/>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2019.07</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技术奖励办法实施细则》相关规定，提名该个人、组织为科学技术奖（科学技术进步奖-社会公益类）</w:t>
            </w:r>
            <w:bookmarkStart w:id="0" w:name="_GoBack"/>
            <w:bookmarkEnd w:id="0"/>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val="en-US" w:eastAsia="zh-CN"/>
              </w:rPr>
              <w:t>二</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val="en-US" w:eastAsia="zh-CN"/>
              </w:rPr>
              <w:t>三</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kern w:val="2"/>
                <w:sz w:val="28"/>
                <w:szCs w:val="28"/>
                <w:lang w:val="en-US" w:eastAsia="zh-CN" w:bidi="ar-SA"/>
              </w:rPr>
              <w:t>广西中医药大学附属瑞康医院为本项目立项的组织、实施单位，本单位领导及科管人员自始至终负责本项目的管理和监督，在实施过程中为本项目提供必要实验场所、仪器设施、水电和人员配备， 保证本项目能按时圆满完成；并负责本项目的结题、成果登记申报等工作，积极进行成果推广应用， 为本项目的完成提供了必要的保障。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kinsoku/>
              <w:wordWrap/>
              <w:overflowPunct/>
              <w:topLinePunct w:val="0"/>
              <w:autoSpaceDE/>
              <w:autoSpaceDN/>
              <w:bidi w:val="0"/>
              <w:adjustRightInd/>
              <w:snapToGrid/>
              <w:spacing w:line="360" w:lineRule="exact"/>
              <w:ind w:firstLine="560" w:firstLineChars="200"/>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肠易激综合征(irritable bowel syndrome，IBS)是消化系常见、多发的功能性疾病，其发病机制尚未完全清楚，目前认为脑-肠信号紊乱致内脏高敏感性及胃肠运动功能紊乱是IBS 最重要的病理机制。肝郁脾虚证是中医辨证IBS临床最常见证型，与精神-心理因素高度相关，并与脑-肠通讯有着内在联系，因此，基于相关性开展深入的研究有着重要意义。疏肝健脾方基于“痛责之于肝、泻责之于脾” 疏肝健脾为治疗大法理论确立，在治疗IBS上已有广泛的临床经验。本课题组基于疏肝健脾方的中西医结合理论以及可观的诊疗效果，开展系统性“病、证（模）、理、方、效、测、靶” 的研究，探究其理论背后的分子机制。</w:t>
            </w:r>
          </w:p>
        </w:tc>
      </w:tr>
    </w:tbl>
    <w:p>
      <w:pPr>
        <w:pStyle w:val="10"/>
        <w:spacing w:line="240" w:lineRule="exact"/>
        <w:rPr>
          <w:sz w:val="21"/>
          <w:szCs w:val="21"/>
        </w:rPr>
      </w:pPr>
    </w:p>
    <w:p>
      <w:pPr>
        <w:pStyle w:val="10"/>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48501C"/>
    <w:rsid w:val="00FB0B1F"/>
    <w:rsid w:val="00FD0F8B"/>
    <w:rsid w:val="0CC8630E"/>
    <w:rsid w:val="241F02D3"/>
    <w:rsid w:val="38F4764D"/>
    <w:rsid w:val="3A5638F8"/>
    <w:rsid w:val="43DA1533"/>
    <w:rsid w:val="56D637D7"/>
    <w:rsid w:val="591A65C1"/>
    <w:rsid w:val="5BE93EEE"/>
    <w:rsid w:val="6C7D4C06"/>
    <w:rsid w:val="6E2015B7"/>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505</Words>
  <Characters>513</Characters>
  <Lines>5</Lines>
  <Paragraphs>1</Paragraphs>
  <TotalTime>8</TotalTime>
  <ScaleCrop>false</ScaleCrop>
  <LinksUpToDate>false</LinksUpToDate>
  <CharactersWithSpaces>522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2023-08-23T09:36:35Z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7F3879C3BB954292819E1564695C016A_13</vt:lpwstr>
  </property>
</Properties>
</file>