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napToGrid w:val="0"/>
                <w:color w:val="000000"/>
                <w:sz w:val="28"/>
                <w:szCs w:val="28"/>
              </w:rPr>
              <w:t>核素显像在多发甲状腺结节FNAB筛查甲状腺癌中的增益价值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napToGrid w:val="0"/>
                <w:color w:val="000000"/>
                <w:sz w:val="28"/>
                <w:szCs w:val="28"/>
              </w:rPr>
            </w:pPr>
            <w:r>
              <w:rPr>
                <w:rFonts w:hint="eastAsia" w:ascii="仿宋_GB2312" w:hAnsi="仿宋_GB2312" w:eastAsia="仿宋_GB2312" w:cs="仿宋_GB2312"/>
                <w:snapToGrid w:val="0"/>
                <w:color w:val="000000"/>
                <w:sz w:val="28"/>
                <w:szCs w:val="28"/>
              </w:rPr>
              <w:t>付巍，卢彦祺，李强，蒋泽文，吕金富，林纯皓，杨静，徐翠萍，牟兴宇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napToGrid w:val="0"/>
                <w:color w:val="000000"/>
                <w:sz w:val="28"/>
                <w:szCs w:val="28"/>
              </w:rPr>
              <w:t>桂林医学院附属医院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实用专利</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一种用于甲状腺结节专用同轴活检针装置</w:t>
            </w:r>
          </w:p>
        </w:tc>
        <w:tc>
          <w:tcPr>
            <w:tcW w:w="1035" w:type="dxa"/>
            <w:tcMar>
              <w:left w:w="57" w:type="dxa"/>
              <w:right w:w="57" w:type="dxa"/>
            </w:tcMar>
            <w:vAlign w:val="center"/>
          </w:tcPr>
          <w:p>
            <w:pPr>
              <w:spacing w:line="260" w:lineRule="exact"/>
              <w:jc w:val="center"/>
              <w:rPr>
                <w:rFonts w:hint="eastAsia" w:ascii="仿宋_GB2312" w:hAnsi="仿宋_GB2312" w:eastAsia="仿宋_GB2312" w:cs="仿宋_GB2312"/>
                <w:bCs/>
                <w:szCs w:val="21"/>
              </w:rPr>
            </w:pPr>
            <w:r>
              <w:rPr>
                <w:rFonts w:hint="eastAsia" w:ascii="宋体" w:hAnsi="宋体" w:cs="宋体"/>
                <w:snapToGrid w:val="0"/>
                <w:color w:val="000000"/>
                <w:szCs w:val="21"/>
              </w:rPr>
              <w:t>中国</w:t>
            </w: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ZL202022227643.3</w:t>
            </w:r>
          </w:p>
        </w:tc>
        <w:tc>
          <w:tcPr>
            <w:tcW w:w="855" w:type="dxa"/>
            <w:tcMar>
              <w:left w:w="57" w:type="dxa"/>
              <w:right w:w="57" w:type="dxa"/>
            </w:tcMar>
            <w:vAlign w:val="center"/>
          </w:tcPr>
          <w:p>
            <w:pPr>
              <w:spacing w:line="260" w:lineRule="exact"/>
              <w:jc w:val="center"/>
              <w:rPr>
                <w:rFonts w:ascii="宋体" w:hAnsi="宋体" w:cs="宋体"/>
                <w:snapToGrid w:val="0"/>
                <w:color w:val="000000"/>
                <w:szCs w:val="21"/>
              </w:rPr>
            </w:pPr>
            <w:r>
              <w:rPr>
                <w:rFonts w:hint="eastAsia" w:ascii="宋体" w:hAnsi="宋体" w:cs="宋体"/>
                <w:snapToGrid w:val="0"/>
                <w:color w:val="000000"/>
                <w:szCs w:val="21"/>
              </w:rPr>
              <w:t>2</w:t>
            </w:r>
            <w:r>
              <w:rPr>
                <w:rFonts w:ascii="宋体" w:hAnsi="宋体" w:cs="宋体"/>
                <w:snapToGrid w:val="0"/>
                <w:color w:val="000000"/>
                <w:szCs w:val="21"/>
              </w:rPr>
              <w:t>0201229</w:t>
            </w:r>
          </w:p>
        </w:tc>
        <w:tc>
          <w:tcPr>
            <w:tcW w:w="1034" w:type="dxa"/>
            <w:tcMar>
              <w:left w:w="57" w:type="dxa"/>
              <w:right w:w="57" w:type="dxa"/>
            </w:tcMar>
            <w:vAlign w:val="center"/>
          </w:tcPr>
          <w:p>
            <w:pPr>
              <w:spacing w:line="260" w:lineRule="exact"/>
              <w:jc w:val="center"/>
              <w:rPr>
                <w:rFonts w:hint="eastAsia" w:ascii="仿宋_GB2312" w:hAnsi="仿宋_GB2312" w:eastAsia="仿宋_GB2312" w:cs="仿宋_GB2312"/>
                <w:bCs/>
                <w:szCs w:val="21"/>
              </w:rPr>
            </w:pPr>
            <w:r>
              <w:rPr>
                <w:rFonts w:hint="eastAsia"/>
                <w:snapToGrid w:val="0"/>
                <w:color w:val="000000"/>
                <w:szCs w:val="21"/>
              </w:rPr>
              <w:t>证书号第1</w:t>
            </w:r>
            <w:r>
              <w:rPr>
                <w:snapToGrid w:val="0"/>
                <w:color w:val="000000"/>
                <w:szCs w:val="21"/>
              </w:rPr>
              <w:t>4979620</w:t>
            </w:r>
            <w:r>
              <w:rPr>
                <w:rFonts w:hint="eastAsia"/>
                <w:snapToGrid w:val="0"/>
                <w:color w:val="000000"/>
                <w:szCs w:val="21"/>
              </w:rPr>
              <w:t>号（国家知识产权局）</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桂林医学院附属医院</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蒋泽文</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有效</w:t>
            </w: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实用专利</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一种用于穿刺活检及粒子植入的多功能同轴针</w:t>
            </w:r>
          </w:p>
        </w:tc>
        <w:tc>
          <w:tcPr>
            <w:tcW w:w="103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中国</w:t>
            </w:r>
          </w:p>
        </w:tc>
        <w:tc>
          <w:tcPr>
            <w:tcW w:w="975"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ZL202120986388.2</w:t>
            </w:r>
          </w:p>
        </w:tc>
        <w:tc>
          <w:tcPr>
            <w:tcW w:w="855" w:type="dxa"/>
            <w:tcMar>
              <w:left w:w="57" w:type="dxa"/>
              <w:right w:w="57" w:type="dxa"/>
            </w:tcMar>
            <w:vAlign w:val="center"/>
          </w:tcPr>
          <w:p>
            <w:pPr>
              <w:spacing w:line="260" w:lineRule="exact"/>
              <w:jc w:val="center"/>
              <w:rPr>
                <w:rFonts w:ascii="宋体" w:hAnsi="宋体" w:cs="宋体"/>
                <w:snapToGrid w:val="0"/>
                <w:color w:val="000000"/>
                <w:szCs w:val="21"/>
              </w:rPr>
            </w:pPr>
            <w:r>
              <w:rPr>
                <w:rFonts w:hint="eastAsia" w:ascii="宋体" w:hAnsi="宋体" w:cs="宋体"/>
                <w:snapToGrid w:val="0"/>
                <w:color w:val="000000"/>
                <w:szCs w:val="21"/>
              </w:rPr>
              <w:t>2</w:t>
            </w:r>
            <w:r>
              <w:rPr>
                <w:rFonts w:ascii="宋体" w:hAnsi="宋体" w:cs="宋体"/>
                <w:snapToGrid w:val="0"/>
                <w:color w:val="000000"/>
                <w:szCs w:val="21"/>
              </w:rPr>
              <w:t>0211203</w:t>
            </w:r>
          </w:p>
        </w:tc>
        <w:tc>
          <w:tcPr>
            <w:tcW w:w="10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证书号第</w:t>
            </w:r>
            <w:r>
              <w:rPr>
                <w:snapToGrid w:val="0"/>
                <w:color w:val="000000"/>
                <w:szCs w:val="21"/>
              </w:rPr>
              <w:t>12232787</w:t>
            </w:r>
            <w:r>
              <w:rPr>
                <w:rFonts w:hint="eastAsia"/>
                <w:snapToGrid w:val="0"/>
                <w:color w:val="000000"/>
                <w:szCs w:val="21"/>
              </w:rPr>
              <w:t>号（国家知识产权局）</w:t>
            </w:r>
          </w:p>
        </w:tc>
        <w:tc>
          <w:tcPr>
            <w:tcW w:w="8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桂林医学院附属医院</w:t>
            </w:r>
          </w:p>
        </w:tc>
        <w:tc>
          <w:tcPr>
            <w:tcW w:w="783"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ascii="宋体" w:hAnsi="宋体" w:cs="宋体"/>
                <w:snapToGrid w:val="0"/>
                <w:color w:val="000000"/>
                <w:szCs w:val="21"/>
              </w:rPr>
              <w:t>吕金富</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有效</w:t>
            </w:r>
          </w:p>
        </w:tc>
        <w:tc>
          <w:tcPr>
            <w:tcW w:w="1206" w:type="dxa"/>
            <w:tcMar>
              <w:left w:w="57" w:type="dxa"/>
              <w:right w:w="57" w:type="dxa"/>
            </w:tcMar>
            <w:vAlign w:val="center"/>
          </w:tcPr>
          <w:p>
            <w:pPr>
              <w:spacing w:line="260" w:lineRule="exact"/>
              <w:jc w:val="center"/>
              <w:rPr>
                <w:rFonts w:ascii="仿宋_GB2312" w:hAnsi="仿宋_GB2312" w:eastAsia="仿宋_GB2312" w:cs="仿宋_GB2312"/>
                <w:bCs/>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核素显像在多发甲状腺结节FNAB筛查甲状腺癌中的增益价值</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标记免疫分析与临床</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秦洋洋，卢彦祺，牟兴宇，陆邓露，朱卓豪，赵守松，付巍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2020,27(10):1677-1700</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w:t>
            </w:r>
            <w:r>
              <w:rPr>
                <w:rFonts w:ascii="宋体" w:hAnsi="宋体" w:cs="宋体"/>
                <w:snapToGrid w:val="0"/>
                <w:color w:val="000000"/>
                <w:szCs w:val="21"/>
              </w:rPr>
              <w:t>0201001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付巍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秦洋洋</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snapToGrid w:val="0"/>
                <w:color w:val="000000"/>
                <w:szCs w:val="21"/>
                <w:vertAlign w:val="superscript"/>
              </w:rPr>
              <w:t>99</w:t>
            </w:r>
            <w:r>
              <w:rPr>
                <w:snapToGrid w:val="0"/>
                <w:color w:val="000000"/>
                <w:szCs w:val="21"/>
              </w:rPr>
              <w:t>Tc</w:t>
            </w:r>
            <w:r>
              <w:rPr>
                <w:snapToGrid w:val="0"/>
                <w:color w:val="000000"/>
                <w:szCs w:val="21"/>
                <w:vertAlign w:val="superscript"/>
              </w:rPr>
              <w:t>m</w:t>
            </w:r>
            <w:r>
              <w:rPr>
                <w:snapToGrid w:val="0"/>
                <w:color w:val="000000"/>
                <w:szCs w:val="21"/>
              </w:rPr>
              <w:t>O</w:t>
            </w:r>
            <w:r>
              <w:rPr>
                <w:snapToGrid w:val="0"/>
                <w:color w:val="000000"/>
                <w:szCs w:val="21"/>
                <w:vertAlign w:val="subscript"/>
              </w:rPr>
              <w:t>4</w:t>
            </w:r>
            <w:r>
              <w:rPr>
                <w:snapToGrid w:val="0"/>
                <w:color w:val="000000"/>
                <w:szCs w:val="21"/>
                <w:vertAlign w:val="superscript"/>
              </w:rPr>
              <w:t>-</w:t>
            </w:r>
            <w:r>
              <w:rPr>
                <w:rFonts w:hint="eastAsia"/>
                <w:snapToGrid w:val="0"/>
                <w:color w:val="000000"/>
                <w:szCs w:val="21"/>
              </w:rPr>
              <w:t>核素显像与血清</w:t>
            </w:r>
            <w:r>
              <w:rPr>
                <w:snapToGrid w:val="0"/>
                <w:color w:val="000000"/>
                <w:szCs w:val="21"/>
              </w:rPr>
              <w:t>TSH</w:t>
            </w:r>
            <w:r>
              <w:rPr>
                <w:rFonts w:hint="eastAsia"/>
                <w:snapToGrid w:val="0"/>
                <w:color w:val="000000"/>
                <w:szCs w:val="21"/>
              </w:rPr>
              <w:t>水平对超声检查提示高危甲状腺结节的鉴别诊断价值</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国际放射医学核医学杂志</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陆邓露，卢彦祺，牟兴宇，秦洋洋，朱卓豪，赵守松，付巍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2021,45(3):147-154</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w:t>
            </w:r>
            <w:r>
              <w:rPr>
                <w:rFonts w:ascii="宋体" w:hAnsi="宋体" w:cs="宋体"/>
                <w:snapToGrid w:val="0"/>
                <w:color w:val="000000"/>
                <w:szCs w:val="21"/>
              </w:rPr>
              <w:t>0210301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付巍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陆邓露</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rPr>
                <w:rFonts w:ascii="仿宋_GB2312" w:hAnsi="仿宋_GB2312" w:eastAsia="仿宋_GB2312" w:cs="仿宋_GB2312"/>
                <w:szCs w:val="21"/>
              </w:rPr>
            </w:pPr>
            <w:r>
              <w:rPr>
                <w:snapToGrid w:val="0"/>
                <w:color w:val="000000"/>
                <w:szCs w:val="21"/>
              </w:rPr>
              <w:t>FNA-Tg/</w:t>
            </w:r>
            <w:r>
              <w:rPr>
                <w:rFonts w:hint="eastAsia"/>
                <w:snapToGrid w:val="0"/>
                <w:color w:val="000000"/>
                <w:szCs w:val="21"/>
              </w:rPr>
              <w:t>血清</w:t>
            </w:r>
            <w:r>
              <w:rPr>
                <w:snapToGrid w:val="0"/>
                <w:color w:val="000000"/>
                <w:szCs w:val="21"/>
              </w:rPr>
              <w:t>Tg</w:t>
            </w:r>
            <w:r>
              <w:rPr>
                <w:rFonts w:hint="eastAsia"/>
                <w:snapToGrid w:val="0"/>
                <w:color w:val="000000"/>
                <w:szCs w:val="21"/>
              </w:rPr>
              <w:t>诊断分化型甲状腺癌术后</w:t>
            </w:r>
            <w:r>
              <w:rPr>
                <w:snapToGrid w:val="0"/>
                <w:color w:val="000000"/>
                <w:szCs w:val="21"/>
                <w:vertAlign w:val="superscript"/>
              </w:rPr>
              <w:t>131</w:t>
            </w:r>
            <w:r>
              <w:rPr>
                <w:snapToGrid w:val="0"/>
                <w:color w:val="000000"/>
                <w:szCs w:val="21"/>
              </w:rPr>
              <w:t>I</w:t>
            </w:r>
            <w:r>
              <w:rPr>
                <w:rFonts w:hint="eastAsia"/>
                <w:snapToGrid w:val="0"/>
                <w:color w:val="000000"/>
                <w:szCs w:val="21"/>
              </w:rPr>
              <w:t>治疗后颈部淋巴结转移的价值</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标记免疫分析与临床</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孙文杰，卢彦祺，牟兴宇，朱卓豪，秦洋洋，崇维霞，付巍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2021,28(12):2017-2022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w:t>
            </w:r>
            <w:r>
              <w:rPr>
                <w:rFonts w:ascii="宋体" w:hAnsi="宋体" w:cs="宋体"/>
                <w:snapToGrid w:val="0"/>
                <w:color w:val="000000"/>
                <w:szCs w:val="21"/>
              </w:rPr>
              <w:t>0211201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付巍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孙文杰</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adjustRightInd w:val="0"/>
              <w:snapToGrid w:val="0"/>
              <w:spacing w:line="320" w:lineRule="exact"/>
              <w:rPr>
                <w:rFonts w:ascii="仿宋_GB2312" w:hAnsi="仿宋_GB2312" w:eastAsia="仿宋_GB2312" w:cs="仿宋_GB2312"/>
                <w:szCs w:val="21"/>
              </w:rPr>
            </w:pPr>
            <w:r>
              <w:rPr>
                <w:snapToGrid w:val="0"/>
                <w:color w:val="000000"/>
                <w:szCs w:val="21"/>
              </w:rPr>
              <w:t>FNA-TG</w:t>
            </w:r>
            <w:r>
              <w:rPr>
                <w:rFonts w:hint="eastAsia" w:ascii="宋体" w:hAnsi="宋体" w:cs="宋体"/>
                <w:snapToGrid w:val="0"/>
                <w:color w:val="000000"/>
                <w:szCs w:val="21"/>
              </w:rPr>
              <w:t>在分化型甲状腺癌患者</w:t>
            </w:r>
            <w:r>
              <w:rPr>
                <w:snapToGrid w:val="0"/>
                <w:color w:val="000000"/>
                <w:szCs w:val="21"/>
                <w:vertAlign w:val="superscript"/>
              </w:rPr>
              <w:t>131</w:t>
            </w:r>
            <w:r>
              <w:rPr>
                <w:snapToGrid w:val="0"/>
                <w:color w:val="000000"/>
                <w:szCs w:val="21"/>
              </w:rPr>
              <w:t>I</w:t>
            </w:r>
            <w:r>
              <w:rPr>
                <w:rFonts w:hint="eastAsia" w:ascii="宋体" w:hAnsi="宋体" w:cs="宋体"/>
                <w:snapToGrid w:val="0"/>
                <w:color w:val="000000"/>
                <w:szCs w:val="21"/>
              </w:rPr>
              <w:t>治疗后的随访价值研究</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标记免疫分析与临床</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林纯皓，蒋泽文，吕金富，卢彦祺，付巍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2022,29(4):570-575</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w:t>
            </w:r>
            <w:r>
              <w:rPr>
                <w:rFonts w:ascii="宋体" w:hAnsi="宋体" w:cs="宋体"/>
                <w:snapToGrid w:val="0"/>
                <w:color w:val="000000"/>
                <w:szCs w:val="21"/>
              </w:rPr>
              <w:t>0220401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付巍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林纯皓</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vertAlign w:val="superscript"/>
              </w:rPr>
              <w:t>125</w:t>
            </w:r>
            <w:r>
              <w:rPr>
                <w:rFonts w:hint="eastAsia" w:ascii="宋体" w:hAnsi="宋体" w:cs="宋体"/>
                <w:snapToGrid w:val="0"/>
                <w:color w:val="000000"/>
                <w:szCs w:val="21"/>
              </w:rPr>
              <w:t>I粒子植入治疗碘难治性分化型甲状腺癌颈部淋巴结转移灶的临床研究</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微创医学</w:t>
            </w: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陆路，蒋泽文，吕金富，林纯皓，赵守松，黄小雪，黄劲铨，牟兴宇，付巍</w:t>
            </w: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2022,17(6):676-682</w:t>
            </w: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2022</w:t>
            </w:r>
            <w:r>
              <w:rPr>
                <w:rFonts w:ascii="宋体" w:hAnsi="宋体" w:cs="宋体"/>
                <w:snapToGrid w:val="0"/>
                <w:color w:val="000000"/>
                <w:szCs w:val="21"/>
              </w:rPr>
              <w:t>0601</w:t>
            </w: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付巍</w:t>
            </w: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ascii="宋体" w:hAnsi="宋体" w:cs="宋体"/>
                <w:snapToGrid w:val="0"/>
                <w:color w:val="000000"/>
                <w:szCs w:val="21"/>
              </w:rPr>
              <w:t>陆路</w:t>
            </w: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桂林医学院附属医院</w:t>
            </w:r>
          </w:p>
        </w:tc>
        <w:tc>
          <w:tcPr>
            <w:tcW w:w="834" w:type="dxa"/>
            <w:tcMar>
              <w:left w:w="57" w:type="dxa"/>
              <w:right w:w="57" w:type="dxa"/>
            </w:tcMar>
            <w:vAlign w:val="center"/>
          </w:tcPr>
          <w:p>
            <w:pPr>
              <w:spacing w:line="260" w:lineRule="exact"/>
              <w:jc w:val="center"/>
              <w:rPr>
                <w:rFonts w:ascii="仿宋_GB2312" w:hAnsi="仿宋_GB2312" w:eastAsia="仿宋_GB2312" w:cs="仿宋_GB2312"/>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r>
              <w:rPr>
                <w:rFonts w:hint="eastAsia"/>
                <w:snapToGrid w:val="0"/>
                <w:color w:val="000000"/>
                <w:szCs w:val="21"/>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专著名称</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版号</w:t>
            </w:r>
          </w:p>
        </w:tc>
        <w:tc>
          <w:tcPr>
            <w:tcW w:w="103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作者或主编</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出版时间（年月日）</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署名单位</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科普作品名称</w:t>
            </w:r>
          </w:p>
        </w:tc>
        <w:tc>
          <w:tcPr>
            <w:tcW w:w="1170" w:type="dxa"/>
            <w:gridSpan w:val="2"/>
            <w:tcMar>
              <w:left w:w="57" w:type="dxa"/>
              <w:right w:w="57" w:type="dxa"/>
            </w:tcMar>
            <w:vAlign w:val="center"/>
          </w:tcPr>
          <w:p>
            <w:pPr>
              <w:spacing w:line="260" w:lineRule="exact"/>
              <w:jc w:val="center"/>
              <w:rPr>
                <w:sz w:val="18"/>
                <w:szCs w:val="18"/>
              </w:rPr>
            </w:pPr>
            <w:r>
              <w:rPr>
                <w:sz w:val="18"/>
                <w:szCs w:val="18"/>
              </w:rPr>
              <w:t>版号</w:t>
            </w:r>
          </w:p>
        </w:tc>
        <w:tc>
          <w:tcPr>
            <w:tcW w:w="1035" w:type="dxa"/>
            <w:tcMar>
              <w:left w:w="57" w:type="dxa"/>
              <w:right w:w="57" w:type="dxa"/>
            </w:tcMar>
            <w:vAlign w:val="center"/>
          </w:tcPr>
          <w:p>
            <w:pPr>
              <w:spacing w:line="260" w:lineRule="exact"/>
              <w:jc w:val="center"/>
              <w:rPr>
                <w:sz w:val="18"/>
                <w:szCs w:val="18"/>
              </w:rPr>
            </w:pPr>
            <w:r>
              <w:rPr>
                <w:sz w:val="18"/>
                <w:szCs w:val="18"/>
              </w:rPr>
              <w:t>作者或主编</w:t>
            </w:r>
          </w:p>
        </w:tc>
        <w:tc>
          <w:tcPr>
            <w:tcW w:w="975" w:type="dxa"/>
            <w:tcMar>
              <w:left w:w="57" w:type="dxa"/>
              <w:right w:w="57" w:type="dxa"/>
            </w:tcMar>
            <w:vAlign w:val="center"/>
          </w:tcPr>
          <w:p>
            <w:pPr>
              <w:spacing w:line="260" w:lineRule="exact"/>
              <w:jc w:val="center"/>
              <w:rPr>
                <w:sz w:val="18"/>
                <w:szCs w:val="18"/>
              </w:rPr>
            </w:pPr>
            <w:r>
              <w:rPr>
                <w:sz w:val="18"/>
                <w:szCs w:val="18"/>
              </w:rPr>
              <w:t>出版时间（年月日）</w:t>
            </w:r>
          </w:p>
        </w:tc>
        <w:tc>
          <w:tcPr>
            <w:tcW w:w="855" w:type="dxa"/>
            <w:tcMar>
              <w:left w:w="57" w:type="dxa"/>
              <w:right w:w="57" w:type="dxa"/>
            </w:tcMar>
            <w:vAlign w:val="center"/>
          </w:tcPr>
          <w:p>
            <w:pPr>
              <w:spacing w:line="260" w:lineRule="exact"/>
              <w:jc w:val="center"/>
              <w:rPr>
                <w:sz w:val="18"/>
                <w:szCs w:val="18"/>
              </w:rPr>
            </w:pPr>
            <w:r>
              <w:rPr>
                <w:sz w:val="18"/>
                <w:szCs w:val="18"/>
              </w:rPr>
              <w:t>出版单位</w:t>
            </w:r>
          </w:p>
        </w:tc>
        <w:tc>
          <w:tcPr>
            <w:tcW w:w="1034" w:type="dxa"/>
            <w:tcMar>
              <w:left w:w="57" w:type="dxa"/>
              <w:right w:w="57" w:type="dxa"/>
            </w:tcMar>
            <w:vAlign w:val="center"/>
          </w:tcPr>
          <w:p>
            <w:pPr>
              <w:spacing w:line="260" w:lineRule="exact"/>
              <w:jc w:val="center"/>
              <w:rPr>
                <w:sz w:val="18"/>
                <w:szCs w:val="18"/>
              </w:rPr>
            </w:pPr>
            <w:r>
              <w:rPr>
                <w:sz w:val="18"/>
                <w:szCs w:val="18"/>
              </w:rPr>
              <w:t>是否为丛书</w:t>
            </w:r>
          </w:p>
        </w:tc>
        <w:tc>
          <w:tcPr>
            <w:tcW w:w="883" w:type="dxa"/>
            <w:tcMar>
              <w:left w:w="57" w:type="dxa"/>
              <w:right w:w="57" w:type="dxa"/>
            </w:tcMar>
            <w:vAlign w:val="center"/>
          </w:tcPr>
          <w:p>
            <w:pPr>
              <w:spacing w:line="260" w:lineRule="exact"/>
              <w:jc w:val="center"/>
              <w:rPr>
                <w:sz w:val="18"/>
                <w:szCs w:val="18"/>
              </w:rPr>
            </w:pPr>
            <w:r>
              <w:rPr>
                <w:sz w:val="18"/>
                <w:szCs w:val="18"/>
              </w:rPr>
              <w:t>丛书册数</w:t>
            </w:r>
          </w:p>
        </w:tc>
        <w:tc>
          <w:tcPr>
            <w:tcW w:w="783" w:type="dxa"/>
            <w:tcMar>
              <w:left w:w="57" w:type="dxa"/>
              <w:right w:w="57" w:type="dxa"/>
            </w:tcMar>
            <w:vAlign w:val="center"/>
          </w:tcPr>
          <w:p>
            <w:pPr>
              <w:spacing w:line="260" w:lineRule="exact"/>
              <w:jc w:val="center"/>
              <w:rPr>
                <w:sz w:val="18"/>
                <w:szCs w:val="18"/>
              </w:rPr>
            </w:pP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sz w:val="18"/>
                <w:szCs w:val="18"/>
              </w:rPr>
              <w:t>广西单位是否为出版单位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97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55"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0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783"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834" w:type="dxa"/>
            <w:tcMar>
              <w:left w:w="57" w:type="dxa"/>
              <w:right w:w="57" w:type="dxa"/>
            </w:tcMar>
            <w:vAlign w:val="center"/>
          </w:tcPr>
          <w:p>
            <w:pPr>
              <w:spacing w:line="260" w:lineRule="exact"/>
              <w:jc w:val="center"/>
              <w:rPr>
                <w:rFonts w:ascii="仿宋_GB2312" w:hAnsi="仿宋_GB2312" w:eastAsia="仿宋_GB2312" w:cs="仿宋_GB2312"/>
                <w:szCs w:val="21"/>
              </w:rPr>
            </w:pPr>
          </w:p>
        </w:tc>
        <w:tc>
          <w:tcPr>
            <w:tcW w:w="1206" w:type="dxa"/>
            <w:tcMar>
              <w:left w:w="57" w:type="dxa"/>
              <w:right w:w="57" w:type="dxa"/>
            </w:tcMar>
            <w:vAlign w:val="center"/>
          </w:tcPr>
          <w:p>
            <w:pPr>
              <w:spacing w:line="26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技术奖励办法实施细则》相关规定，提名该个人、组织为科学技术奖（科学技术进步奖-社会公益类）</w:t>
            </w:r>
            <w:bookmarkStart w:id="0" w:name="_GoBack"/>
            <w:bookmarkEnd w:id="0"/>
            <w:r>
              <w:rPr>
                <w:rFonts w:hint="eastAsia" w:ascii="仿宋_GB2312" w:hAnsi="仿宋_GB2312" w:eastAsia="仿宋_GB2312" w:cs="仿宋_GB2312"/>
                <w:bCs/>
                <w:spacing w:val="2"/>
                <w:sz w:val="28"/>
                <w:szCs w:val="28"/>
              </w:rPr>
              <w:t>二等</w:t>
            </w:r>
            <w:r>
              <w:rPr>
                <w:rFonts w:hint="eastAsia" w:ascii="仿宋_GB2312" w:hAnsi="仿宋_GB2312" w:eastAsia="仿宋_GB2312" w:cs="仿宋_GB2312"/>
                <w:bCs/>
                <w:spacing w:val="2"/>
                <w:sz w:val="28"/>
                <w:szCs w:val="28"/>
                <w:lang w:val="en-US" w:eastAsia="zh-CN"/>
              </w:rPr>
              <w:t>奖</w:t>
            </w:r>
            <w:r>
              <w:rPr>
                <w:rFonts w:hint="eastAsia" w:ascii="仿宋_GB2312" w:hAnsi="仿宋_GB2312" w:eastAsia="仿宋_GB2312" w:cs="仿宋_GB2312"/>
                <w:bCs/>
                <w:spacing w:val="2"/>
                <w:sz w:val="28"/>
                <w:szCs w:val="28"/>
              </w:rPr>
              <w:t>、三等奖候选个人、候选组织。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桂林医学院附属医院承担和完成本成果的主要研究内容，负责组织本成果所依托科技项目的立项，提供项目组织实施和主要协调和管理工作，为研究人员的科学研究以及本成果实际应用和示范创造了条件，提供硬件和软件的支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ind w:firstLine="560" w:firstLineChars="200"/>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该研究对超声发现的多发甲状腺结节行核素显像，分析恶性可能结节并对其行超声选择定位，在超声精确引导下FNAB，为多发甲状腺结节患者提供更加全面的筛查，优化甲状腺结节的穿刺指征，提高穿刺的准确度，避免患者产生不必要的身心及经济负担。通过建立一套标准、有效、可操作性强的流程，并将研究成果及甲状腺癌筛查操作流程在其他有核医学科的医院推广应用，取得了很好的社会效益。</w:t>
            </w:r>
          </w:p>
        </w:tc>
      </w:tr>
    </w:tbl>
    <w:p>
      <w:pPr>
        <w:pStyle w:val="10"/>
        <w:spacing w:line="240" w:lineRule="exact"/>
        <w:rPr>
          <w:sz w:val="21"/>
          <w:szCs w:val="21"/>
        </w:rPr>
      </w:pPr>
    </w:p>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lMDJkMWY0NzMwOTMyNjM3YWM1MjE4YWZjMjliZmIifQ=="/>
  </w:docVars>
  <w:rsids>
    <w:rsidRoot w:val="0CC8630E"/>
    <w:rsid w:val="0006614D"/>
    <w:rsid w:val="000D3AC9"/>
    <w:rsid w:val="0044509F"/>
    <w:rsid w:val="0045307F"/>
    <w:rsid w:val="0048501C"/>
    <w:rsid w:val="00657033"/>
    <w:rsid w:val="00966885"/>
    <w:rsid w:val="00C90F44"/>
    <w:rsid w:val="00E457C7"/>
    <w:rsid w:val="00FB0B1F"/>
    <w:rsid w:val="00FD0F8B"/>
    <w:rsid w:val="00FE2588"/>
    <w:rsid w:val="0CC8630E"/>
    <w:rsid w:val="241F02D3"/>
    <w:rsid w:val="41F35B51"/>
    <w:rsid w:val="43DA1533"/>
    <w:rsid w:val="512C30C5"/>
    <w:rsid w:val="54F30904"/>
    <w:rsid w:val="591A65C1"/>
    <w:rsid w:val="5BE93EEE"/>
    <w:rsid w:val="73BC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281</Words>
  <Characters>1603</Characters>
  <Lines>13</Lines>
  <Paragraphs>3</Paragraphs>
  <TotalTime>42</TotalTime>
  <ScaleCrop>false</ScaleCrop>
  <LinksUpToDate>false</LinksUpToDate>
  <CharactersWithSpaces>1881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2023-08-22T11:34:00Z</dcterms:created>
  <dc:creator>lenovo</dc:creator>
  <cp:lastModifiedBy>猫-GM</cp:lastModifiedBy>
  <dcterms:modified xsi:type="dcterms:W3CDTF">2023-08-23T09:32:54Z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