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泌尿系肿瘤的基础研究与临床应用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李伟</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潜力</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林俊浩</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陈志</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李锡明</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梁建波</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黄桂海</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郝南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广西壮族自治区人民医院（广西医学科学院）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自治区卫生健康委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170"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7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The Role of</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CD44 in Glu</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cose Metabo</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lism in Pro</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static Smal</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l Cell Neur</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oendocrine</w:t>
            </w:r>
          </w:p>
          <w:p>
            <w:pPr>
              <w:spacing w:line="260" w:lineRule="exact"/>
              <w:jc w:val="center"/>
              <w:rPr>
                <w:rFonts w:eastAsia="方正仿宋_GBK"/>
                <w:snapToGrid w:val="0"/>
                <w:color w:val="000000"/>
                <w:szCs w:val="21"/>
              </w:rPr>
            </w:pPr>
            <w:r>
              <w:rPr>
                <w:rFonts w:eastAsia="方正仿宋_GBK"/>
                <w:snapToGrid w:val="0"/>
                <w:color w:val="000000"/>
                <w:szCs w:val="21"/>
              </w:rPr>
              <w:t>Carcinoma</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Mol Can</w:t>
            </w:r>
          </w:p>
          <w:p>
            <w:pPr>
              <w:spacing w:line="260" w:lineRule="exact"/>
              <w:jc w:val="center"/>
              <w:rPr>
                <w:rFonts w:eastAsia="方正仿宋_GBK"/>
                <w:snapToGrid w:val="0"/>
                <w:color w:val="000000"/>
                <w:szCs w:val="21"/>
              </w:rPr>
            </w:pPr>
            <w:r>
              <w:rPr>
                <w:rFonts w:eastAsia="方正仿宋_GBK"/>
                <w:snapToGrid w:val="0"/>
                <w:color w:val="000000"/>
                <w:szCs w:val="21"/>
              </w:rPr>
              <w:t>cer Res</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Li W, C</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ohen A,</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Sun Y,</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Squires</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J, Braa</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s D, Gr</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aeber T</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G, Du L</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 Li G,</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Li Z, X</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u X, Ch</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en X, H</w:t>
            </w:r>
          </w:p>
          <w:p>
            <w:pPr>
              <w:spacing w:line="260" w:lineRule="exact"/>
              <w:jc w:val="center"/>
              <w:rPr>
                <w:rFonts w:eastAsia="方正仿宋_GBK"/>
                <w:snapToGrid w:val="0"/>
                <w:color w:val="000000"/>
                <w:szCs w:val="21"/>
              </w:rPr>
            </w:pPr>
            <w:r>
              <w:rPr>
                <w:rFonts w:eastAsia="方正仿宋_GBK"/>
                <w:snapToGrid w:val="0"/>
                <w:color w:val="000000"/>
                <w:szCs w:val="21"/>
              </w:rPr>
              <w:t>uang J</w:t>
            </w:r>
          </w:p>
        </w:tc>
        <w:tc>
          <w:tcPr>
            <w:tcW w:w="97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2016</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Apr;</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14(4)</w:t>
            </w:r>
          </w:p>
          <w:p>
            <w:pPr>
              <w:autoSpaceDE w:val="0"/>
              <w:autoSpaceDN w:val="0"/>
              <w:adjustRightInd w:val="0"/>
              <w:jc w:val="left"/>
              <w:rPr>
                <w:rFonts w:eastAsia="方正仿宋_GBK"/>
                <w:snapToGrid w:val="0"/>
                <w:color w:val="000000"/>
                <w:szCs w:val="21"/>
              </w:rPr>
            </w:pPr>
            <w:r>
              <w:rPr>
                <w:rFonts w:eastAsia="方正仿宋_GBK"/>
                <w:snapToGrid w:val="0"/>
                <w:color w:val="000000"/>
                <w:szCs w:val="21"/>
              </w:rPr>
              <w:t>:344-</w:t>
            </w:r>
          </w:p>
          <w:p>
            <w:pPr>
              <w:spacing w:line="260" w:lineRule="exact"/>
              <w:jc w:val="center"/>
              <w:rPr>
                <w:rFonts w:eastAsia="方正仿宋_GBK"/>
                <w:snapToGrid w:val="0"/>
                <w:color w:val="000000"/>
                <w:szCs w:val="21"/>
              </w:rPr>
            </w:pPr>
            <w:r>
              <w:rPr>
                <w:rFonts w:eastAsia="方正仿宋_GBK"/>
                <w:snapToGrid w:val="0"/>
                <w:color w:val="000000"/>
                <w:szCs w:val="21"/>
              </w:rPr>
              <w:t>53</w:t>
            </w:r>
          </w:p>
        </w:tc>
        <w:tc>
          <w:tcPr>
            <w:tcW w:w="85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2016-04-0</w:t>
            </w:r>
          </w:p>
          <w:p>
            <w:pPr>
              <w:spacing w:line="260" w:lineRule="exact"/>
              <w:jc w:val="center"/>
              <w:rPr>
                <w:rFonts w:eastAsia="方正仿宋_GBK"/>
                <w:snapToGrid w:val="0"/>
                <w:color w:val="000000"/>
                <w:szCs w:val="21"/>
              </w:rPr>
            </w:pPr>
            <w:r>
              <w:rPr>
                <w:rFonts w:eastAsia="方正仿宋_GBK"/>
                <w:snapToGrid w:val="0"/>
                <w:color w:val="000000"/>
                <w:szCs w:val="21"/>
              </w:rPr>
              <w:t>1</w:t>
            </w:r>
          </w:p>
        </w:tc>
        <w:tc>
          <w:tcPr>
            <w:tcW w:w="1034" w:type="dxa"/>
            <w:tcMar>
              <w:left w:w="57" w:type="dxa"/>
              <w:right w:w="57" w:type="dxa"/>
            </w:tcMar>
            <w:vAlign w:val="center"/>
          </w:tcPr>
          <w:p>
            <w:pPr>
              <w:spacing w:line="260" w:lineRule="exact"/>
              <w:rPr>
                <w:rFonts w:ascii="仿宋_GB2312" w:hAnsi="仿宋_GB2312" w:eastAsia="仿宋_GB2312" w:cs="仿宋_GB2312"/>
                <w:szCs w:val="21"/>
              </w:rPr>
            </w:pPr>
            <w:r>
              <w:rPr>
                <w:rFonts w:ascii="仿宋_GB2312" w:hAnsi="仿宋_GB2312" w:eastAsia="仿宋_GB2312" w:cs="仿宋_GB2312"/>
                <w:szCs w:val="21"/>
              </w:rPr>
              <w:t>黄教悌</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广西壮族自治区人民医院</w:t>
            </w:r>
            <w:r>
              <w:rPr>
                <w:rFonts w:hint="eastAsia" w:ascii="仿宋_GB2312" w:hAnsi="仿宋_GB2312" w:eastAsia="仿宋_GB2312" w:cs="仿宋_GB2312"/>
                <w:szCs w:val="21"/>
              </w:rPr>
              <w:t>/加州大学洛杉矶分校</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eastAsia="方正仿宋_GBK"/>
                <w:snapToGrid w:val="0"/>
                <w:color w:val="000000"/>
                <w:szCs w:val="21"/>
              </w:rPr>
              <w:t>Speckle-type POZ protein could play a potential inhibitory role in human renal cell carcinoma</w:t>
            </w:r>
          </w:p>
        </w:tc>
        <w:tc>
          <w:tcPr>
            <w:tcW w:w="1170" w:type="dxa"/>
            <w:gridSpan w:val="2"/>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eastAsia="方正仿宋_GBK"/>
                <w:snapToGrid w:val="0"/>
                <w:color w:val="000000"/>
                <w:szCs w:val="21"/>
              </w:rPr>
              <w:t>BMC Cancer.</w:t>
            </w:r>
          </w:p>
        </w:tc>
        <w:tc>
          <w:tcPr>
            <w:tcW w:w="103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eastAsia="方正仿宋_GBK"/>
                <w:snapToGrid w:val="0"/>
                <w:color w:val="000000"/>
                <w:szCs w:val="21"/>
              </w:rPr>
              <w:t>Chen Z, Li Z, Li C, Li B, Wang H, Nong D, Li X, Huang G, Lin J, Li W.</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2022 Dec 7;22(1):1277.</w:t>
            </w:r>
          </w:p>
          <w:p>
            <w:pPr>
              <w:autoSpaceDE w:val="0"/>
              <w:autoSpaceDN w:val="0"/>
              <w:adjustRightInd w:val="0"/>
              <w:jc w:val="left"/>
              <w:rPr>
                <w:rFonts w:ascii="仿宋_GB2312" w:hAnsi="仿宋_GB2312" w:eastAsia="仿宋_GB2312" w:cs="仿宋_GB2312"/>
                <w:szCs w:val="21"/>
              </w:rPr>
            </w:pP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w:t>
            </w:r>
            <w:r>
              <w:rPr>
                <w:rFonts w:ascii="仿宋_GB2312" w:hAnsi="仿宋_GB2312" w:eastAsia="仿宋_GB2312" w:cs="仿宋_GB2312"/>
                <w:szCs w:val="21"/>
              </w:rPr>
              <w:t>022</w:t>
            </w:r>
            <w:r>
              <w:rPr>
                <w:rFonts w:hint="eastAsia" w:ascii="仿宋_GB2312" w:hAnsi="仿宋_GB2312" w:eastAsia="仿宋_GB2312" w:cs="仿宋_GB2312"/>
                <w:szCs w:val="21"/>
              </w:rPr>
              <w:t>-</w:t>
            </w:r>
            <w:r>
              <w:rPr>
                <w:rFonts w:ascii="仿宋_GB2312" w:hAnsi="仿宋_GB2312" w:eastAsia="仿宋_GB2312" w:cs="仿宋_GB2312"/>
                <w:szCs w:val="21"/>
              </w:rPr>
              <w:t>12</w:t>
            </w:r>
            <w:r>
              <w:rPr>
                <w:rFonts w:hint="eastAsia" w:ascii="仿宋_GB2312" w:hAnsi="仿宋_GB2312" w:eastAsia="仿宋_GB2312" w:cs="仿宋_GB2312"/>
                <w:szCs w:val="21"/>
              </w:rPr>
              <w:t>-</w:t>
            </w:r>
            <w:r>
              <w:rPr>
                <w:rFonts w:ascii="仿宋_GB2312" w:hAnsi="仿宋_GB2312" w:eastAsia="仿宋_GB2312" w:cs="仿宋_GB2312"/>
                <w:szCs w:val="21"/>
              </w:rPr>
              <w:t>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陈志</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The metabolic role of PFKFB4 in androgen-independent growth in vitro and PFKFB4 expression in human prostate cancer tissue.</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BMC Urol</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Li X, Chen Z, Li Z, Huang G, Lin J, Wei Q, Liang J, Li W.</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 2020 Jun 1;20(1):61.</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w:t>
            </w:r>
            <w:r>
              <w:rPr>
                <w:rFonts w:ascii="仿宋_GB2312" w:hAnsi="仿宋_GB2312" w:eastAsia="仿宋_GB2312" w:cs="仿宋_GB2312"/>
                <w:szCs w:val="21"/>
              </w:rPr>
              <w:t>020</w:t>
            </w:r>
            <w:r>
              <w:rPr>
                <w:rFonts w:hint="eastAsia" w:ascii="仿宋_GB2312" w:hAnsi="仿宋_GB2312" w:eastAsia="仿宋_GB2312" w:cs="仿宋_GB2312"/>
                <w:szCs w:val="21"/>
              </w:rPr>
              <w:t>-</w:t>
            </w:r>
            <w:r>
              <w:rPr>
                <w:rFonts w:ascii="仿宋_GB2312" w:hAnsi="仿宋_GB2312" w:eastAsia="仿宋_GB2312" w:cs="仿宋_GB2312"/>
                <w:szCs w:val="21"/>
              </w:rPr>
              <w:t>6</w:t>
            </w:r>
            <w:r>
              <w:rPr>
                <w:rFonts w:hint="eastAsia" w:ascii="仿宋_GB2312" w:hAnsi="仿宋_GB2312" w:eastAsia="仿宋_GB2312" w:cs="仿宋_GB2312"/>
                <w:szCs w:val="21"/>
              </w:rPr>
              <w:t>-</w:t>
            </w:r>
            <w:r>
              <w:rPr>
                <w:rFonts w:ascii="仿宋_GB2312" w:hAnsi="仿宋_GB2312" w:eastAsia="仿宋_GB2312" w:cs="仿宋_GB2312"/>
                <w:szCs w:val="21"/>
              </w:rPr>
              <w:t>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李锡明</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The quality of life in patients during intravesical treatment and correlation with local symptoms</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J Chemother</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Wei L, Li Q, Liang H, Jianbo L</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2014 Jun;26(3):165-8</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2014-06-01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High expression of  TTC21A predicts unfavorable prognosis and immune infiltrates in clear cell renal cell carcinoma</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Front Genet</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Lin J, Nong D, Wang W, Guo X, Li C, Li B, Wang H, Chen Z, Li X, Huang G and Li W</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2022 Nov 3;13:967378</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2022-11-03</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林俊浩</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暨南大学/广西壮族自治区人民医院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Effect of AKT silence on malignant biological behavior of renal cell carcinoma cells</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BMC Urol</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6.</w:t>
            </w:r>
            <w:r>
              <w:rPr>
                <w:rFonts w:eastAsia="方正仿宋_GBK"/>
                <w:snapToGrid w:val="0"/>
                <w:color w:val="000000"/>
                <w:szCs w:val="21"/>
              </w:rPr>
              <w:tab/>
            </w:r>
            <w:r>
              <w:rPr>
                <w:rFonts w:eastAsia="方正仿宋_GBK"/>
                <w:snapToGrid w:val="0"/>
                <w:color w:val="000000"/>
                <w:szCs w:val="21"/>
              </w:rPr>
              <w:t>Li Z, Nong D, Li B, Wang H, Li C, Chen Z, Li X, Huang G, Lin J, Hao N, Li W</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2022 Aug 22;22(1):129</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2022-08-22</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李钻</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Editorial Comment to Core lower urinary tract symptom score questionnaire: A psychometric analysis</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Int J Urol</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Li W</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2014 Nov;21(11):1154-5</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2014-11-01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Screening of hub genes and evaluation of the growth regulatory role of CD44 in metastatic prostate cancer</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Oncol Rep</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Lin J, Chen Z, Li Z, Nong D, Li X, Huang G, Hao N, Liang J, Li W</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2021 Sep;46(3):196</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2021-09-01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林俊浩</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Phosphorylated Signal Transducer and Activator of Transcription 1 is a potential predictor of interferon response in patients with advanced renal cell carcinoma</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Med Rep</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Li W, Wei Q, Liang J</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2014 May;9(5):1929-34</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2014-05-01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Inflammatory myofibroblastic tumor of the bladder: case report and review of the literature</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Can Urol Assoc J</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Li Wei</w:t>
            </w:r>
            <w:r>
              <w:rPr>
                <w:rFonts w:hint="eastAsia" w:eastAsia="方正仿宋_GBK"/>
                <w:snapToGrid w:val="0"/>
                <w:color w:val="000000"/>
                <w:szCs w:val="21"/>
              </w:rPr>
              <w:t>,</w:t>
            </w:r>
            <w:r>
              <w:rPr>
                <w:rFonts w:eastAsia="方正仿宋_GBK"/>
                <w:snapToGrid w:val="0"/>
                <w:color w:val="000000"/>
                <w:szCs w:val="21"/>
              </w:rPr>
              <w:t>Liang Jianbo, Wei Qiang, Yu Hai, Lan Zhixiang</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2013 Mar-Apr;7(3-4):E237-40</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w:t>
            </w:r>
            <w:r>
              <w:rPr>
                <w:rFonts w:ascii="仿宋_GB2312" w:hAnsi="仿宋_GB2312" w:eastAsia="仿宋_GB2312" w:cs="仿宋_GB2312"/>
                <w:szCs w:val="21"/>
              </w:rPr>
              <w:t>013-04-16</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Increased expression of ZEB1-AS1 correlates with higher histopathological grade and promotes tumorigenesis in bladder cancer</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Oncotarget</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Lin J, Zhan Y, Liu Y, Chen Z, Liang J, Li W, He A, Zhou L, Mei H, Wang F, Huang W</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2017 Apr 11;8(15):24202-24212</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2017-04-11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黄卫人</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林俊浩</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深圳市第二人民医院/广西壮族自治区人民医院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CD44 regulates prostate cancer proliferation, invasion and migration via PDK1 and PFKFB4</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Oncotarget</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Li W, Qian L, Lin J, Huang G, Hao N, Wei X, Wang W, Liang J</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2017, 8 (39): 65143-65151</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2017-05-11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膀胱灌注化疗患者生活质量与下尿路症状的相关性研究</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中华泌尿外科杂志</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李伟，梁建波</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hint="eastAsia" w:eastAsia="方正仿宋_GBK"/>
                <w:snapToGrid w:val="0"/>
                <w:color w:val="000000"/>
                <w:szCs w:val="21"/>
              </w:rPr>
              <w:t>2014，35(9): 664-667</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2014-09-01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基质金属蛋白酶抑制剂和多西他赛协同抑制前列腺癌细胞存活的研究</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中华实验外科杂志</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潜力，邱莉，符翠莉，李伟</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hint="eastAsia" w:eastAsia="方正仿宋_GBK"/>
                <w:snapToGrid w:val="0"/>
                <w:color w:val="000000"/>
                <w:szCs w:val="21"/>
              </w:rPr>
              <w:t>2015， 32（12）:2973-2975</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2015-12-01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潜力</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前列腺癌与糖代谢异常的研究进展</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中华实验外科杂志</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李伟, 梁建波</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2018,35( 12 ): 2353-2355</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2018-12-01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梁建波</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CD44过表达慢病毒载体的构建及其在前列腺癌LNCaP细胞中的表达</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中华老年医学杂志</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潜力，符翠莉，李伟</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hint="eastAsia" w:eastAsia="方正仿宋_GBK"/>
                <w:snapToGrid w:val="0"/>
                <w:color w:val="000000"/>
                <w:szCs w:val="21"/>
              </w:rPr>
              <w:t>2017，36（9）：1015-1018</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2017-09-01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潜力</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基于树突状细胞的前列腺癌的免疫治疗</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临床泌尿外科杂志</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李伟，肖亚军</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hint="eastAsia" w:eastAsia="方正仿宋_GBK"/>
                <w:snapToGrid w:val="0"/>
                <w:color w:val="000000"/>
                <w:szCs w:val="21"/>
              </w:rPr>
              <w:t>2004，Mar，19（3）：190-191</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2004-03-01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肖亚军</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华中科技大学同济医学院附属协和医院泌尿外科</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前列腺癌组织中Hepsin的表达及其与临床病理特征的相关性研究</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华中科技大学学报(医学版)</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李伟; 肖亚军</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2006 Jun,35(3):366-368</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2006-03-01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肖亚军</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华中科技大学同济医学院附属协和医院泌尿外科</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应用原位荧光杂交技术诊断尿路上皮癌的临床研究</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中国癌症杂志</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李伟，梁建波，韦华玉，莫耀禧</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hint="eastAsia" w:eastAsia="方正仿宋_GBK"/>
                <w:snapToGrid w:val="0"/>
                <w:color w:val="000000"/>
                <w:szCs w:val="21"/>
              </w:rPr>
              <w:t>2010，20(1):36-39</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2010-01-01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梁建波</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尿脱落细胞学与尿路上皮癌临床病理特征的相关性</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肿瘤防治研究</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李伟，梁建波，韦华玉</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hint="eastAsia" w:eastAsia="方正仿宋_GBK"/>
                <w:snapToGrid w:val="0"/>
                <w:color w:val="000000"/>
                <w:szCs w:val="21"/>
              </w:rPr>
              <w:t>2010，37（4）：482-483</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2010-04-01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表浅性膀胱癌的腔内手术治疗进展</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国际泌尿系统杂志</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李伟，梁建波</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2011,31(5):647-649</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2011-05-01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JAK-STAT信号途径在人类肾癌组织中的表达</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实用医学杂志</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李伟，梁建波，韦强，韦华玉，蓝志相，玉海</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hint="eastAsia" w:eastAsia="方正仿宋_GBK"/>
                <w:snapToGrid w:val="0"/>
                <w:color w:val="000000"/>
                <w:szCs w:val="21"/>
              </w:rPr>
              <w:t>2013,29（15）：2497-99</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2014-03-21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干扰素体外干预对肾癌组织STAT1和P-STAT1表达的影响</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天津医药</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李伟，梁建波</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hint="eastAsia" w:eastAsia="方正仿宋_GBK"/>
                <w:snapToGrid w:val="0"/>
                <w:color w:val="000000"/>
                <w:szCs w:val="21"/>
              </w:rPr>
              <w:t>2013, 41（10）：1012-1013</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2013-10-30</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JAK-STAT途径mRNA在肾癌的表达及临床意义</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现代泌尿外科杂志</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李伟，梁建波</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2014,(1):52-54</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2014-03-06</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PFKFB4在肿瘤糖代谢中的作用及其机制的研究进展</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中国临床新医学</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李锡明，李伟</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hint="eastAsia" w:eastAsia="方正仿宋_GBK"/>
                <w:snapToGrid w:val="0"/>
                <w:color w:val="000000"/>
                <w:szCs w:val="21"/>
              </w:rPr>
              <w:t>2018，11(10):1044-1047</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2018-12-17</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李锡明</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JAK-STAT信号途径和肾细胞癌干扰素抵抗的研究进展</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医学综述</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潜力，李伟</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2014,20(22):4077-4078</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2015-01-16</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潜力</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前列腺特异性抗原相关参数在前列腺穿刺中的应用及其研究进展</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现代泌尿外科杂志</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黄桂海，李伟</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hint="eastAsia" w:eastAsia="方正仿宋_GBK"/>
                <w:snapToGrid w:val="0"/>
                <w:color w:val="000000"/>
                <w:szCs w:val="21"/>
              </w:rPr>
              <w:t>2019，24（1）：72-76</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2019-01-01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黄桂海</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SPOP蛋白在肾细胞癌中的表达及其功能的研究进展</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临床泌尿外科杂志</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陈志，李伟</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hint="eastAsia" w:eastAsia="方正仿宋_GBK"/>
                <w:snapToGrid w:val="0"/>
                <w:color w:val="000000"/>
                <w:szCs w:val="21"/>
              </w:rPr>
              <w:t>2020，35（2）：153-157</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2020-06-11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陈志</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多西他赛联合基质金属蛋白酶抑制剂SB-3CT对前列腺癌移植瘤生长的影响</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中国癌症防治杂志</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潜力，符翠莉，李锡明，黄桂海，林俊浩，李伟</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hint="eastAsia" w:eastAsia="方正仿宋_GBK"/>
                <w:snapToGrid w:val="0"/>
                <w:color w:val="000000"/>
                <w:szCs w:val="21"/>
              </w:rPr>
              <w:t>2020，12（2）：191-195</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2020-05-14</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潜力</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前列腺特异性抗原相关参数在前列腺活检策略中的价值：单中心回顾性研究</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中国临床新医学</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黄桂海，李钻，农德勇，李伟</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2021,14(7):668-674</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2021-08-18</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黄桂海</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蛋白激酶B在肾细胞癌中表达及其功能的研究进展</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泌尿外科杂志（电子版）</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李钻，李伟</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hint="eastAsia" w:eastAsia="方正仿宋_GBK"/>
                <w:snapToGrid w:val="0"/>
                <w:color w:val="000000"/>
                <w:szCs w:val="21"/>
              </w:rPr>
              <w:t>2021，13（2）：85-91</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2021-07-26</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李钻</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PDK1基因shRNA慢病毒载体构建及干扰效应鉴定</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中国临床新医学</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郝南，农德勇，李钻，林俊浩，黄桂海，李锡明，李伟</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hint="eastAsia" w:eastAsia="方正仿宋_GBK"/>
                <w:snapToGrid w:val="0"/>
                <w:color w:val="000000"/>
                <w:szCs w:val="21"/>
              </w:rPr>
              <w:t>2021，14（8）：773-778</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2021-09-14</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郝南</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人前列腺癌细胞PFKFB4基因RNA干扰慢病毒构建与鉴定</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西部医学</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hint="eastAsia" w:eastAsia="方正仿宋_GBK"/>
                <w:snapToGrid w:val="0"/>
                <w:color w:val="000000"/>
                <w:szCs w:val="21"/>
              </w:rPr>
              <w:t>郝南，农德勇，李钻，林俊浩，黄桂海，李锡明，李伟</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2022,24(8):1115-1120</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2022-08-23</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李伟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郝南</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Androgen-deprivation therapy-induced aggressive prostate cancer with neuroendocrine differentiation</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Asian J Androl</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Lipianskaya J, Cohen A, Chen CJ, Hsia E, Squires J, Li Z, Zhang Y, Li W, Chen X, Xu H, Huang J</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2014 Jul-Aug;16(4):541-4</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2014-07-01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ascii="仿宋_GB2312" w:hAnsi="仿宋_GB2312" w:eastAsia="仿宋_GB2312" w:cs="仿宋_GB2312"/>
                <w:szCs w:val="21"/>
              </w:rPr>
              <w:t>Julia Lipianskaya</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黄教悌</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加州大学洛杉矶分校</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Neuroendocrine differentiation of prostate cancer</w:t>
            </w:r>
          </w:p>
        </w:tc>
        <w:tc>
          <w:tcPr>
            <w:tcW w:w="1170" w:type="dxa"/>
            <w:gridSpan w:val="2"/>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Asian J Androl</w:t>
            </w:r>
          </w:p>
        </w:tc>
        <w:tc>
          <w:tcPr>
            <w:tcW w:w="1035" w:type="dxa"/>
            <w:tcMar>
              <w:left w:w="57" w:type="dxa"/>
              <w:right w:w="57" w:type="dxa"/>
            </w:tcMar>
            <w:vAlign w:val="center"/>
          </w:tcPr>
          <w:p>
            <w:pPr>
              <w:autoSpaceDE w:val="0"/>
              <w:autoSpaceDN w:val="0"/>
              <w:adjustRightInd w:val="0"/>
              <w:jc w:val="left"/>
              <w:rPr>
                <w:rFonts w:eastAsia="方正仿宋_GBK"/>
                <w:snapToGrid w:val="0"/>
                <w:color w:val="000000"/>
                <w:szCs w:val="21"/>
              </w:rPr>
            </w:pPr>
            <w:r>
              <w:rPr>
                <w:rFonts w:eastAsia="方正仿宋_GBK"/>
                <w:snapToGrid w:val="0"/>
                <w:color w:val="000000"/>
                <w:szCs w:val="21"/>
              </w:rPr>
              <w:t>Li Z, Chen CJ, Wang JK, Hsia E, Li W, Squires J, Sun Y, Huang J</w:t>
            </w:r>
          </w:p>
        </w:tc>
        <w:tc>
          <w:tcPr>
            <w:tcW w:w="975" w:type="dxa"/>
            <w:tcMar>
              <w:left w:w="57" w:type="dxa"/>
              <w:right w:w="57" w:type="dxa"/>
            </w:tcMar>
            <w:vAlign w:val="center"/>
          </w:tcPr>
          <w:p>
            <w:pPr>
              <w:adjustRightInd w:val="0"/>
              <w:snapToGrid w:val="0"/>
              <w:rPr>
                <w:rFonts w:eastAsia="方正仿宋_GBK"/>
                <w:snapToGrid w:val="0"/>
                <w:color w:val="000000"/>
                <w:szCs w:val="21"/>
              </w:rPr>
            </w:pPr>
            <w:r>
              <w:rPr>
                <w:rFonts w:eastAsia="方正仿宋_GBK"/>
                <w:snapToGrid w:val="0"/>
                <w:color w:val="000000"/>
                <w:szCs w:val="21"/>
              </w:rPr>
              <w:t>2013 May;15(3):328-32</w:t>
            </w:r>
          </w:p>
        </w:tc>
        <w:tc>
          <w:tcPr>
            <w:tcW w:w="855"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hint="eastAsia" w:ascii="仿宋_GB2312" w:hAnsi="仿宋_GB2312" w:eastAsia="仿宋_GB2312" w:cs="仿宋_GB2312"/>
                <w:szCs w:val="21"/>
              </w:rPr>
              <w:t>2013-05-01</w:t>
            </w:r>
          </w:p>
        </w:tc>
        <w:tc>
          <w:tcPr>
            <w:tcW w:w="1034" w:type="dxa"/>
            <w:tcMar>
              <w:left w:w="57" w:type="dxa"/>
              <w:right w:w="57" w:type="dxa"/>
            </w:tcMar>
            <w:vAlign w:val="center"/>
          </w:tcPr>
          <w:p>
            <w:pPr>
              <w:autoSpaceDE w:val="0"/>
              <w:autoSpaceDN w:val="0"/>
              <w:adjustRightInd w:val="0"/>
              <w:jc w:val="left"/>
              <w:rPr>
                <w:rFonts w:ascii="仿宋_GB2312" w:hAnsi="仿宋_GB2312" w:eastAsia="仿宋_GB2312" w:cs="仿宋_GB2312"/>
                <w:szCs w:val="21"/>
              </w:rPr>
            </w:pPr>
            <w:r>
              <w:rPr>
                <w:rFonts w:ascii="仿宋_GB2312" w:hAnsi="仿宋_GB2312" w:eastAsia="仿宋_GB2312" w:cs="仿宋_GB2312"/>
                <w:szCs w:val="21"/>
              </w:rPr>
              <w:t>Zhen Li</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黄教悌</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加州大学洛杉矶分校</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腹膜外机器人与腹腔镜手术学</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ISBN：9787568023290</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潘峰，韩晓敏，汪良</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2018-06-01</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华中科技大学出版社</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ascii="仿宋_GB2312" w:hAnsi="仿宋_GB2312" w:eastAsia="仿宋_GB2312" w:cs="仿宋_GB2312"/>
                <w:szCs w:val="21"/>
              </w:rPr>
              <w:t>武汉协和医院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技术奖励办法实施细则》相关规定，提名该个人、组织为广西科学技术</w:t>
            </w:r>
            <w:bookmarkStart w:id="0" w:name="_GoBack"/>
            <w:bookmarkEnd w:id="0"/>
            <w:r>
              <w:rPr>
                <w:rFonts w:hint="eastAsia" w:ascii="仿宋_GB2312" w:hAnsi="仿宋_GB2312" w:eastAsia="仿宋_GB2312" w:cs="仿宋_GB2312"/>
                <w:bCs/>
                <w:spacing w:val="2"/>
                <w:sz w:val="28"/>
                <w:szCs w:val="28"/>
              </w:rPr>
              <w:t>奖</w:t>
            </w:r>
            <w:r>
              <w:rPr>
                <w:rFonts w:hint="eastAsia" w:ascii="仿宋_GB2312" w:hAnsi="仿宋_GB2312" w:eastAsia="仿宋_GB2312" w:cs="仿宋_GB2312"/>
                <w:bCs/>
                <w:color w:val="auto"/>
                <w:spacing w:val="2"/>
                <w:sz w:val="28"/>
                <w:szCs w:val="28"/>
                <w:lang w:eastAsia="zh-CN"/>
              </w:rPr>
              <w:t>（科学技术进步奖</w:t>
            </w:r>
            <w:r>
              <w:rPr>
                <w:rFonts w:hint="eastAsia" w:ascii="仿宋_GB2312" w:hAnsi="仿宋_GB2312" w:eastAsia="仿宋_GB2312" w:cs="仿宋_GB2312"/>
                <w:bCs/>
                <w:color w:val="auto"/>
                <w:spacing w:val="2"/>
                <w:sz w:val="28"/>
                <w:szCs w:val="28"/>
                <w:lang w:val="en-US" w:eastAsia="zh-CN"/>
              </w:rPr>
              <w:t>-社会公益类</w:t>
            </w:r>
            <w:r>
              <w:rPr>
                <w:rFonts w:hint="eastAsia" w:ascii="仿宋_GB2312" w:hAnsi="仿宋_GB2312" w:eastAsia="仿宋_GB2312" w:cs="仿宋_GB2312"/>
                <w:bCs/>
                <w:color w:val="auto"/>
                <w:spacing w:val="2"/>
                <w:sz w:val="28"/>
                <w:szCs w:val="28"/>
                <w:lang w:eastAsia="zh-CN"/>
              </w:rPr>
              <w:t>）</w:t>
            </w:r>
            <w:r>
              <w:rPr>
                <w:rFonts w:hint="eastAsia" w:ascii="仿宋_GB2312" w:hAnsi="仿宋_GB2312" w:eastAsia="仿宋_GB2312" w:cs="仿宋_GB2312"/>
                <w:bCs/>
                <w:spacing w:val="2"/>
                <w:sz w:val="28"/>
                <w:szCs w:val="28"/>
              </w:rPr>
              <w:t>二等奖候选个人、候选组织。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自治区人民医院是自治区人民政府主办、自治区卫生健康委直属的广西规模最大的三级甲等公立医院，2021年5月获批挂牌广西医学科学院，承担医疗、科研、教学、预防、保健、康复和健康管理等工作任务。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280" w:firstLineChars="1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在泌尿系肿瘤分子研究和临床诊疗技术创新方面做出了系列成果，对泌尿系肿瘤葡萄糖代谢异常和药物抵抗的分子机制进行探索。推广生活质量问卷和在膀胱癌患者中的应用，发现早期生活质量损害。建立前列腺癌诊疗一体化智能平台提高规范化诊治水平，依托平台进行南宁市中老年男性前列腺疾病流行病学调查并建立数据库；对泌尿肿瘤手术进行改良和创新，完成广西首例单孔机器人前列腺癌根治术和USC原位新膀胱手术并加以推广。项目成果在区内20家医疗机构推广应用，惠及数百名患者，发表SCI论文在内的论文35篇，专著1篇，实用新型专利1项，培养研究生5人。成果在学术上丰富了泌尿系肿瘤的分子理论，实践上改良了临床诊疗方法，优化了传统的诊疗策略，显著推动了泌尿系肿瘤诊疗领域的科技进步。</w:t>
            </w:r>
          </w:p>
        </w:tc>
      </w:tr>
    </w:tbl>
    <w:p>
      <w:pPr>
        <w:pStyle w:val="10"/>
        <w:spacing w:line="240" w:lineRule="exact"/>
        <w:rPr>
          <w:sz w:val="21"/>
          <w:szCs w:val="21"/>
        </w:rPr>
      </w:pPr>
    </w:p>
    <w:p>
      <w:pPr>
        <w:pStyle w:val="10"/>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dlMDJkMWY0NzMwOTMyNjM3YWM1MjE4YWZjMjliZmIifQ=="/>
  </w:docVars>
  <w:rsids>
    <w:rsidRoot w:val="0CC8630E"/>
    <w:rsid w:val="00041556"/>
    <w:rsid w:val="000446FE"/>
    <w:rsid w:val="00085927"/>
    <w:rsid w:val="000C3929"/>
    <w:rsid w:val="000C4FAD"/>
    <w:rsid w:val="000D3025"/>
    <w:rsid w:val="00147A2E"/>
    <w:rsid w:val="00150A75"/>
    <w:rsid w:val="001625C2"/>
    <w:rsid w:val="00164A6B"/>
    <w:rsid w:val="0017301F"/>
    <w:rsid w:val="001A7D5D"/>
    <w:rsid w:val="001F28D5"/>
    <w:rsid w:val="00215A54"/>
    <w:rsid w:val="002174AE"/>
    <w:rsid w:val="0024349A"/>
    <w:rsid w:val="002E2839"/>
    <w:rsid w:val="002E29E5"/>
    <w:rsid w:val="002E4E61"/>
    <w:rsid w:val="00316757"/>
    <w:rsid w:val="00322E1C"/>
    <w:rsid w:val="0032763D"/>
    <w:rsid w:val="00344C36"/>
    <w:rsid w:val="00364F2A"/>
    <w:rsid w:val="00397A8E"/>
    <w:rsid w:val="003A1D45"/>
    <w:rsid w:val="003D215F"/>
    <w:rsid w:val="003E1630"/>
    <w:rsid w:val="003E1E24"/>
    <w:rsid w:val="00405B78"/>
    <w:rsid w:val="004132A5"/>
    <w:rsid w:val="00424BE1"/>
    <w:rsid w:val="00467E70"/>
    <w:rsid w:val="0047647A"/>
    <w:rsid w:val="00484CB9"/>
    <w:rsid w:val="0048501C"/>
    <w:rsid w:val="00486B74"/>
    <w:rsid w:val="004A579D"/>
    <w:rsid w:val="004B6FCA"/>
    <w:rsid w:val="00512636"/>
    <w:rsid w:val="00536303"/>
    <w:rsid w:val="005738A8"/>
    <w:rsid w:val="00574E6C"/>
    <w:rsid w:val="005E5652"/>
    <w:rsid w:val="00612A49"/>
    <w:rsid w:val="00632EEB"/>
    <w:rsid w:val="006872C9"/>
    <w:rsid w:val="0069054E"/>
    <w:rsid w:val="00697E22"/>
    <w:rsid w:val="006B7C74"/>
    <w:rsid w:val="006E3717"/>
    <w:rsid w:val="006E76A2"/>
    <w:rsid w:val="006F370C"/>
    <w:rsid w:val="006F3DBB"/>
    <w:rsid w:val="007206DA"/>
    <w:rsid w:val="00721DDC"/>
    <w:rsid w:val="007431C5"/>
    <w:rsid w:val="0077744E"/>
    <w:rsid w:val="007921DA"/>
    <w:rsid w:val="007F476B"/>
    <w:rsid w:val="00812DB7"/>
    <w:rsid w:val="008251F9"/>
    <w:rsid w:val="00836DCF"/>
    <w:rsid w:val="00857679"/>
    <w:rsid w:val="008836FA"/>
    <w:rsid w:val="00883AAA"/>
    <w:rsid w:val="008A03E0"/>
    <w:rsid w:val="008B6D40"/>
    <w:rsid w:val="008F2F46"/>
    <w:rsid w:val="008F52DA"/>
    <w:rsid w:val="008F684D"/>
    <w:rsid w:val="0096110E"/>
    <w:rsid w:val="009B1324"/>
    <w:rsid w:val="009B1F1F"/>
    <w:rsid w:val="00A118B6"/>
    <w:rsid w:val="00A356C1"/>
    <w:rsid w:val="00A35A27"/>
    <w:rsid w:val="00A424C0"/>
    <w:rsid w:val="00A503DC"/>
    <w:rsid w:val="00A52AC2"/>
    <w:rsid w:val="00A63EF1"/>
    <w:rsid w:val="00A71297"/>
    <w:rsid w:val="00AA6833"/>
    <w:rsid w:val="00AB632E"/>
    <w:rsid w:val="00AC29E7"/>
    <w:rsid w:val="00AF0364"/>
    <w:rsid w:val="00AF1C45"/>
    <w:rsid w:val="00B06479"/>
    <w:rsid w:val="00B07B07"/>
    <w:rsid w:val="00B77648"/>
    <w:rsid w:val="00BC4F33"/>
    <w:rsid w:val="00BC534C"/>
    <w:rsid w:val="00BD0E7F"/>
    <w:rsid w:val="00C00255"/>
    <w:rsid w:val="00C07A1D"/>
    <w:rsid w:val="00C16DC7"/>
    <w:rsid w:val="00C45EEE"/>
    <w:rsid w:val="00C71187"/>
    <w:rsid w:val="00C72A5C"/>
    <w:rsid w:val="00CA319F"/>
    <w:rsid w:val="00CA6798"/>
    <w:rsid w:val="00CA7D3F"/>
    <w:rsid w:val="00CE49E8"/>
    <w:rsid w:val="00CE4B73"/>
    <w:rsid w:val="00CF3C70"/>
    <w:rsid w:val="00CF56B3"/>
    <w:rsid w:val="00D048DE"/>
    <w:rsid w:val="00D22D21"/>
    <w:rsid w:val="00D91894"/>
    <w:rsid w:val="00DA0BEF"/>
    <w:rsid w:val="00DA32A9"/>
    <w:rsid w:val="00DB2234"/>
    <w:rsid w:val="00DC4537"/>
    <w:rsid w:val="00DC668E"/>
    <w:rsid w:val="00DE0ECA"/>
    <w:rsid w:val="00DE74D0"/>
    <w:rsid w:val="00E05E7D"/>
    <w:rsid w:val="00E22DD1"/>
    <w:rsid w:val="00E234FA"/>
    <w:rsid w:val="00E45903"/>
    <w:rsid w:val="00E45B12"/>
    <w:rsid w:val="00E64163"/>
    <w:rsid w:val="00E856AB"/>
    <w:rsid w:val="00E93196"/>
    <w:rsid w:val="00EC4F39"/>
    <w:rsid w:val="00ED44E1"/>
    <w:rsid w:val="00F149CC"/>
    <w:rsid w:val="00F4603E"/>
    <w:rsid w:val="00FB0B1F"/>
    <w:rsid w:val="00FB362B"/>
    <w:rsid w:val="00FB62D1"/>
    <w:rsid w:val="00FD0F8B"/>
    <w:rsid w:val="00FE180C"/>
    <w:rsid w:val="04BE1ED6"/>
    <w:rsid w:val="0CC8630E"/>
    <w:rsid w:val="241F02D3"/>
    <w:rsid w:val="29951729"/>
    <w:rsid w:val="340A596A"/>
    <w:rsid w:val="43DA1533"/>
    <w:rsid w:val="591A65C1"/>
    <w:rsid w:val="5BE93EEE"/>
    <w:rsid w:val="5DF757EE"/>
    <w:rsid w:val="73BC66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 w:type="character" w:customStyle="1" w:styleId="13">
    <w:name w:val="ant-descriptions-item-content"/>
    <w:basedOn w:val="9"/>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1001</Words>
  <Characters>5709</Characters>
  <Lines>47</Lines>
  <Paragraphs>13</Paragraphs>
  <TotalTime>0</TotalTime>
  <ScaleCrop>false</ScaleCrop>
  <LinksUpToDate>false</LinksUpToDate>
  <CharactersWithSpaces>6697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2023-08-23T00:12:00Z</dcterms:created>
  <dc:creator>lenovo</dc:creator>
  <cp:lastModifiedBy>猫-GM</cp:lastModifiedBy>
  <dcterms:modified xsi:type="dcterms:W3CDTF">2023-08-23T09:31:07Z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