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ascii="黑体" w:eastAsia="黑体"/>
          <w:sz w:val="32"/>
          <w:szCs w:val="32"/>
        </w:rPr>
      </w:pPr>
      <w:r>
        <w:rPr>
          <w:rFonts w:hint="eastAsia" w:ascii="黑体" w:eastAsia="黑体"/>
          <w:sz w:val="32"/>
          <w:szCs w:val="32"/>
        </w:rPr>
        <w:t>附件1</w:t>
      </w:r>
    </w:p>
    <w:p>
      <w:pPr>
        <w:spacing w:line="520" w:lineRule="exact"/>
        <w:jc w:val="center"/>
        <w:rPr>
          <w:rFonts w:hint="eastAsia" w:ascii="仿宋_GB2312" w:hAnsi="仿宋_GB2312" w:eastAsia="仿宋_GB2312" w:cs="仿宋_GB2312"/>
          <w:bCs/>
          <w:szCs w:val="21"/>
          <w:lang w:val="en-US" w:eastAsia="zh-CN"/>
        </w:rPr>
      </w:pPr>
      <w:r>
        <w:rPr>
          <w:rFonts w:hint="eastAsia" w:ascii="方正小标宋简体" w:hAnsi="方正小标宋简体" w:eastAsia="方正小标宋简体" w:cs="方正小标宋简体"/>
          <w:sz w:val="44"/>
          <w:szCs w:val="44"/>
        </w:rPr>
        <w:t>广西科学技术奖提名公示表</w:t>
      </w:r>
    </w:p>
    <w:tbl>
      <w:tblPr>
        <w:tblStyle w:val="7"/>
        <w:tblpPr w:leftFromText="180" w:rightFromText="180" w:vertAnchor="text" w:horzAnchor="page" w:tblpXSpec="center" w:tblpY="215"/>
        <w:tblOverlap w:val="never"/>
        <w:tblW w:w="998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05"/>
        <w:gridCol w:w="582"/>
        <w:gridCol w:w="588"/>
        <w:gridCol w:w="1035"/>
        <w:gridCol w:w="975"/>
        <w:gridCol w:w="855"/>
        <w:gridCol w:w="1034"/>
        <w:gridCol w:w="883"/>
        <w:gridCol w:w="783"/>
        <w:gridCol w:w="834"/>
        <w:gridCol w:w="120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787"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
                <w:bCs w:val="0"/>
                <w:sz w:val="28"/>
                <w:szCs w:val="28"/>
                <w:lang w:val="en-US" w:eastAsia="zh-CN"/>
              </w:rPr>
            </w:pPr>
            <w:r>
              <w:rPr>
                <w:rFonts w:hint="eastAsia" w:ascii="仿宋_GB2312" w:hAnsi="仿宋_GB2312" w:eastAsia="仿宋_GB2312" w:cs="仿宋_GB2312"/>
                <w:b/>
                <w:bCs w:val="0"/>
                <w:sz w:val="28"/>
                <w:szCs w:val="28"/>
                <w:lang w:val="en-US" w:eastAsia="zh-CN"/>
              </w:rPr>
              <w:t>成果名称</w:t>
            </w:r>
          </w:p>
        </w:tc>
        <w:tc>
          <w:tcPr>
            <w:tcW w:w="8193"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广西黄氏壮医针灸流派的传承创新与应用示范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74" w:hRule="atLeast"/>
          <w:jc w:val="center"/>
        </w:trPr>
        <w:tc>
          <w:tcPr>
            <w:tcW w:w="1787"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
                <w:bCs w:val="0"/>
                <w:sz w:val="28"/>
                <w:szCs w:val="28"/>
                <w:lang w:val="en-US" w:eastAsia="zh-CN"/>
              </w:rPr>
            </w:pPr>
            <w:r>
              <w:rPr>
                <w:rFonts w:hint="eastAsia" w:ascii="仿宋_GB2312" w:hAnsi="仿宋_GB2312" w:eastAsia="仿宋_GB2312" w:cs="仿宋_GB2312"/>
                <w:b/>
                <w:bCs w:val="0"/>
                <w:sz w:val="28"/>
                <w:szCs w:val="28"/>
                <w:lang w:val="en-US" w:eastAsia="zh-CN"/>
              </w:rPr>
              <w:t>候选个人</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
                <w:bCs w:val="0"/>
                <w:sz w:val="28"/>
                <w:szCs w:val="28"/>
                <w:lang w:val="en-US" w:eastAsia="zh-CN"/>
              </w:rPr>
            </w:pPr>
            <w:r>
              <w:rPr>
                <w:rFonts w:hint="eastAsia" w:ascii="仿宋_GB2312" w:hAnsi="仿宋_GB2312" w:eastAsia="仿宋_GB2312" w:cs="仿宋_GB2312"/>
                <w:b/>
                <w:bCs w:val="0"/>
                <w:sz w:val="28"/>
                <w:szCs w:val="28"/>
                <w:lang w:val="en-US" w:eastAsia="zh-CN"/>
              </w:rPr>
              <w:t>（完成人）</w:t>
            </w:r>
          </w:p>
        </w:tc>
        <w:tc>
          <w:tcPr>
            <w:tcW w:w="8193"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李美康,黄贵华,黄瑾明,秦祖杰,韩海涛,李婕,赖菁菁,宋宁,李秀娟,谢玉华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87"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
                <w:bCs w:val="0"/>
                <w:sz w:val="28"/>
                <w:szCs w:val="28"/>
                <w:lang w:val="en-US" w:eastAsia="zh-CN"/>
              </w:rPr>
            </w:pPr>
            <w:r>
              <w:rPr>
                <w:rFonts w:hint="eastAsia" w:ascii="仿宋_GB2312" w:hAnsi="仿宋_GB2312" w:eastAsia="仿宋_GB2312" w:cs="仿宋_GB2312"/>
                <w:b/>
                <w:bCs w:val="0"/>
                <w:sz w:val="28"/>
                <w:szCs w:val="28"/>
                <w:lang w:val="en-US" w:eastAsia="zh-CN"/>
              </w:rPr>
              <w:t>候选组织</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
                <w:bCs w:val="0"/>
                <w:sz w:val="28"/>
                <w:szCs w:val="28"/>
                <w:lang w:val="en-US" w:eastAsia="zh-CN"/>
              </w:rPr>
            </w:pPr>
            <w:r>
              <w:rPr>
                <w:rFonts w:hint="eastAsia" w:ascii="仿宋_GB2312" w:hAnsi="仿宋_GB2312" w:eastAsia="仿宋_GB2312" w:cs="仿宋_GB2312"/>
                <w:b/>
                <w:bCs w:val="0"/>
                <w:sz w:val="28"/>
                <w:szCs w:val="28"/>
                <w:lang w:val="en-US" w:eastAsia="zh-CN"/>
              </w:rPr>
              <w:t>（完成单位）</w:t>
            </w:r>
          </w:p>
        </w:tc>
        <w:tc>
          <w:tcPr>
            <w:tcW w:w="8193"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广西中医药大学第一附属医院(广西中医医院),广西国际壮医医院（广西壮族自治区民族医药研究院）,广西中医药大学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1787"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
                <w:bCs w:val="0"/>
                <w:sz w:val="28"/>
                <w:szCs w:val="28"/>
                <w:lang w:val="en-US" w:eastAsia="zh-CN"/>
              </w:rPr>
            </w:pPr>
            <w:r>
              <w:rPr>
                <w:rFonts w:hint="eastAsia" w:ascii="仿宋_GB2312" w:hAnsi="仿宋_GB2312" w:eastAsia="仿宋_GB2312" w:cs="仿宋_GB2312"/>
                <w:b/>
                <w:bCs w:val="0"/>
                <w:sz w:val="28"/>
                <w:szCs w:val="28"/>
                <w:lang w:val="en-US" w:eastAsia="zh-CN"/>
              </w:rPr>
              <w:t>提 名 者</w:t>
            </w:r>
          </w:p>
        </w:tc>
        <w:tc>
          <w:tcPr>
            <w:tcW w:w="8193"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自治区卫生健康委员会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知识产权（标准）类别</w:t>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知识产权（标准）具体名称</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国家</w:t>
            </w:r>
          </w:p>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（地区）</w:t>
            </w: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授权号（标准编号）</w:t>
            </w:r>
          </w:p>
        </w:tc>
        <w:tc>
          <w:tcPr>
            <w:tcW w:w="85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授权（标准发布）日期</w:t>
            </w:r>
          </w:p>
        </w:tc>
        <w:tc>
          <w:tcPr>
            <w:tcW w:w="1034"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证书编号</w:t>
            </w:r>
          </w:p>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（标准批准发布部门）</w:t>
            </w: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权利人（标准起草单位）</w:t>
            </w: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发明人（标准起草人）</w:t>
            </w:r>
          </w:p>
        </w:tc>
        <w:tc>
          <w:tcPr>
            <w:tcW w:w="834"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发明专利（标准）有效状态</w:t>
            </w: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广西单位是否为原始权利人、起草人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spacing w:line="260" w:lineRule="exact"/>
              <w:jc w:val="center"/>
              <w:rPr>
                <w:rFonts w:hint="default"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实用新型专利</w:t>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一种壮医莲花针</w:t>
            </w:r>
          </w:p>
        </w:tc>
        <w:tc>
          <w:tcPr>
            <w:tcW w:w="1035" w:type="dxa"/>
            <w:tcMar>
              <w:left w:w="57" w:type="dxa"/>
              <w:right w:w="57" w:type="dxa"/>
            </w:tcMar>
            <w:vAlign w:val="center"/>
          </w:tcPr>
          <w:p>
            <w:pPr>
              <w:spacing w:line="260" w:lineRule="exact"/>
              <w:jc w:val="center"/>
              <w:rPr>
                <w:rFonts w:hint="default"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中国</w:t>
            </w: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Zl201820269446.8</w:t>
            </w:r>
          </w:p>
        </w:tc>
        <w:tc>
          <w:tcPr>
            <w:tcW w:w="85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2019.06.0</w:t>
            </w:r>
            <w:r>
              <w:rPr>
                <w:rFonts w:hint="default" w:ascii="仿宋_GB2312" w:hAnsi="仿宋_GB2312" w:eastAsia="仿宋_GB2312" w:cs="仿宋_GB2312"/>
                <w:bCs/>
                <w:szCs w:val="21"/>
                <w:lang w:val="en-US" w:eastAsia="zh-CN"/>
              </w:rPr>
              <w:t>1</w:t>
            </w:r>
          </w:p>
        </w:tc>
        <w:tc>
          <w:tcPr>
            <w:tcW w:w="1034" w:type="dxa"/>
            <w:tcMar>
              <w:left w:w="57" w:type="dxa"/>
              <w:right w:w="57" w:type="dxa"/>
            </w:tcMar>
            <w:vAlign w:val="center"/>
          </w:tcPr>
          <w:p>
            <w:pPr>
              <w:spacing w:line="260" w:lineRule="exact"/>
              <w:jc w:val="center"/>
              <w:rPr>
                <w:rFonts w:hint="default"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第8942951号</w:t>
            </w: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宋宁，李浪辉，黎海珍，梁薇</w:t>
            </w: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宋宁</w:t>
            </w:r>
          </w:p>
        </w:tc>
        <w:tc>
          <w:tcPr>
            <w:tcW w:w="834"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有效</w:t>
            </w: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论文名称</w:t>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刊名</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作者</w:t>
            </w: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年卷页码(xx年xx卷xx页)</w:t>
            </w:r>
          </w:p>
        </w:tc>
        <w:tc>
          <w:tcPr>
            <w:tcW w:w="85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发表时间（年月日）</w:t>
            </w:r>
          </w:p>
        </w:tc>
        <w:tc>
          <w:tcPr>
            <w:tcW w:w="1034"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通讯作者（含共同）</w:t>
            </w: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第一作者(含共同)</w:t>
            </w: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署名单位</w:t>
            </w:r>
          </w:p>
        </w:tc>
        <w:tc>
          <w:tcPr>
            <w:tcW w:w="834"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广西单位是否署名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Observation and Analysis of Clinical Efficacy of Zhuang Medicine Lotus Acupuncture Cupping Stasis Therapy on Patients with Postherpetic Neuralgia. （壮药莲花针拔罐逐瘀疗法治疗带状疱疹后神经痛的临床疗效与分析）</w:t>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Comb Chem High Throughput Screen（组合化学与高通量筛选）</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Jingjing Lai, Meikang Li, Jie Li,Haitao Han , Jinming Huang , Hongling Qin , Xiujuan Li, Lei Tan , Jing Xu, Jinxiu Peng赖菁菁,李美康,李婕,韩海涛,黄瑾明,秦红玲,李秀娟,谭磊,徐晶,彭锦秀</w:t>
            </w: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2023;26(6):1157-1166.</w:t>
            </w:r>
          </w:p>
        </w:tc>
        <w:tc>
          <w:tcPr>
            <w:tcW w:w="855" w:type="dxa"/>
            <w:tcMar>
              <w:left w:w="57" w:type="dxa"/>
              <w:right w:w="57" w:type="dxa"/>
            </w:tcMar>
            <w:vAlign w:val="center"/>
          </w:tcPr>
          <w:p>
            <w:pPr>
              <w:spacing w:line="260" w:lineRule="exact"/>
              <w:jc w:val="center"/>
              <w:rPr>
                <w:rFonts w:hint="default"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2022.08.10</w:t>
            </w:r>
          </w:p>
        </w:tc>
        <w:tc>
          <w:tcPr>
            <w:tcW w:w="1034"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Meikang Li</w:t>
            </w:r>
          </w:p>
          <w:p>
            <w:pPr>
              <w:spacing w:line="260" w:lineRule="exact"/>
              <w:jc w:val="center"/>
              <w:rPr>
                <w:rFonts w:hint="default"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(李美康)</w:t>
            </w:r>
          </w:p>
        </w:tc>
        <w:tc>
          <w:tcPr>
            <w:tcW w:w="883" w:type="dxa"/>
            <w:tcMar>
              <w:left w:w="57" w:type="dxa"/>
              <w:right w:w="57" w:type="dxa"/>
            </w:tcMar>
            <w:vAlign w:val="center"/>
          </w:tcPr>
          <w:p>
            <w:pPr>
              <w:spacing w:line="260" w:lineRule="exact"/>
              <w:jc w:val="center"/>
              <w:rPr>
                <w:rFonts w:hint="default"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Jingjing La(赖菁菁)</w:t>
            </w: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The First Affiliated Hospital of Guangxi University of Chinese Medicine（广西中医药大学第一附属医院）</w:t>
            </w:r>
          </w:p>
        </w:tc>
        <w:tc>
          <w:tcPr>
            <w:tcW w:w="834"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广西黄氏壮医针灸流派天阴阳针法概述</w:t>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中国针灸</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刘儒鹏，王鸿红，宋宁，李美康，秦祖杰，黄凯，黄瑾明</w:t>
            </w: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2020,40(09):991-995.</w:t>
            </w:r>
          </w:p>
        </w:tc>
        <w:tc>
          <w:tcPr>
            <w:tcW w:w="855" w:type="dxa"/>
            <w:tcMar>
              <w:left w:w="57" w:type="dxa"/>
              <w:right w:w="57" w:type="dxa"/>
            </w:tcMar>
            <w:vAlign w:val="center"/>
          </w:tcPr>
          <w:p>
            <w:pPr>
              <w:spacing w:line="260" w:lineRule="exact"/>
              <w:jc w:val="center"/>
              <w:rPr>
                <w:rFonts w:hint="default"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2020.09.10</w:t>
            </w:r>
          </w:p>
        </w:tc>
        <w:tc>
          <w:tcPr>
            <w:tcW w:w="1034"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刘儒鹏</w:t>
            </w: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黄瑾明</w:t>
            </w: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广西中医药大学,广西中医药大学赛恩斯新医药学院,广西中医药大学第一附属医院,广西国际壮医医院</w:t>
            </w:r>
          </w:p>
        </w:tc>
        <w:tc>
          <w:tcPr>
            <w:tcW w:w="834"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壮医药线点灸结合针刺脐环穴治疗偏头痛的即时效应观察</w:t>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时珍国医国药</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宋 宁,曾振东,牙语薷,韦 智,曾微微,雷健茨,李鲜萍</w:t>
            </w: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2018,29(03):639-640.</w:t>
            </w:r>
          </w:p>
        </w:tc>
        <w:tc>
          <w:tcPr>
            <w:tcW w:w="85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2018-03.20</w:t>
            </w:r>
          </w:p>
        </w:tc>
        <w:tc>
          <w:tcPr>
            <w:tcW w:w="1034"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宋 宁</w:t>
            </w: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宋宁</w:t>
            </w: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广西中医药大学第一附属医院,桂林医学院附属学院,深圳中医医院,天津中医药大学,广西中医药大学,广西中医药大学附属瑞康医院</w:t>
            </w:r>
          </w:p>
        </w:tc>
        <w:tc>
          <w:tcPr>
            <w:tcW w:w="834"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p>
        </w:tc>
        <w:tc>
          <w:tcPr>
            <w:tcW w:w="1206" w:type="dxa"/>
            <w:tcMar>
              <w:left w:w="57" w:type="dxa"/>
              <w:right w:w="57" w:type="dxa"/>
            </w:tcMar>
            <w:vAlign w:val="center"/>
          </w:tcPr>
          <w:p>
            <w:pPr>
              <w:spacing w:line="260" w:lineRule="exact"/>
              <w:jc w:val="center"/>
              <w:rPr>
                <w:rFonts w:hint="default"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针刺壮医脐环穴治疗慢性疲劳综合征48例的疗效观察</w:t>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广西医学</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李美康，莫清莲，何贤芬，黄锦军，曾家耀，宋宁，李婕，韩海涛</w:t>
            </w: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2014,36(12):1722-1724.</w:t>
            </w:r>
          </w:p>
        </w:tc>
        <w:tc>
          <w:tcPr>
            <w:tcW w:w="855" w:type="dxa"/>
            <w:tcMar>
              <w:left w:w="57" w:type="dxa"/>
              <w:right w:w="57" w:type="dxa"/>
            </w:tcMar>
            <w:vAlign w:val="center"/>
          </w:tcPr>
          <w:p>
            <w:pPr>
              <w:spacing w:line="260" w:lineRule="exact"/>
              <w:jc w:val="center"/>
              <w:rPr>
                <w:rFonts w:hint="default"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2014.12.01</w:t>
            </w:r>
          </w:p>
        </w:tc>
        <w:tc>
          <w:tcPr>
            <w:tcW w:w="1034"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李美康</w:t>
            </w: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何贤芬</w:t>
            </w: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广西中医药大学第一附属医院,广西中医药大学</w:t>
            </w:r>
          </w:p>
        </w:tc>
        <w:tc>
          <w:tcPr>
            <w:tcW w:w="834"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脐环穴针刺法对慢性湿疹血虚风燥证患者SCOS3-JAK1/SATA5信号通路表达的影响</w:t>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西部中医药</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谢玉华,徐晶,谭磊,赖菁菁,李婕,耿宝忠</w:t>
            </w: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2022,35(08):118-123.</w:t>
            </w:r>
          </w:p>
        </w:tc>
        <w:tc>
          <w:tcPr>
            <w:tcW w:w="85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2022.08.15</w:t>
            </w:r>
          </w:p>
        </w:tc>
        <w:tc>
          <w:tcPr>
            <w:tcW w:w="1034"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谢玉华</w:t>
            </w: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谢玉华</w:t>
            </w: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广西中医药大学第一附属医院</w:t>
            </w:r>
          </w:p>
        </w:tc>
        <w:tc>
          <w:tcPr>
            <w:tcW w:w="834"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壮医莲花针拔罐逐瘀疗法治疗带状疱疹后遗神经痛的效果及其对神经递质P物质与神经激肽-1表达的影响</w:t>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广西医学</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李秀娟，韩海涛，李婕，赖菁菁，秦红玲，黄瑾明，李美康</w:t>
            </w: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2019,41(05):545-548</w:t>
            </w:r>
          </w:p>
        </w:tc>
        <w:tc>
          <w:tcPr>
            <w:tcW w:w="855" w:type="dxa"/>
            <w:tcMar>
              <w:left w:w="57" w:type="dxa"/>
              <w:right w:w="57" w:type="dxa"/>
            </w:tcMar>
            <w:vAlign w:val="center"/>
          </w:tcPr>
          <w:p>
            <w:pPr>
              <w:spacing w:line="260" w:lineRule="exact"/>
              <w:jc w:val="center"/>
              <w:rPr>
                <w:rFonts w:hint="default"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2019.03.15</w:t>
            </w:r>
          </w:p>
        </w:tc>
        <w:tc>
          <w:tcPr>
            <w:tcW w:w="1034"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李秀娟</w:t>
            </w: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李美康</w:t>
            </w: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广西中医药大学第一附属医院</w:t>
            </w:r>
          </w:p>
        </w:tc>
        <w:tc>
          <w:tcPr>
            <w:tcW w:w="834"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论壮医莲花针拔罐逐瘀疗法的发展源流及学术传承</w:t>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中华中医药杂志</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宋宁，庞宗然，秦祖杰，黄瑾明，黄凯，黄缨</w:t>
            </w: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2018,33(09):3802-3805.</w:t>
            </w:r>
          </w:p>
          <w:p>
            <w:pPr>
              <w:spacing w:line="260" w:lineRule="exact"/>
              <w:jc w:val="center"/>
              <w:rPr>
                <w:rFonts w:hint="eastAsia" w:ascii="仿宋_GB2312" w:hAnsi="仿宋_GB2312" w:eastAsia="仿宋_GB2312" w:cs="仿宋_GB2312"/>
                <w:bCs/>
                <w:szCs w:val="21"/>
                <w:lang w:val="en-US" w:eastAsia="zh-CN"/>
              </w:rPr>
            </w:pPr>
          </w:p>
        </w:tc>
        <w:tc>
          <w:tcPr>
            <w:tcW w:w="855" w:type="dxa"/>
            <w:tcMar>
              <w:left w:w="57" w:type="dxa"/>
              <w:right w:w="57" w:type="dxa"/>
            </w:tcMar>
            <w:vAlign w:val="center"/>
          </w:tcPr>
          <w:p>
            <w:pPr>
              <w:spacing w:line="260" w:lineRule="exact"/>
              <w:jc w:val="center"/>
              <w:rPr>
                <w:rFonts w:hint="default"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2018.09.01</w:t>
            </w:r>
          </w:p>
        </w:tc>
        <w:tc>
          <w:tcPr>
            <w:tcW w:w="1034"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宋宁</w:t>
            </w: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庞宗然</w:t>
            </w: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中央民族大学,广西中医药大学,广西中医药大学第一附属医院</w:t>
            </w:r>
          </w:p>
        </w:tc>
        <w:tc>
          <w:tcPr>
            <w:tcW w:w="834"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壮医针刺治疗心肾不交型不寐35例</w:t>
            </w:r>
          </w:p>
          <w:p>
            <w:pPr>
              <w:spacing w:line="260" w:lineRule="exact"/>
              <w:jc w:val="center"/>
              <w:rPr>
                <w:rFonts w:hint="eastAsia" w:ascii="仿宋_GB2312" w:hAnsi="仿宋_GB2312" w:eastAsia="仿宋_GB2312" w:cs="仿宋_GB2312"/>
                <w:bCs/>
                <w:szCs w:val="21"/>
                <w:lang w:val="en-US" w:eastAsia="zh-CN"/>
              </w:rPr>
            </w:pP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中国针灸</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李秀娟，文彬，韩海涛，李婕，李美康，黄瑾明</w:t>
            </w: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2018,38(09):961-962.</w:t>
            </w:r>
          </w:p>
          <w:p>
            <w:pPr>
              <w:spacing w:line="260" w:lineRule="exact"/>
              <w:jc w:val="center"/>
              <w:rPr>
                <w:rFonts w:hint="eastAsia" w:ascii="仿宋_GB2312" w:hAnsi="仿宋_GB2312" w:eastAsia="仿宋_GB2312" w:cs="仿宋_GB2312"/>
                <w:bCs/>
                <w:szCs w:val="21"/>
                <w:lang w:val="en-US" w:eastAsia="zh-CN"/>
              </w:rPr>
            </w:pPr>
          </w:p>
        </w:tc>
        <w:tc>
          <w:tcPr>
            <w:tcW w:w="855" w:type="dxa"/>
            <w:tcMar>
              <w:left w:w="57" w:type="dxa"/>
              <w:right w:w="57" w:type="dxa"/>
            </w:tcMar>
            <w:vAlign w:val="center"/>
          </w:tcPr>
          <w:p>
            <w:pPr>
              <w:spacing w:line="260" w:lineRule="exact"/>
              <w:jc w:val="center"/>
              <w:rPr>
                <w:rFonts w:hint="default"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2018.09.12</w:t>
            </w:r>
          </w:p>
        </w:tc>
        <w:tc>
          <w:tcPr>
            <w:tcW w:w="1034"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李秀娟</w:t>
            </w: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李美康</w:t>
            </w: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广西中医药大学第一附属医院,广西中医药大学附属瑞康医院</w:t>
            </w:r>
          </w:p>
        </w:tc>
        <w:tc>
          <w:tcPr>
            <w:tcW w:w="834"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壮药消痞导滞片治疗功能性消化不良180例的临床疗效研究</w:t>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时珍国医国药</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牟丽环,黄贵华,陆秋静,朱健敏,林华胜,李婕,刘熙荣,周雨晴,黄瑾明,李雪梅</w:t>
            </w: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2017,28(07):1681-1682.</w:t>
            </w:r>
          </w:p>
        </w:tc>
        <w:tc>
          <w:tcPr>
            <w:tcW w:w="85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2020.07.20</w:t>
            </w:r>
          </w:p>
        </w:tc>
        <w:tc>
          <w:tcPr>
            <w:tcW w:w="1034"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牟丽环</w:t>
            </w: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黄贵华</w:t>
            </w: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广西中医药大学,广西中医药大学第一附属医院,广西中医药大学附属瑞康医院</w:t>
            </w:r>
          </w:p>
        </w:tc>
        <w:tc>
          <w:tcPr>
            <w:tcW w:w="834"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专著名称</w:t>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版号</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作者或主编</w:t>
            </w: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出版时间（年月日）</w:t>
            </w:r>
          </w:p>
        </w:tc>
        <w:tc>
          <w:tcPr>
            <w:tcW w:w="85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署名单位</w:t>
            </w:r>
          </w:p>
        </w:tc>
        <w:tc>
          <w:tcPr>
            <w:tcW w:w="1034"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p>
        </w:tc>
        <w:tc>
          <w:tcPr>
            <w:tcW w:w="834"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广西单位是否署名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《壮医针灸学》</w:t>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ISBN 978-7-5132-3732-1</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黄瑾明，宋宁，黄凯，苏曲之</w:t>
            </w:r>
          </w:p>
          <w:p>
            <w:pPr>
              <w:spacing w:line="260" w:lineRule="exact"/>
              <w:jc w:val="center"/>
              <w:rPr>
                <w:rFonts w:hint="eastAsia" w:ascii="仿宋_GB2312" w:hAnsi="仿宋_GB2312" w:eastAsia="仿宋_GB2312" w:cs="仿宋_GB2312"/>
                <w:bCs/>
                <w:szCs w:val="21"/>
                <w:lang w:val="en-US" w:eastAsia="zh-CN"/>
              </w:rPr>
            </w:pPr>
          </w:p>
        </w:tc>
        <w:tc>
          <w:tcPr>
            <w:tcW w:w="975" w:type="dxa"/>
            <w:tcMar>
              <w:left w:w="57" w:type="dxa"/>
              <w:right w:w="57" w:type="dxa"/>
            </w:tcMar>
            <w:vAlign w:val="center"/>
          </w:tcPr>
          <w:p>
            <w:pPr>
              <w:spacing w:line="260" w:lineRule="exact"/>
              <w:jc w:val="center"/>
              <w:rPr>
                <w:rFonts w:hint="default"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2017.09.01</w:t>
            </w:r>
          </w:p>
        </w:tc>
        <w:tc>
          <w:tcPr>
            <w:tcW w:w="85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广西中医药大学第一附属医院,广西中医药大学</w:t>
            </w:r>
          </w:p>
        </w:tc>
        <w:tc>
          <w:tcPr>
            <w:tcW w:w="1034"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p>
        </w:tc>
        <w:tc>
          <w:tcPr>
            <w:tcW w:w="834"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《广西黄氏壮医针灸流派临床经验全图解》</w:t>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ISBN 978-7-5117-28188-1</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黄贵华，李美康，宋宁，苏曲之</w:t>
            </w:r>
          </w:p>
        </w:tc>
        <w:tc>
          <w:tcPr>
            <w:tcW w:w="975" w:type="dxa"/>
            <w:tcMar>
              <w:left w:w="57" w:type="dxa"/>
              <w:right w:w="57" w:type="dxa"/>
            </w:tcMar>
            <w:vAlign w:val="center"/>
          </w:tcPr>
          <w:p>
            <w:pPr>
              <w:spacing w:line="260" w:lineRule="exact"/>
              <w:jc w:val="center"/>
              <w:rPr>
                <w:rFonts w:hint="default"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2019.06.01</w:t>
            </w:r>
          </w:p>
        </w:tc>
        <w:tc>
          <w:tcPr>
            <w:tcW w:w="855" w:type="dxa"/>
            <w:tcMar>
              <w:left w:w="57" w:type="dxa"/>
              <w:right w:w="57" w:type="dxa"/>
            </w:tcMar>
            <w:vAlign w:val="center"/>
          </w:tcPr>
          <w:p>
            <w:pPr>
              <w:spacing w:line="260" w:lineRule="exact"/>
              <w:jc w:val="center"/>
              <w:rPr>
                <w:rFonts w:hint="default"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广西中医药大学第一附属医院,广西中医药大学</w:t>
            </w:r>
          </w:p>
        </w:tc>
        <w:tc>
          <w:tcPr>
            <w:tcW w:w="1034"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p>
        </w:tc>
        <w:tc>
          <w:tcPr>
            <w:tcW w:w="834"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9980" w:type="dxa"/>
            <w:gridSpan w:val="11"/>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提名意见：</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根据《广西科学技术奖励办法》《广西科学</w:t>
            </w:r>
            <w:r>
              <w:rPr>
                <w:rFonts w:hint="eastAsia" w:ascii="仿宋_GB2312" w:hAnsi="仿宋_GB2312" w:eastAsia="仿宋_GB2312" w:cs="仿宋_GB2312"/>
                <w:bCs/>
                <w:spacing w:val="2"/>
                <w:sz w:val="28"/>
                <w:szCs w:val="28"/>
              </w:rPr>
              <w:t>技术奖励办法实施细则》相关规定，提名该个人、组织为科学技术奖（科学技术进步奖-社会公益类）</w:t>
            </w:r>
            <w:bookmarkStart w:id="0" w:name="_GoBack"/>
            <w:bookmarkEnd w:id="0"/>
            <w:r>
              <w:rPr>
                <w:rFonts w:hint="eastAsia" w:ascii="仿宋_GB2312" w:hAnsi="仿宋_GB2312" w:eastAsia="仿宋_GB2312" w:cs="仿宋_GB2312"/>
                <w:bCs/>
                <w:spacing w:val="2"/>
                <w:sz w:val="28"/>
                <w:szCs w:val="28"/>
                <w:u w:val="single"/>
              </w:rPr>
              <w:t xml:space="preserve"> </w:t>
            </w:r>
            <w:r>
              <w:rPr>
                <w:rFonts w:hint="eastAsia" w:ascii="仿宋_GB2312" w:hAnsi="仿宋_GB2312" w:eastAsia="仿宋_GB2312" w:cs="仿宋_GB2312"/>
                <w:bCs/>
                <w:spacing w:val="2"/>
                <w:sz w:val="28"/>
                <w:szCs w:val="28"/>
                <w:u w:val="single"/>
                <w:lang w:val="en-US" w:eastAsia="zh-CN"/>
              </w:rPr>
              <w:t>一</w:t>
            </w:r>
            <w:r>
              <w:rPr>
                <w:rFonts w:hint="eastAsia" w:ascii="仿宋_GB2312" w:hAnsi="仿宋_GB2312" w:eastAsia="仿宋_GB2312" w:cs="仿宋_GB2312"/>
                <w:bCs/>
                <w:spacing w:val="2"/>
                <w:sz w:val="28"/>
                <w:szCs w:val="28"/>
                <w:u w:val="single"/>
              </w:rPr>
              <w:t xml:space="preserve"> </w:t>
            </w:r>
            <w:r>
              <w:rPr>
                <w:rFonts w:hint="eastAsia" w:ascii="仿宋_GB2312" w:hAnsi="仿宋_GB2312" w:eastAsia="仿宋_GB2312" w:cs="仿宋_GB2312"/>
                <w:bCs/>
                <w:spacing w:val="2"/>
                <w:sz w:val="28"/>
                <w:szCs w:val="28"/>
              </w:rPr>
              <w:t>等 、</w:t>
            </w:r>
            <w:r>
              <w:rPr>
                <w:rFonts w:hint="eastAsia" w:ascii="仿宋_GB2312" w:hAnsi="仿宋_GB2312" w:eastAsia="仿宋_GB2312" w:cs="仿宋_GB2312"/>
                <w:bCs/>
                <w:spacing w:val="2"/>
                <w:sz w:val="28"/>
                <w:szCs w:val="28"/>
                <w:u w:val="single"/>
              </w:rPr>
              <w:t xml:space="preserve"> </w:t>
            </w:r>
            <w:r>
              <w:rPr>
                <w:rFonts w:hint="eastAsia" w:ascii="仿宋_GB2312" w:hAnsi="仿宋_GB2312" w:eastAsia="仿宋_GB2312" w:cs="仿宋_GB2312"/>
                <w:bCs/>
                <w:spacing w:val="2"/>
                <w:sz w:val="28"/>
                <w:szCs w:val="28"/>
                <w:u w:val="single"/>
                <w:lang w:val="en-US" w:eastAsia="zh-CN"/>
              </w:rPr>
              <w:t>二</w:t>
            </w:r>
            <w:r>
              <w:rPr>
                <w:rFonts w:hint="eastAsia" w:ascii="仿宋_GB2312" w:hAnsi="仿宋_GB2312" w:eastAsia="仿宋_GB2312" w:cs="仿宋_GB2312"/>
                <w:bCs/>
                <w:spacing w:val="2"/>
                <w:sz w:val="28"/>
                <w:szCs w:val="28"/>
                <w:u w:val="single"/>
              </w:rPr>
              <w:t xml:space="preserve"> </w:t>
            </w:r>
            <w:r>
              <w:rPr>
                <w:rFonts w:hint="eastAsia" w:ascii="仿宋_GB2312" w:hAnsi="仿宋_GB2312" w:eastAsia="仿宋_GB2312" w:cs="仿宋_GB2312"/>
                <w:bCs/>
                <w:spacing w:val="2"/>
                <w:sz w:val="28"/>
                <w:szCs w:val="28"/>
              </w:rPr>
              <w:t>等奖候选个人、候选组织。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95" w:hRule="atLeast"/>
          <w:jc w:val="center"/>
        </w:trPr>
        <w:tc>
          <w:tcPr>
            <w:tcW w:w="9980" w:type="dxa"/>
            <w:gridSpan w:val="11"/>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第一候选组织简介（不超过100字）：</w:t>
            </w:r>
          </w:p>
          <w:p>
            <w:pPr>
              <w:pStyle w:val="4"/>
              <w:keepNext w:val="0"/>
              <w:keepLines w:val="0"/>
              <w:pageBreakBefore w:val="0"/>
              <w:widowControl w:val="0"/>
              <w:kinsoku/>
              <w:wordWrap/>
              <w:overflowPunct/>
              <w:topLinePunct w:val="0"/>
              <w:autoSpaceDE/>
              <w:autoSpaceDN/>
              <w:bidi w:val="0"/>
              <w:adjustRightInd/>
              <w:snapToGrid/>
              <w:spacing w:line="360" w:lineRule="exact"/>
              <w:ind w:firstLine="560" w:firstLineChars="200"/>
              <w:jc w:val="both"/>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广西中医药大学第一附属医院成立于1942年，是一所集医疗、教学、科研、预防保健、康复为一体的现代化综合性三级甲等中医医院。医院编制床位2233张，拥有东葛院区、仙葫院区、仁爱分院及四个社区卫生医疗服务中心。现有在职职工3568人，高级职称640人，博士生导师23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9980" w:type="dxa"/>
            <w:gridSpan w:val="11"/>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成果简介（不超过200字）：</w:t>
            </w:r>
          </w:p>
          <w:p>
            <w:pPr>
              <w:pStyle w:val="4"/>
              <w:keepNext w:val="0"/>
              <w:keepLines w:val="0"/>
              <w:pageBreakBefore w:val="0"/>
              <w:widowControl w:val="0"/>
              <w:kinsoku/>
              <w:wordWrap/>
              <w:overflowPunct/>
              <w:topLinePunct w:val="0"/>
              <w:autoSpaceDE/>
              <w:autoSpaceDN/>
              <w:bidi w:val="0"/>
              <w:adjustRightInd/>
              <w:snapToGrid/>
              <w:spacing w:line="360" w:lineRule="exact"/>
              <w:ind w:firstLine="560" w:firstLineChars="200"/>
              <w:jc w:val="both"/>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壮医是我国民族医学的重要组成部分，著名壮医学专家、国医大师黄瑾明教授在挖掘整理壮医针灸理论和临床方面取得了开创性成果，以黄瑾明教授为代表性传承人的广西黄氏壮医针灸流派获国家中医药管理局第一批全国中医学术流派。流派传承工作室从创新壮医针灸理论、凝练治则治法、优化临床疗效、核心技法效应机制及示范推广等方面开展系统性研究工作，取得重大创新性成果。</w:t>
            </w:r>
          </w:p>
        </w:tc>
      </w:tr>
    </w:tbl>
    <w:p/>
    <w:p/>
    <w:p/>
    <w:p/>
    <w:p>
      <w:pPr>
        <w:adjustRightInd w:val="0"/>
        <w:snapToGrid w:val="0"/>
        <w:spacing w:line="406" w:lineRule="exact"/>
        <w:jc w:val="center"/>
        <w:outlineLvl w:val="1"/>
        <w:rPr>
          <w:rStyle w:val="12"/>
          <w:rFonts w:ascii="Times New Roman" w:eastAsia="方正黑体_GBK"/>
          <w:b w:val="0"/>
          <w:bCs w:val="0"/>
          <w:snapToGrid w:val="0"/>
          <w:color w:val="000000"/>
          <w:kern w:val="2"/>
          <w:sz w:val="28"/>
          <w:szCs w:val="28"/>
        </w:rPr>
      </w:pPr>
    </w:p>
    <w:p>
      <w:pPr>
        <w:adjustRightInd w:val="0"/>
        <w:snapToGrid w:val="0"/>
        <w:spacing w:line="406" w:lineRule="exact"/>
        <w:jc w:val="center"/>
        <w:outlineLvl w:val="1"/>
        <w:rPr>
          <w:rStyle w:val="12"/>
          <w:rFonts w:ascii="Times New Roman" w:eastAsia="方正黑体_GBK"/>
          <w:b w:val="0"/>
          <w:bCs w:val="0"/>
          <w:snapToGrid w:val="0"/>
          <w:color w:val="000000"/>
          <w:kern w:val="2"/>
          <w:sz w:val="28"/>
          <w:szCs w:val="28"/>
        </w:rPr>
      </w:pPr>
    </w:p>
    <w:p>
      <w:pPr>
        <w:adjustRightInd w:val="0"/>
        <w:snapToGrid w:val="0"/>
        <w:spacing w:line="406" w:lineRule="exact"/>
        <w:jc w:val="center"/>
        <w:outlineLvl w:val="1"/>
        <w:rPr>
          <w:rStyle w:val="12"/>
          <w:rFonts w:ascii="Times New Roman" w:eastAsia="方正黑体_GBK"/>
          <w:b w:val="0"/>
          <w:bCs w:val="0"/>
          <w:snapToGrid w:val="0"/>
          <w:color w:val="000000"/>
          <w:kern w:val="2"/>
          <w:sz w:val="28"/>
          <w:szCs w:val="28"/>
        </w:rPr>
      </w:pPr>
    </w:p>
    <w:p>
      <w:pPr>
        <w:adjustRightInd w:val="0"/>
        <w:snapToGrid w:val="0"/>
        <w:spacing w:line="406" w:lineRule="exact"/>
        <w:jc w:val="center"/>
        <w:outlineLvl w:val="1"/>
        <w:rPr>
          <w:rStyle w:val="12"/>
          <w:rFonts w:ascii="Times New Roman" w:eastAsia="方正黑体_GBK"/>
          <w:b w:val="0"/>
          <w:bCs w:val="0"/>
          <w:snapToGrid w:val="0"/>
          <w:color w:val="000000"/>
          <w:kern w:val="2"/>
          <w:sz w:val="28"/>
          <w:szCs w:val="28"/>
        </w:rPr>
      </w:pPr>
    </w:p>
    <w:p>
      <w:pPr>
        <w:adjustRightInd w:val="0"/>
        <w:snapToGrid w:val="0"/>
        <w:spacing w:line="406" w:lineRule="exact"/>
        <w:jc w:val="center"/>
        <w:outlineLvl w:val="1"/>
        <w:rPr>
          <w:rStyle w:val="12"/>
          <w:rFonts w:ascii="Times New Roman" w:eastAsia="方正黑体_GBK"/>
          <w:b w:val="0"/>
          <w:bCs w:val="0"/>
          <w:snapToGrid w:val="0"/>
          <w:color w:val="000000"/>
          <w:kern w:val="2"/>
          <w:sz w:val="28"/>
          <w:szCs w:val="28"/>
        </w:rPr>
      </w:pPr>
    </w:p>
    <w:p>
      <w:pPr>
        <w:adjustRightInd w:val="0"/>
        <w:snapToGrid w:val="0"/>
        <w:spacing w:line="406" w:lineRule="exact"/>
        <w:jc w:val="center"/>
        <w:outlineLvl w:val="1"/>
        <w:rPr>
          <w:rStyle w:val="12"/>
          <w:rFonts w:ascii="Times New Roman" w:eastAsia="方正黑体_GBK"/>
          <w:b w:val="0"/>
          <w:bCs w:val="0"/>
          <w:snapToGrid w:val="0"/>
          <w:color w:val="000000"/>
          <w:kern w:val="2"/>
          <w:sz w:val="28"/>
          <w:szCs w:val="28"/>
        </w:rPr>
      </w:pPr>
    </w:p>
    <w:p>
      <w:pPr>
        <w:adjustRightInd w:val="0"/>
        <w:snapToGrid w:val="0"/>
        <w:spacing w:line="406" w:lineRule="exact"/>
        <w:jc w:val="center"/>
        <w:outlineLvl w:val="1"/>
        <w:rPr>
          <w:rStyle w:val="12"/>
          <w:rFonts w:ascii="Times New Roman" w:eastAsia="方正黑体_GBK"/>
          <w:b w:val="0"/>
          <w:bCs w:val="0"/>
          <w:snapToGrid w:val="0"/>
          <w:color w:val="000000"/>
          <w:kern w:val="2"/>
          <w:sz w:val="28"/>
          <w:szCs w:val="28"/>
        </w:rPr>
      </w:pPr>
    </w:p>
    <w:p>
      <w:pPr>
        <w:adjustRightInd w:val="0"/>
        <w:snapToGrid w:val="0"/>
        <w:spacing w:line="406" w:lineRule="exact"/>
        <w:jc w:val="center"/>
        <w:outlineLvl w:val="1"/>
        <w:rPr>
          <w:rStyle w:val="12"/>
          <w:rFonts w:ascii="Times New Roman" w:eastAsia="方正黑体_GBK"/>
          <w:b w:val="0"/>
          <w:bCs w:val="0"/>
          <w:snapToGrid w:val="0"/>
          <w:color w:val="000000"/>
          <w:kern w:val="2"/>
          <w:sz w:val="28"/>
          <w:szCs w:val="28"/>
        </w:rPr>
      </w:pPr>
    </w:p>
    <w:p>
      <w:pPr>
        <w:adjustRightInd w:val="0"/>
        <w:snapToGrid w:val="0"/>
        <w:spacing w:line="406" w:lineRule="exact"/>
        <w:jc w:val="center"/>
        <w:outlineLvl w:val="1"/>
        <w:rPr>
          <w:rStyle w:val="12"/>
          <w:rFonts w:ascii="Times New Roman" w:eastAsia="方正黑体_GBK"/>
          <w:b w:val="0"/>
          <w:bCs w:val="0"/>
          <w:snapToGrid w:val="0"/>
          <w:color w:val="000000"/>
          <w:kern w:val="2"/>
          <w:sz w:val="28"/>
          <w:szCs w:val="28"/>
        </w:rPr>
      </w:pPr>
    </w:p>
    <w:p>
      <w:pPr>
        <w:adjustRightInd w:val="0"/>
        <w:snapToGrid w:val="0"/>
        <w:spacing w:line="406" w:lineRule="exact"/>
        <w:jc w:val="center"/>
        <w:outlineLvl w:val="1"/>
        <w:rPr>
          <w:rStyle w:val="12"/>
          <w:rFonts w:ascii="Times New Roman" w:eastAsia="方正黑体_GBK"/>
          <w:b w:val="0"/>
          <w:bCs w:val="0"/>
          <w:snapToGrid w:val="0"/>
          <w:color w:val="000000"/>
          <w:kern w:val="2"/>
          <w:sz w:val="28"/>
          <w:szCs w:val="28"/>
        </w:rPr>
      </w:pPr>
    </w:p>
    <w:p>
      <w:pPr>
        <w:adjustRightInd w:val="0"/>
        <w:snapToGrid w:val="0"/>
        <w:spacing w:line="406" w:lineRule="exact"/>
        <w:jc w:val="center"/>
        <w:outlineLvl w:val="1"/>
        <w:rPr>
          <w:rStyle w:val="12"/>
          <w:rFonts w:ascii="Times New Roman" w:eastAsia="方正黑体_GBK"/>
          <w:b w:val="0"/>
          <w:bCs w:val="0"/>
          <w:snapToGrid w:val="0"/>
          <w:color w:val="000000"/>
          <w:kern w:val="2"/>
          <w:sz w:val="28"/>
          <w:szCs w:val="28"/>
        </w:rPr>
      </w:pPr>
    </w:p>
    <w:p>
      <w:pPr>
        <w:adjustRightInd w:val="0"/>
        <w:snapToGrid w:val="0"/>
        <w:spacing w:line="406" w:lineRule="exact"/>
        <w:jc w:val="center"/>
        <w:outlineLvl w:val="1"/>
        <w:rPr>
          <w:rStyle w:val="12"/>
          <w:rFonts w:ascii="Times New Roman" w:eastAsia="方正黑体_GBK"/>
          <w:b w:val="0"/>
          <w:bCs w:val="0"/>
          <w:snapToGrid w:val="0"/>
          <w:color w:val="000000"/>
          <w:kern w:val="2"/>
          <w:sz w:val="28"/>
          <w:szCs w:val="28"/>
        </w:rPr>
      </w:pPr>
    </w:p>
    <w:p>
      <w:pPr>
        <w:adjustRightInd w:val="0"/>
        <w:snapToGrid w:val="0"/>
        <w:spacing w:line="406" w:lineRule="exact"/>
        <w:jc w:val="center"/>
        <w:outlineLvl w:val="1"/>
        <w:rPr>
          <w:rStyle w:val="12"/>
          <w:rFonts w:ascii="Times New Roman" w:eastAsia="方正黑体_GBK"/>
          <w:b w:val="0"/>
          <w:bCs w:val="0"/>
          <w:snapToGrid w:val="0"/>
          <w:color w:val="000000"/>
          <w:kern w:val="2"/>
          <w:sz w:val="28"/>
          <w:szCs w:val="28"/>
        </w:rPr>
      </w:pPr>
    </w:p>
    <w:p>
      <w:pPr>
        <w:adjustRightInd w:val="0"/>
        <w:snapToGrid w:val="0"/>
        <w:spacing w:line="406" w:lineRule="exact"/>
        <w:jc w:val="center"/>
        <w:outlineLvl w:val="1"/>
        <w:rPr>
          <w:rStyle w:val="12"/>
          <w:rFonts w:ascii="Times New Roman" w:eastAsia="方正黑体_GBK"/>
          <w:b w:val="0"/>
          <w:bCs w:val="0"/>
          <w:snapToGrid w:val="0"/>
          <w:color w:val="000000"/>
          <w:kern w:val="2"/>
          <w:sz w:val="28"/>
          <w:szCs w:val="28"/>
        </w:rPr>
      </w:pPr>
    </w:p>
    <w:p>
      <w:pPr>
        <w:adjustRightInd w:val="0"/>
        <w:snapToGrid w:val="0"/>
        <w:spacing w:line="406" w:lineRule="exact"/>
        <w:jc w:val="center"/>
        <w:outlineLvl w:val="1"/>
        <w:rPr>
          <w:rStyle w:val="12"/>
          <w:rFonts w:ascii="Times New Roman" w:eastAsia="方正黑体_GBK"/>
          <w:b w:val="0"/>
          <w:bCs w:val="0"/>
          <w:snapToGrid w:val="0"/>
          <w:color w:val="000000"/>
          <w:kern w:val="2"/>
          <w:sz w:val="28"/>
          <w:szCs w:val="28"/>
        </w:rPr>
      </w:pPr>
    </w:p>
    <w:p>
      <w:pPr>
        <w:adjustRightInd w:val="0"/>
        <w:snapToGrid w:val="0"/>
        <w:spacing w:line="406" w:lineRule="exact"/>
        <w:jc w:val="center"/>
        <w:outlineLvl w:val="1"/>
        <w:rPr>
          <w:rStyle w:val="12"/>
          <w:rFonts w:ascii="Times New Roman" w:eastAsia="方正黑体_GBK"/>
          <w:b w:val="0"/>
          <w:bCs w:val="0"/>
          <w:snapToGrid w:val="0"/>
          <w:color w:val="000000"/>
          <w:kern w:val="2"/>
          <w:sz w:val="28"/>
          <w:szCs w:val="28"/>
        </w:rPr>
      </w:pPr>
    </w:p>
    <w:p>
      <w:pPr>
        <w:adjustRightInd w:val="0"/>
        <w:snapToGrid w:val="0"/>
        <w:spacing w:line="406" w:lineRule="exact"/>
        <w:jc w:val="center"/>
        <w:outlineLvl w:val="1"/>
        <w:rPr>
          <w:rStyle w:val="12"/>
          <w:rFonts w:ascii="Times New Roman" w:eastAsia="方正黑体_GBK"/>
          <w:b w:val="0"/>
          <w:bCs w:val="0"/>
          <w:snapToGrid w:val="0"/>
          <w:color w:val="000000"/>
          <w:kern w:val="2"/>
          <w:sz w:val="28"/>
          <w:szCs w:val="28"/>
        </w:rPr>
      </w:pPr>
    </w:p>
    <w:p>
      <w:pPr>
        <w:adjustRightInd w:val="0"/>
        <w:snapToGrid w:val="0"/>
        <w:spacing w:line="406" w:lineRule="exact"/>
        <w:jc w:val="center"/>
        <w:outlineLvl w:val="1"/>
        <w:rPr>
          <w:rStyle w:val="12"/>
          <w:rFonts w:ascii="Times New Roman" w:eastAsia="方正黑体_GBK"/>
          <w:b w:val="0"/>
          <w:bCs w:val="0"/>
          <w:snapToGrid w:val="0"/>
          <w:color w:val="000000"/>
          <w:kern w:val="2"/>
          <w:sz w:val="28"/>
          <w:szCs w:val="28"/>
        </w:rPr>
      </w:pPr>
    </w:p>
    <w:p>
      <w:pPr>
        <w:adjustRightInd w:val="0"/>
        <w:snapToGrid w:val="0"/>
        <w:spacing w:line="406" w:lineRule="exact"/>
        <w:jc w:val="center"/>
        <w:outlineLvl w:val="1"/>
        <w:rPr>
          <w:rStyle w:val="12"/>
          <w:rFonts w:ascii="Times New Roman" w:eastAsia="方正黑体_GBK"/>
          <w:b w:val="0"/>
          <w:bCs w:val="0"/>
          <w:snapToGrid w:val="0"/>
          <w:color w:val="000000"/>
          <w:kern w:val="2"/>
          <w:sz w:val="28"/>
          <w:szCs w:val="28"/>
        </w:rPr>
      </w:pPr>
    </w:p>
    <w:p>
      <w:pPr>
        <w:adjustRightInd w:val="0"/>
        <w:snapToGrid w:val="0"/>
        <w:spacing w:line="406" w:lineRule="exact"/>
        <w:jc w:val="center"/>
        <w:outlineLvl w:val="1"/>
        <w:rPr>
          <w:rStyle w:val="12"/>
          <w:rFonts w:hint="default" w:ascii="Times New Roman" w:eastAsia="方正黑体_GBK"/>
          <w:b w:val="0"/>
          <w:bCs w:val="0"/>
          <w:snapToGrid w:val="0"/>
          <w:color w:val="000000"/>
          <w:kern w:val="2"/>
          <w:sz w:val="28"/>
          <w:szCs w:val="28"/>
        </w:rPr>
      </w:pPr>
      <w:r>
        <w:rPr>
          <w:rStyle w:val="12"/>
          <w:rFonts w:ascii="Times New Roman" w:eastAsia="方正黑体_GBK"/>
          <w:b w:val="0"/>
          <w:bCs w:val="0"/>
          <w:snapToGrid w:val="0"/>
          <w:color w:val="000000"/>
          <w:kern w:val="2"/>
          <w:sz w:val="28"/>
          <w:szCs w:val="28"/>
        </w:rPr>
        <w:t>候选个人合作情况</w:t>
      </w:r>
    </w:p>
    <w:p>
      <w:pPr>
        <w:adjustRightInd w:val="0"/>
        <w:snapToGrid w:val="0"/>
        <w:spacing w:line="406" w:lineRule="exact"/>
        <w:rPr>
          <w:snapToGrid w:val="0"/>
          <w:color w:val="000000"/>
          <w:sz w:val="28"/>
          <w:szCs w:val="28"/>
        </w:rPr>
      </w:pPr>
    </w:p>
    <w:tbl>
      <w:tblPr>
        <w:tblStyle w:val="8"/>
        <w:tblW w:w="9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7" w:hRule="atLeast"/>
        </w:trPr>
        <w:tc>
          <w:tcPr>
            <w:tcW w:w="9080" w:type="dxa"/>
          </w:tcPr>
          <w:p>
            <w:pPr>
              <w:adjustRightInd w:val="0"/>
              <w:snapToGrid w:val="0"/>
              <w:spacing w:line="406" w:lineRule="exact"/>
              <w:jc w:val="center"/>
              <w:rPr>
                <w:rFonts w:eastAsia="方正黑体_GBK"/>
                <w:snapToGrid w:val="0"/>
                <w:color w:val="000000"/>
                <w:sz w:val="28"/>
                <w:szCs w:val="28"/>
              </w:rPr>
            </w:pPr>
            <w:r>
              <w:rPr>
                <w:rFonts w:hint="eastAsia" w:eastAsia="方正黑体_GBK"/>
                <w:snapToGrid w:val="0"/>
                <w:color w:val="000000"/>
                <w:sz w:val="28"/>
                <w:szCs w:val="28"/>
              </w:rPr>
              <w:t>候选个人合作关系说明</w:t>
            </w:r>
          </w:p>
          <w:p>
            <w:pPr>
              <w:adjustRightInd w:val="0"/>
              <w:snapToGrid w:val="0"/>
              <w:spacing w:line="406" w:lineRule="exact"/>
              <w:rPr>
                <w:snapToGrid w:val="0"/>
                <w:color w:val="000000"/>
                <w:szCs w:val="21"/>
              </w:rPr>
            </w:pPr>
          </w:p>
          <w:p>
            <w:pPr>
              <w:adjustRightInd w:val="0"/>
              <w:snapToGrid w:val="0"/>
              <w:spacing w:line="406" w:lineRule="exact"/>
              <w:ind w:firstLine="560" w:firstLineChars="200"/>
              <w:rPr>
                <w:rFonts w:hint="eastAsia" w:ascii="仿宋_GB2312" w:hAnsi="仿宋_GB2312" w:eastAsia="仿宋_GB2312" w:cs="仿宋_GB2312"/>
                <w:snapToGrid w:val="0"/>
                <w:color w:val="000000"/>
                <w:sz w:val="28"/>
                <w:szCs w:val="28"/>
              </w:rPr>
            </w:pPr>
            <w:r>
              <w:rPr>
                <w:rFonts w:hint="eastAsia" w:ascii="仿宋_GB2312" w:hAnsi="仿宋_GB2312" w:eastAsia="仿宋_GB2312" w:cs="仿宋_GB2312"/>
                <w:snapToGrid w:val="0"/>
                <w:color w:val="000000"/>
                <w:sz w:val="28"/>
                <w:szCs w:val="28"/>
              </w:rPr>
              <w:t>1.黄贵华，博士，教授，于2016年参与项目《壮药消痞导滞丸的制备研究》，为项目第1完成人，主要负责项目的策划、指导等，以通讯作者发表《壮药消痞导滞片治疗功能性消化不良180例的临床疗效研究》，见于证明材料1-11。</w:t>
            </w:r>
          </w:p>
          <w:p>
            <w:pPr>
              <w:adjustRightInd w:val="0"/>
              <w:snapToGrid w:val="0"/>
              <w:spacing w:line="406" w:lineRule="exact"/>
              <w:ind w:firstLine="560" w:firstLineChars="200"/>
              <w:rPr>
                <w:rFonts w:hint="eastAsia" w:ascii="仿宋_GB2312" w:hAnsi="仿宋_GB2312" w:eastAsia="仿宋_GB2312" w:cs="仿宋_GB2312"/>
                <w:snapToGrid w:val="0"/>
                <w:color w:val="000000"/>
                <w:sz w:val="28"/>
                <w:szCs w:val="28"/>
              </w:rPr>
            </w:pPr>
            <w:r>
              <w:rPr>
                <w:rFonts w:hint="eastAsia" w:ascii="仿宋_GB2312" w:hAnsi="仿宋_GB2312" w:eastAsia="仿宋_GB2312" w:cs="仿宋_GB2312"/>
                <w:snapToGrid w:val="0"/>
                <w:color w:val="000000"/>
                <w:sz w:val="28"/>
                <w:szCs w:val="28"/>
              </w:rPr>
              <w:t>2.秦祖杰，硕士，教授，于2012年参与项目《广西黄氏壮医针灸流派的传承与推广》，为项目第3完成人，主要负责项目的推广应用，参与编辑《广西黄氏壮医针灸流派临床经验全图解》，见于证明材料1-2。</w:t>
            </w:r>
          </w:p>
          <w:p>
            <w:pPr>
              <w:adjustRightInd w:val="0"/>
              <w:snapToGrid w:val="0"/>
              <w:spacing w:line="406" w:lineRule="exact"/>
              <w:ind w:firstLine="560" w:firstLineChars="200"/>
              <w:rPr>
                <w:rFonts w:hint="eastAsia" w:ascii="仿宋_GB2312" w:hAnsi="仿宋_GB2312" w:eastAsia="仿宋_GB2312" w:cs="仿宋_GB2312"/>
                <w:snapToGrid w:val="0"/>
                <w:color w:val="000000"/>
                <w:sz w:val="28"/>
                <w:szCs w:val="28"/>
              </w:rPr>
            </w:pPr>
            <w:r>
              <w:rPr>
                <w:rFonts w:hint="eastAsia" w:ascii="仿宋_GB2312" w:hAnsi="仿宋_GB2312" w:eastAsia="仿宋_GB2312" w:cs="仿宋_GB2312"/>
                <w:snapToGrid w:val="0"/>
                <w:color w:val="000000"/>
                <w:sz w:val="28"/>
                <w:szCs w:val="28"/>
              </w:rPr>
              <w:t>3.宋宁，博士，教授，于2014年参与国自然科学基金项目《壮医莲花针拔罐逐瘀法干预 WNT3a-Frizzled8-β-catenin 信号通路介导的 PHN 的效应机制》，为项目第3完成人，主要负责临床指导，以第一作者发表《论壮医莲花针拔罐逐瘀疗法的发展源流及学术传承》，见于证明材料1-9；以发明人发布专利《一种壮医莲花针》，见于证明材料1-12。</w:t>
            </w:r>
          </w:p>
          <w:p>
            <w:pPr>
              <w:adjustRightInd w:val="0"/>
              <w:snapToGrid w:val="0"/>
              <w:spacing w:line="406" w:lineRule="exact"/>
              <w:ind w:firstLine="560" w:firstLineChars="200"/>
              <w:rPr>
                <w:rFonts w:hint="eastAsia" w:ascii="仿宋_GB2312" w:hAnsi="仿宋_GB2312" w:eastAsia="仿宋_GB2312" w:cs="仿宋_GB2312"/>
                <w:snapToGrid w:val="0"/>
                <w:color w:val="000000"/>
                <w:sz w:val="28"/>
                <w:szCs w:val="28"/>
              </w:rPr>
            </w:pPr>
          </w:p>
          <w:p>
            <w:pPr>
              <w:adjustRightInd w:val="0"/>
              <w:snapToGrid w:val="0"/>
              <w:spacing w:line="406" w:lineRule="exact"/>
              <w:ind w:firstLine="560" w:firstLineChars="200"/>
              <w:rPr>
                <w:rFonts w:hint="eastAsia" w:ascii="仿宋_GB2312" w:hAnsi="仿宋_GB2312" w:eastAsia="仿宋_GB2312" w:cs="仿宋_GB2312"/>
                <w:snapToGrid w:val="0"/>
                <w:color w:val="000000"/>
                <w:sz w:val="28"/>
                <w:szCs w:val="28"/>
              </w:rPr>
            </w:pPr>
            <w:r>
              <w:rPr>
                <w:rFonts w:hint="eastAsia" w:ascii="仿宋_GB2312" w:hAnsi="仿宋_GB2312" w:eastAsia="仿宋_GB2312" w:cs="仿宋_GB2312"/>
                <w:snapToGrid w:val="0"/>
                <w:color w:val="000000"/>
                <w:sz w:val="28"/>
                <w:szCs w:val="28"/>
              </w:rPr>
              <w:t>以上合作关系情况详见附表。</w:t>
            </w:r>
          </w:p>
          <w:p>
            <w:pPr>
              <w:adjustRightInd w:val="0"/>
              <w:snapToGrid w:val="0"/>
              <w:spacing w:line="406" w:lineRule="exact"/>
              <w:rPr>
                <w:rFonts w:eastAsia="方正黑体_GBK"/>
                <w:snapToGrid w:val="0"/>
                <w:color w:val="000000"/>
                <w:sz w:val="28"/>
                <w:szCs w:val="28"/>
              </w:rPr>
            </w:pPr>
          </w:p>
        </w:tc>
      </w:tr>
    </w:tbl>
    <w:p>
      <w:pPr>
        <w:adjustRightInd w:val="0"/>
        <w:snapToGrid w:val="0"/>
        <w:spacing w:line="406" w:lineRule="exact"/>
        <w:rPr>
          <w:snapToGrid w:val="0"/>
          <w:color w:val="000000"/>
          <w:sz w:val="28"/>
          <w:szCs w:val="28"/>
        </w:rPr>
      </w:pPr>
    </w:p>
    <w:p>
      <w:pPr>
        <w:adjustRightInd w:val="0"/>
        <w:snapToGrid w:val="0"/>
        <w:spacing w:line="406" w:lineRule="exact"/>
        <w:jc w:val="center"/>
        <w:rPr>
          <w:b/>
          <w:bCs/>
          <w:snapToGrid w:val="0"/>
          <w:color w:val="000000"/>
          <w:sz w:val="28"/>
          <w:szCs w:val="28"/>
        </w:rPr>
      </w:pPr>
      <w:r>
        <w:rPr>
          <w:rFonts w:hint="eastAsia" w:eastAsia="方正黑体_GBK"/>
          <w:snapToGrid w:val="0"/>
          <w:color w:val="000000"/>
          <w:sz w:val="28"/>
          <w:szCs w:val="28"/>
        </w:rPr>
        <w:t>附表：候选个人合作情况汇总表</w:t>
      </w:r>
    </w:p>
    <w:tbl>
      <w:tblPr>
        <w:tblStyle w:val="7"/>
        <w:tblW w:w="926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0"/>
        <w:gridCol w:w="1376"/>
        <w:gridCol w:w="1325"/>
        <w:gridCol w:w="1559"/>
        <w:gridCol w:w="1984"/>
        <w:gridCol w:w="1134"/>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序号</w:t>
            </w:r>
          </w:p>
        </w:tc>
        <w:tc>
          <w:tcPr>
            <w:tcW w:w="1376"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合作方式</w:t>
            </w:r>
          </w:p>
        </w:tc>
        <w:tc>
          <w:tcPr>
            <w:tcW w:w="1325"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w:t>
            </w:r>
            <w:r>
              <w:rPr>
                <w:rFonts w:eastAsia="方正黑体_GBK"/>
                <w:b w:val="0"/>
                <w:bCs w:val="0"/>
                <w:snapToGrid w:val="0"/>
                <w:color w:val="000000"/>
                <w:szCs w:val="21"/>
              </w:rPr>
              <w:t>者</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合作时间</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合作成果</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附件编号</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spacing w:line="260" w:lineRule="exact"/>
              <w:jc w:val="center"/>
              <w:rPr>
                <w:rFonts w:hint="eastAsia" w:ascii="仿宋_GB2312" w:hAnsi="仿宋_GB2312" w:eastAsia="仿宋_GB2312" w:cs="仿宋_GB2312"/>
                <w:bCs/>
                <w:sz w:val="21"/>
                <w:szCs w:val="21"/>
                <w:lang w:val="en-US" w:eastAsia="zh-CN"/>
              </w:rPr>
            </w:pPr>
            <w:r>
              <w:rPr>
                <w:rFonts w:hint="eastAsia" w:ascii="仿宋_GB2312" w:hAnsi="仿宋_GB2312" w:eastAsia="仿宋_GB2312" w:cs="仿宋_GB2312"/>
                <w:bCs/>
                <w:sz w:val="21"/>
                <w:szCs w:val="21"/>
                <w:lang w:val="en-US" w:eastAsia="zh-CN"/>
              </w:rPr>
              <w:t>1</w:t>
            </w:r>
          </w:p>
        </w:tc>
        <w:tc>
          <w:tcPr>
            <w:tcW w:w="1376" w:type="dxa"/>
            <w:tcBorders>
              <w:top w:val="single" w:color="000000" w:sz="4" w:space="0"/>
              <w:left w:val="nil"/>
              <w:bottom w:val="single" w:color="000000" w:sz="4" w:space="0"/>
              <w:right w:val="single" w:color="000000" w:sz="4" w:space="0"/>
            </w:tcBorders>
            <w:vAlign w:val="center"/>
          </w:tcPr>
          <w:p>
            <w:pPr>
              <w:spacing w:line="260" w:lineRule="exact"/>
              <w:jc w:val="center"/>
              <w:rPr>
                <w:rFonts w:hint="eastAsia" w:ascii="仿宋_GB2312" w:hAnsi="仿宋_GB2312" w:eastAsia="仿宋_GB2312" w:cs="仿宋_GB2312"/>
                <w:bCs/>
                <w:sz w:val="21"/>
                <w:szCs w:val="21"/>
                <w:lang w:val="en-US" w:eastAsia="zh-CN"/>
              </w:rPr>
            </w:pPr>
            <w:r>
              <w:rPr>
                <w:rFonts w:hint="eastAsia" w:ascii="仿宋_GB2312" w:hAnsi="仿宋_GB2312" w:eastAsia="仿宋_GB2312" w:cs="仿宋_GB2312"/>
                <w:bCs/>
                <w:sz w:val="21"/>
                <w:szCs w:val="21"/>
                <w:lang w:val="en-US" w:eastAsia="zh-CN"/>
              </w:rPr>
              <w:t>课题研究</w:t>
            </w:r>
          </w:p>
        </w:tc>
        <w:tc>
          <w:tcPr>
            <w:tcW w:w="1325" w:type="dxa"/>
            <w:tcBorders>
              <w:top w:val="single" w:color="000000" w:sz="4" w:space="0"/>
              <w:left w:val="nil"/>
              <w:bottom w:val="single" w:color="000000" w:sz="4" w:space="0"/>
              <w:right w:val="single" w:color="000000" w:sz="4" w:space="0"/>
            </w:tcBorders>
            <w:vAlign w:val="center"/>
          </w:tcPr>
          <w:p>
            <w:pPr>
              <w:spacing w:line="260" w:lineRule="exact"/>
              <w:jc w:val="center"/>
              <w:rPr>
                <w:rFonts w:hint="eastAsia" w:ascii="仿宋_GB2312" w:hAnsi="仿宋_GB2312" w:eastAsia="仿宋_GB2312" w:cs="仿宋_GB2312"/>
                <w:bCs/>
                <w:sz w:val="21"/>
                <w:szCs w:val="21"/>
                <w:lang w:val="en-US" w:eastAsia="zh-CN"/>
              </w:rPr>
            </w:pPr>
            <w:r>
              <w:rPr>
                <w:rFonts w:hint="eastAsia" w:ascii="仿宋_GB2312" w:hAnsi="仿宋_GB2312" w:eastAsia="仿宋_GB2312" w:cs="仿宋_GB2312"/>
                <w:bCs/>
                <w:sz w:val="21"/>
                <w:szCs w:val="21"/>
                <w:lang w:val="en-US" w:eastAsia="zh-CN"/>
              </w:rPr>
              <w:t>李美康、黄瑾明、宋宁、韩海涛、李婕</w:t>
            </w:r>
          </w:p>
        </w:tc>
        <w:tc>
          <w:tcPr>
            <w:tcW w:w="1559" w:type="dxa"/>
            <w:tcBorders>
              <w:top w:val="single" w:color="000000" w:sz="4" w:space="0"/>
              <w:left w:val="nil"/>
              <w:bottom w:val="single" w:color="000000" w:sz="4" w:space="0"/>
              <w:right w:val="single" w:color="000000" w:sz="4" w:space="0"/>
            </w:tcBorders>
            <w:vAlign w:val="center"/>
          </w:tcPr>
          <w:p>
            <w:pPr>
              <w:spacing w:line="260" w:lineRule="exact"/>
              <w:jc w:val="center"/>
              <w:rPr>
                <w:rFonts w:hint="eastAsia" w:ascii="仿宋_GB2312" w:hAnsi="仿宋_GB2312" w:eastAsia="仿宋_GB2312" w:cs="仿宋_GB2312"/>
                <w:bCs/>
                <w:sz w:val="21"/>
                <w:szCs w:val="21"/>
                <w:lang w:val="en-US" w:eastAsia="zh-CN"/>
              </w:rPr>
            </w:pPr>
            <w:r>
              <w:rPr>
                <w:rFonts w:hint="eastAsia" w:ascii="仿宋_GB2312" w:hAnsi="仿宋_GB2312" w:eastAsia="仿宋_GB2312" w:cs="仿宋_GB2312"/>
                <w:bCs/>
                <w:sz w:val="21"/>
                <w:szCs w:val="21"/>
                <w:lang w:val="en-US" w:eastAsia="zh-CN"/>
              </w:rPr>
              <w:t>2014-01-01至</w:t>
            </w:r>
          </w:p>
          <w:p>
            <w:pPr>
              <w:spacing w:line="260" w:lineRule="exact"/>
              <w:jc w:val="center"/>
              <w:rPr>
                <w:rFonts w:hint="eastAsia" w:ascii="仿宋_GB2312" w:hAnsi="仿宋_GB2312" w:eastAsia="仿宋_GB2312" w:cs="仿宋_GB2312"/>
                <w:bCs/>
                <w:sz w:val="21"/>
                <w:szCs w:val="21"/>
                <w:lang w:val="en-US" w:eastAsia="zh-CN"/>
              </w:rPr>
            </w:pPr>
            <w:r>
              <w:rPr>
                <w:rFonts w:hint="eastAsia" w:ascii="仿宋_GB2312" w:hAnsi="仿宋_GB2312" w:eastAsia="仿宋_GB2312" w:cs="仿宋_GB2312"/>
                <w:bCs/>
                <w:sz w:val="21"/>
                <w:szCs w:val="21"/>
                <w:lang w:val="en-US" w:eastAsia="zh-CN"/>
              </w:rPr>
              <w:t>2018-12-31</w:t>
            </w:r>
          </w:p>
        </w:tc>
        <w:tc>
          <w:tcPr>
            <w:tcW w:w="1984" w:type="dxa"/>
            <w:tcBorders>
              <w:top w:val="single" w:color="000000" w:sz="4" w:space="0"/>
              <w:left w:val="nil"/>
              <w:bottom w:val="single" w:color="000000" w:sz="4" w:space="0"/>
              <w:right w:val="single" w:color="000000" w:sz="4" w:space="0"/>
            </w:tcBorders>
            <w:vAlign w:val="center"/>
          </w:tcPr>
          <w:p>
            <w:pPr>
              <w:spacing w:line="260" w:lineRule="exact"/>
              <w:jc w:val="center"/>
              <w:rPr>
                <w:rFonts w:hint="eastAsia" w:ascii="仿宋_GB2312" w:hAnsi="仿宋_GB2312" w:eastAsia="仿宋_GB2312" w:cs="仿宋_GB2312"/>
                <w:bCs/>
                <w:sz w:val="21"/>
                <w:szCs w:val="21"/>
                <w:lang w:val="en-US" w:eastAsia="zh-CN"/>
              </w:rPr>
            </w:pPr>
            <w:r>
              <w:rPr>
                <w:rFonts w:hint="eastAsia" w:ascii="仿宋_GB2312" w:hAnsi="仿宋_GB2312" w:eastAsia="仿宋_GB2312" w:cs="仿宋_GB2312"/>
                <w:bCs/>
                <w:sz w:val="21"/>
                <w:szCs w:val="21"/>
                <w:lang w:val="en-US" w:eastAsia="zh-CN"/>
              </w:rPr>
              <w:t>2014 年国家自然基金课题地区基金项目“壮医莲花针拔罐逐瘀法干预 WNT3a-Frizzled8-β-catenin 信号通路介导的 PHN 的效应机制”立项与结题</w:t>
            </w:r>
          </w:p>
        </w:tc>
        <w:tc>
          <w:tcPr>
            <w:tcW w:w="1134" w:type="dxa"/>
            <w:tcBorders>
              <w:top w:val="single" w:color="000000" w:sz="4" w:space="0"/>
              <w:left w:val="nil"/>
              <w:bottom w:val="single" w:color="000000" w:sz="4" w:space="0"/>
              <w:right w:val="single" w:color="000000" w:sz="4" w:space="0"/>
            </w:tcBorders>
            <w:vAlign w:val="center"/>
          </w:tcPr>
          <w:p>
            <w:pPr>
              <w:spacing w:line="260" w:lineRule="exact"/>
              <w:jc w:val="center"/>
              <w:rPr>
                <w:rFonts w:hint="default" w:ascii="仿宋_GB2312" w:hAnsi="仿宋_GB2312" w:eastAsia="仿宋_GB2312" w:cs="仿宋_GB2312"/>
                <w:bCs/>
                <w:sz w:val="21"/>
                <w:szCs w:val="21"/>
                <w:lang w:val="en-US" w:eastAsia="zh-CN"/>
              </w:rPr>
            </w:pPr>
            <w:r>
              <w:rPr>
                <w:rFonts w:hint="eastAsia" w:ascii="仿宋_GB2312" w:hAnsi="仿宋_GB2312" w:eastAsia="仿宋_GB2312" w:cs="仿宋_GB2312"/>
                <w:bCs/>
                <w:sz w:val="21"/>
                <w:szCs w:val="21"/>
                <w:lang w:val="en-US" w:eastAsia="zh-CN"/>
              </w:rPr>
              <w:t>6-1</w:t>
            </w:r>
          </w:p>
        </w:tc>
        <w:tc>
          <w:tcPr>
            <w:tcW w:w="1134" w:type="dxa"/>
            <w:tcBorders>
              <w:top w:val="single" w:color="000000" w:sz="4" w:space="0"/>
              <w:left w:val="nil"/>
              <w:bottom w:val="single" w:color="000000" w:sz="4" w:space="0"/>
              <w:right w:val="single" w:color="000000" w:sz="4" w:space="0"/>
            </w:tcBorders>
            <w:vAlign w:val="center"/>
          </w:tcPr>
          <w:p>
            <w:pPr>
              <w:spacing w:line="260" w:lineRule="exact"/>
              <w:jc w:val="center"/>
              <w:rPr>
                <w:rFonts w:hint="eastAsia" w:ascii="仿宋_GB2312" w:hAnsi="仿宋_GB2312" w:eastAsia="仿宋_GB2312" w:cs="仿宋_GB2312"/>
                <w:bCs/>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spacing w:line="260" w:lineRule="exact"/>
              <w:jc w:val="center"/>
              <w:rPr>
                <w:rFonts w:hint="eastAsia" w:ascii="仿宋_GB2312" w:hAnsi="仿宋_GB2312" w:eastAsia="仿宋_GB2312" w:cs="仿宋_GB2312"/>
                <w:bCs/>
                <w:sz w:val="21"/>
                <w:szCs w:val="21"/>
                <w:lang w:val="en-US" w:eastAsia="zh-CN"/>
              </w:rPr>
            </w:pPr>
            <w:r>
              <w:rPr>
                <w:rFonts w:hint="eastAsia" w:ascii="仿宋_GB2312" w:hAnsi="仿宋_GB2312" w:eastAsia="仿宋_GB2312" w:cs="仿宋_GB2312"/>
                <w:bCs/>
                <w:sz w:val="21"/>
                <w:szCs w:val="21"/>
                <w:lang w:val="en-US" w:eastAsia="zh-CN"/>
              </w:rPr>
              <w:t>2</w:t>
            </w:r>
          </w:p>
        </w:tc>
        <w:tc>
          <w:tcPr>
            <w:tcW w:w="1376" w:type="dxa"/>
            <w:tcBorders>
              <w:top w:val="single" w:color="000000" w:sz="4" w:space="0"/>
              <w:left w:val="nil"/>
              <w:bottom w:val="single" w:color="000000" w:sz="4" w:space="0"/>
              <w:right w:val="single" w:color="000000" w:sz="4" w:space="0"/>
            </w:tcBorders>
            <w:vAlign w:val="center"/>
          </w:tcPr>
          <w:p>
            <w:pPr>
              <w:spacing w:line="260" w:lineRule="exact"/>
              <w:jc w:val="center"/>
              <w:rPr>
                <w:rFonts w:hint="eastAsia" w:ascii="仿宋_GB2312" w:hAnsi="仿宋_GB2312" w:eastAsia="仿宋_GB2312" w:cs="仿宋_GB2312"/>
                <w:bCs/>
                <w:sz w:val="21"/>
                <w:szCs w:val="21"/>
                <w:lang w:val="en-US" w:eastAsia="zh-CN"/>
              </w:rPr>
            </w:pPr>
            <w:r>
              <w:rPr>
                <w:rFonts w:hint="eastAsia" w:ascii="仿宋_GB2312" w:hAnsi="仿宋_GB2312" w:eastAsia="仿宋_GB2312" w:cs="仿宋_GB2312"/>
                <w:bCs/>
                <w:sz w:val="21"/>
                <w:szCs w:val="21"/>
                <w:lang w:val="en-US" w:eastAsia="zh-CN"/>
              </w:rPr>
              <w:t>壮瑶药制剂研发</w:t>
            </w:r>
          </w:p>
        </w:tc>
        <w:tc>
          <w:tcPr>
            <w:tcW w:w="1325" w:type="dxa"/>
            <w:tcBorders>
              <w:top w:val="single" w:color="000000" w:sz="4" w:space="0"/>
              <w:left w:val="nil"/>
              <w:bottom w:val="single" w:color="000000" w:sz="4" w:space="0"/>
              <w:right w:val="single" w:color="000000" w:sz="4" w:space="0"/>
            </w:tcBorders>
            <w:vAlign w:val="center"/>
          </w:tcPr>
          <w:p>
            <w:pPr>
              <w:spacing w:line="260" w:lineRule="exact"/>
              <w:jc w:val="center"/>
              <w:rPr>
                <w:rFonts w:hint="eastAsia" w:ascii="仿宋_GB2312" w:hAnsi="仿宋_GB2312" w:eastAsia="仿宋_GB2312" w:cs="仿宋_GB2312"/>
                <w:bCs/>
                <w:sz w:val="21"/>
                <w:szCs w:val="21"/>
                <w:lang w:val="en-US" w:eastAsia="zh-CN"/>
              </w:rPr>
            </w:pPr>
            <w:r>
              <w:rPr>
                <w:rFonts w:hint="eastAsia" w:ascii="仿宋_GB2312" w:hAnsi="仿宋_GB2312" w:eastAsia="仿宋_GB2312" w:cs="仿宋_GB2312"/>
                <w:bCs/>
                <w:sz w:val="21"/>
                <w:szCs w:val="21"/>
                <w:lang w:val="en-US" w:eastAsia="zh-CN"/>
              </w:rPr>
              <w:t>黄贵华、李美康、黄瑾明</w:t>
            </w:r>
          </w:p>
        </w:tc>
        <w:tc>
          <w:tcPr>
            <w:tcW w:w="1559" w:type="dxa"/>
            <w:tcBorders>
              <w:top w:val="single" w:color="000000" w:sz="4" w:space="0"/>
              <w:left w:val="nil"/>
              <w:bottom w:val="single" w:color="000000" w:sz="4" w:space="0"/>
              <w:right w:val="single" w:color="000000" w:sz="4" w:space="0"/>
            </w:tcBorders>
            <w:vAlign w:val="center"/>
          </w:tcPr>
          <w:p>
            <w:pPr>
              <w:spacing w:line="260" w:lineRule="exact"/>
              <w:jc w:val="center"/>
              <w:rPr>
                <w:rFonts w:hint="eastAsia" w:ascii="仿宋_GB2312" w:hAnsi="仿宋_GB2312" w:eastAsia="仿宋_GB2312" w:cs="仿宋_GB2312"/>
                <w:bCs/>
                <w:sz w:val="21"/>
                <w:szCs w:val="21"/>
                <w:lang w:val="en-US" w:eastAsia="zh-CN"/>
              </w:rPr>
            </w:pPr>
            <w:r>
              <w:rPr>
                <w:rFonts w:hint="eastAsia" w:ascii="仿宋_GB2312" w:hAnsi="仿宋_GB2312" w:eastAsia="仿宋_GB2312" w:cs="仿宋_GB2312"/>
                <w:bCs/>
                <w:sz w:val="21"/>
                <w:szCs w:val="21"/>
                <w:lang w:val="en-US" w:eastAsia="zh-CN"/>
              </w:rPr>
              <w:t>2016-05-11至</w:t>
            </w:r>
          </w:p>
          <w:p>
            <w:pPr>
              <w:spacing w:line="260" w:lineRule="exact"/>
              <w:jc w:val="center"/>
              <w:rPr>
                <w:rFonts w:hint="eastAsia" w:ascii="仿宋_GB2312" w:hAnsi="仿宋_GB2312" w:eastAsia="仿宋_GB2312" w:cs="仿宋_GB2312"/>
                <w:bCs/>
                <w:sz w:val="21"/>
                <w:szCs w:val="21"/>
                <w:lang w:val="en-US" w:eastAsia="zh-CN"/>
              </w:rPr>
            </w:pPr>
            <w:r>
              <w:rPr>
                <w:rFonts w:hint="eastAsia" w:ascii="仿宋_GB2312" w:hAnsi="仿宋_GB2312" w:eastAsia="仿宋_GB2312" w:cs="仿宋_GB2312"/>
                <w:bCs/>
                <w:sz w:val="21"/>
                <w:szCs w:val="21"/>
                <w:lang w:val="en-US" w:eastAsia="zh-CN"/>
              </w:rPr>
              <w:t>2019-09-30</w:t>
            </w:r>
          </w:p>
        </w:tc>
        <w:tc>
          <w:tcPr>
            <w:tcW w:w="1984" w:type="dxa"/>
            <w:tcBorders>
              <w:top w:val="single" w:color="000000" w:sz="4" w:space="0"/>
              <w:left w:val="nil"/>
              <w:bottom w:val="single" w:color="000000" w:sz="4" w:space="0"/>
              <w:right w:val="single" w:color="000000" w:sz="4" w:space="0"/>
            </w:tcBorders>
            <w:vAlign w:val="center"/>
          </w:tcPr>
          <w:p>
            <w:pPr>
              <w:spacing w:line="260" w:lineRule="exact"/>
              <w:jc w:val="center"/>
              <w:rPr>
                <w:rFonts w:hint="eastAsia" w:ascii="仿宋_GB2312" w:hAnsi="仿宋_GB2312" w:eastAsia="仿宋_GB2312" w:cs="仿宋_GB2312"/>
                <w:bCs/>
                <w:sz w:val="21"/>
                <w:szCs w:val="21"/>
                <w:lang w:val="en-US" w:eastAsia="zh-CN"/>
              </w:rPr>
            </w:pPr>
            <w:r>
              <w:rPr>
                <w:rFonts w:hint="eastAsia" w:ascii="仿宋_GB2312" w:hAnsi="仿宋_GB2312" w:eastAsia="仿宋_GB2312" w:cs="仿宋_GB2312"/>
                <w:bCs/>
                <w:sz w:val="21"/>
                <w:szCs w:val="21"/>
                <w:lang w:val="en-US" w:eastAsia="zh-CN"/>
              </w:rPr>
              <w:t>研发壮瑶药制剂“消痞导滞片”，临床疗效显著</w:t>
            </w:r>
          </w:p>
        </w:tc>
        <w:tc>
          <w:tcPr>
            <w:tcW w:w="1134" w:type="dxa"/>
            <w:tcBorders>
              <w:top w:val="single" w:color="000000" w:sz="4" w:space="0"/>
              <w:left w:val="nil"/>
              <w:bottom w:val="single" w:color="000000" w:sz="4" w:space="0"/>
              <w:right w:val="single" w:color="000000" w:sz="4" w:space="0"/>
            </w:tcBorders>
            <w:vAlign w:val="center"/>
          </w:tcPr>
          <w:p>
            <w:pPr>
              <w:spacing w:line="260" w:lineRule="exact"/>
              <w:jc w:val="center"/>
              <w:rPr>
                <w:rFonts w:hint="default" w:ascii="仿宋_GB2312" w:hAnsi="仿宋_GB2312" w:eastAsia="仿宋_GB2312" w:cs="仿宋_GB2312"/>
                <w:bCs/>
                <w:sz w:val="21"/>
                <w:szCs w:val="21"/>
                <w:lang w:val="en-US" w:eastAsia="zh-CN"/>
              </w:rPr>
            </w:pPr>
            <w:r>
              <w:rPr>
                <w:rFonts w:hint="eastAsia" w:ascii="仿宋_GB2312" w:hAnsi="仿宋_GB2312" w:eastAsia="仿宋_GB2312" w:cs="仿宋_GB2312"/>
                <w:bCs/>
                <w:sz w:val="21"/>
                <w:szCs w:val="21"/>
                <w:lang w:val="en-US" w:eastAsia="zh-CN"/>
              </w:rPr>
              <w:t>6-2</w:t>
            </w:r>
          </w:p>
        </w:tc>
        <w:tc>
          <w:tcPr>
            <w:tcW w:w="1134" w:type="dxa"/>
            <w:tcBorders>
              <w:top w:val="single" w:color="000000" w:sz="4" w:space="0"/>
              <w:left w:val="nil"/>
              <w:bottom w:val="single" w:color="000000" w:sz="4" w:space="0"/>
              <w:right w:val="single" w:color="000000" w:sz="4" w:space="0"/>
            </w:tcBorders>
            <w:vAlign w:val="center"/>
          </w:tcPr>
          <w:p>
            <w:pPr>
              <w:spacing w:line="260" w:lineRule="exact"/>
              <w:jc w:val="center"/>
              <w:rPr>
                <w:rFonts w:hint="eastAsia" w:ascii="仿宋_GB2312" w:hAnsi="仿宋_GB2312" w:eastAsia="仿宋_GB2312" w:cs="仿宋_GB2312"/>
                <w:bCs/>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spacing w:line="260" w:lineRule="exact"/>
              <w:jc w:val="center"/>
              <w:rPr>
                <w:rFonts w:hint="eastAsia" w:ascii="仿宋_GB2312" w:hAnsi="仿宋_GB2312" w:eastAsia="仿宋_GB2312" w:cs="仿宋_GB2312"/>
                <w:bCs/>
                <w:sz w:val="21"/>
                <w:szCs w:val="21"/>
                <w:lang w:val="en-US" w:eastAsia="zh-CN"/>
              </w:rPr>
            </w:pPr>
            <w:r>
              <w:rPr>
                <w:rFonts w:hint="eastAsia" w:ascii="仿宋_GB2312" w:hAnsi="仿宋_GB2312" w:eastAsia="仿宋_GB2312" w:cs="仿宋_GB2312"/>
                <w:bCs/>
                <w:sz w:val="21"/>
                <w:szCs w:val="21"/>
                <w:lang w:val="en-US" w:eastAsia="zh-CN"/>
              </w:rPr>
              <w:t>3</w:t>
            </w:r>
          </w:p>
        </w:tc>
        <w:tc>
          <w:tcPr>
            <w:tcW w:w="1376" w:type="dxa"/>
            <w:tcBorders>
              <w:top w:val="single" w:color="000000" w:sz="4" w:space="0"/>
              <w:left w:val="nil"/>
              <w:bottom w:val="single" w:color="000000" w:sz="4" w:space="0"/>
              <w:right w:val="single" w:color="000000" w:sz="4" w:space="0"/>
            </w:tcBorders>
            <w:vAlign w:val="center"/>
          </w:tcPr>
          <w:p>
            <w:pPr>
              <w:spacing w:line="260" w:lineRule="exact"/>
              <w:jc w:val="center"/>
              <w:rPr>
                <w:rFonts w:hint="eastAsia" w:ascii="仿宋_GB2312" w:hAnsi="仿宋_GB2312" w:eastAsia="仿宋_GB2312" w:cs="仿宋_GB2312"/>
                <w:bCs/>
                <w:sz w:val="21"/>
                <w:szCs w:val="21"/>
                <w:lang w:val="en-US" w:eastAsia="zh-CN"/>
              </w:rPr>
            </w:pPr>
            <w:r>
              <w:rPr>
                <w:rFonts w:hint="eastAsia" w:ascii="仿宋_GB2312" w:hAnsi="仿宋_GB2312" w:eastAsia="仿宋_GB2312" w:cs="仿宋_GB2312"/>
                <w:bCs/>
                <w:sz w:val="21"/>
                <w:szCs w:val="21"/>
                <w:lang w:val="en-US" w:eastAsia="zh-CN"/>
              </w:rPr>
              <w:t>壮医针灸的推广与应用</w:t>
            </w:r>
          </w:p>
        </w:tc>
        <w:tc>
          <w:tcPr>
            <w:tcW w:w="1325" w:type="dxa"/>
            <w:tcBorders>
              <w:top w:val="single" w:color="000000" w:sz="4" w:space="0"/>
              <w:left w:val="nil"/>
              <w:bottom w:val="single" w:color="000000" w:sz="4" w:space="0"/>
              <w:right w:val="single" w:color="000000" w:sz="4" w:space="0"/>
            </w:tcBorders>
            <w:vAlign w:val="center"/>
          </w:tcPr>
          <w:p>
            <w:pPr>
              <w:spacing w:line="260" w:lineRule="exact"/>
              <w:jc w:val="center"/>
              <w:rPr>
                <w:rFonts w:hint="eastAsia" w:ascii="仿宋_GB2312" w:hAnsi="仿宋_GB2312" w:eastAsia="仿宋_GB2312" w:cs="仿宋_GB2312"/>
                <w:bCs/>
                <w:sz w:val="21"/>
                <w:szCs w:val="21"/>
                <w:lang w:val="en-US" w:eastAsia="zh-CN"/>
              </w:rPr>
            </w:pPr>
            <w:r>
              <w:rPr>
                <w:rFonts w:hint="eastAsia" w:ascii="仿宋_GB2312" w:hAnsi="仿宋_GB2312" w:eastAsia="仿宋_GB2312" w:cs="仿宋_GB2312"/>
                <w:bCs/>
                <w:sz w:val="21"/>
                <w:szCs w:val="21"/>
                <w:lang w:val="en-US" w:eastAsia="zh-CN"/>
              </w:rPr>
              <w:t>黄贵华、李美康、秦祖杰、宋宁、韩海涛、李婕、李秀娟、赖菁菁</w:t>
            </w:r>
          </w:p>
        </w:tc>
        <w:tc>
          <w:tcPr>
            <w:tcW w:w="1559" w:type="dxa"/>
            <w:tcBorders>
              <w:top w:val="single" w:color="000000" w:sz="4" w:space="0"/>
              <w:left w:val="nil"/>
              <w:bottom w:val="single" w:color="000000" w:sz="4" w:space="0"/>
              <w:right w:val="single" w:color="000000" w:sz="4" w:space="0"/>
            </w:tcBorders>
            <w:vAlign w:val="center"/>
          </w:tcPr>
          <w:p>
            <w:pPr>
              <w:spacing w:line="260" w:lineRule="exact"/>
              <w:jc w:val="center"/>
              <w:rPr>
                <w:rFonts w:hint="eastAsia" w:ascii="仿宋_GB2312" w:hAnsi="仿宋_GB2312" w:eastAsia="仿宋_GB2312" w:cs="仿宋_GB2312"/>
                <w:bCs/>
                <w:sz w:val="21"/>
                <w:szCs w:val="21"/>
                <w:lang w:val="en-US" w:eastAsia="zh-CN"/>
              </w:rPr>
            </w:pPr>
            <w:r>
              <w:rPr>
                <w:rFonts w:hint="eastAsia" w:ascii="仿宋_GB2312" w:hAnsi="仿宋_GB2312" w:eastAsia="仿宋_GB2312" w:cs="仿宋_GB2312"/>
                <w:bCs/>
                <w:sz w:val="21"/>
                <w:szCs w:val="21"/>
                <w:lang w:val="en-US" w:eastAsia="zh-CN"/>
              </w:rPr>
              <w:t>2012-05-17至</w:t>
            </w:r>
          </w:p>
          <w:p>
            <w:pPr>
              <w:spacing w:line="260" w:lineRule="exact"/>
              <w:jc w:val="center"/>
              <w:rPr>
                <w:rFonts w:hint="eastAsia" w:ascii="仿宋_GB2312" w:hAnsi="仿宋_GB2312" w:eastAsia="仿宋_GB2312" w:cs="仿宋_GB2312"/>
                <w:bCs/>
                <w:sz w:val="21"/>
                <w:szCs w:val="21"/>
                <w:lang w:val="en-US" w:eastAsia="zh-CN"/>
              </w:rPr>
            </w:pPr>
            <w:r>
              <w:rPr>
                <w:rFonts w:hint="eastAsia" w:ascii="仿宋_GB2312" w:hAnsi="仿宋_GB2312" w:eastAsia="仿宋_GB2312" w:cs="仿宋_GB2312"/>
                <w:bCs/>
                <w:sz w:val="21"/>
                <w:szCs w:val="21"/>
                <w:lang w:val="en-US" w:eastAsia="zh-CN"/>
              </w:rPr>
              <w:t>2020-06-18</w:t>
            </w:r>
          </w:p>
        </w:tc>
        <w:tc>
          <w:tcPr>
            <w:tcW w:w="1984" w:type="dxa"/>
            <w:tcBorders>
              <w:top w:val="single" w:color="000000" w:sz="4" w:space="0"/>
              <w:left w:val="nil"/>
              <w:bottom w:val="single" w:color="000000" w:sz="4" w:space="0"/>
              <w:right w:val="single" w:color="000000" w:sz="4" w:space="0"/>
            </w:tcBorders>
            <w:vAlign w:val="center"/>
          </w:tcPr>
          <w:p>
            <w:pPr>
              <w:spacing w:line="260" w:lineRule="exact"/>
              <w:jc w:val="center"/>
              <w:rPr>
                <w:rFonts w:hint="eastAsia" w:ascii="仿宋_GB2312" w:hAnsi="仿宋_GB2312" w:eastAsia="仿宋_GB2312" w:cs="仿宋_GB2312"/>
                <w:bCs/>
                <w:sz w:val="21"/>
                <w:szCs w:val="21"/>
                <w:lang w:val="en-US" w:eastAsia="zh-CN"/>
              </w:rPr>
            </w:pPr>
            <w:r>
              <w:rPr>
                <w:rFonts w:hint="eastAsia" w:ascii="仿宋_GB2312" w:hAnsi="仿宋_GB2312" w:eastAsia="仿宋_GB2312" w:cs="仿宋_GB2312"/>
                <w:bCs/>
                <w:sz w:val="21"/>
                <w:szCs w:val="21"/>
                <w:lang w:val="en-US" w:eastAsia="zh-CN"/>
              </w:rPr>
              <w:t>发表论文《广西黄氏壮医针灸流派天阴阳针法概述》</w:t>
            </w:r>
          </w:p>
        </w:tc>
        <w:tc>
          <w:tcPr>
            <w:tcW w:w="1134" w:type="dxa"/>
            <w:tcBorders>
              <w:top w:val="single" w:color="000000" w:sz="4" w:space="0"/>
              <w:left w:val="nil"/>
              <w:bottom w:val="single" w:color="000000" w:sz="4" w:space="0"/>
              <w:right w:val="single" w:color="000000" w:sz="4" w:space="0"/>
            </w:tcBorders>
            <w:vAlign w:val="center"/>
          </w:tcPr>
          <w:p>
            <w:pPr>
              <w:spacing w:line="260" w:lineRule="exact"/>
              <w:jc w:val="center"/>
              <w:rPr>
                <w:rFonts w:hint="default" w:ascii="仿宋_GB2312" w:hAnsi="仿宋_GB2312" w:eastAsia="仿宋_GB2312" w:cs="仿宋_GB2312"/>
                <w:bCs/>
                <w:sz w:val="21"/>
                <w:szCs w:val="21"/>
                <w:lang w:val="en-US" w:eastAsia="zh-CN"/>
              </w:rPr>
            </w:pPr>
            <w:r>
              <w:rPr>
                <w:rFonts w:hint="eastAsia" w:ascii="仿宋_GB2312" w:hAnsi="仿宋_GB2312" w:eastAsia="仿宋_GB2312" w:cs="仿宋_GB2312"/>
                <w:bCs/>
                <w:sz w:val="21"/>
                <w:szCs w:val="21"/>
                <w:lang w:val="en-US" w:eastAsia="zh-CN"/>
              </w:rPr>
              <w:t>6-3</w:t>
            </w:r>
          </w:p>
        </w:tc>
        <w:tc>
          <w:tcPr>
            <w:tcW w:w="1134" w:type="dxa"/>
            <w:tcBorders>
              <w:top w:val="single" w:color="000000" w:sz="4" w:space="0"/>
              <w:left w:val="nil"/>
              <w:bottom w:val="single" w:color="000000" w:sz="4" w:space="0"/>
              <w:right w:val="single" w:color="000000" w:sz="4" w:space="0"/>
            </w:tcBorders>
            <w:vAlign w:val="center"/>
          </w:tcPr>
          <w:p>
            <w:pPr>
              <w:spacing w:line="260" w:lineRule="exact"/>
              <w:jc w:val="center"/>
              <w:rPr>
                <w:rFonts w:hint="eastAsia" w:ascii="仿宋_GB2312" w:hAnsi="仿宋_GB2312" w:eastAsia="仿宋_GB2312" w:cs="仿宋_GB2312"/>
                <w:bCs/>
                <w:szCs w:val="21"/>
                <w:lang w:val="en-US" w:eastAsia="zh-CN"/>
              </w:rPr>
            </w:pPr>
          </w:p>
        </w:tc>
      </w:tr>
    </w:tbl>
    <w:p>
      <w:pPr>
        <w:pStyle w:val="10"/>
      </w:pPr>
    </w:p>
    <w:p>
      <w:pPr>
        <w:pStyle w:val="10"/>
      </w:pPr>
      <w:r>
        <w:rPr>
          <w:rFonts w:hint="eastAsia"/>
        </w:rPr>
        <w:t>`</w:t>
      </w:r>
    </w:p>
    <w:sectPr>
      <w:pgSz w:w="11906" w:h="16838"/>
      <w:pgMar w:top="1417" w:right="1531" w:bottom="1417" w:left="1531" w:header="851" w:footer="1417" w:gutter="0"/>
      <w:pgNumType w:fmt="numberInDash"/>
      <w:cols w:space="72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黑体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lMDJkMWY0NzMwOTMyNjM3YWM1MjE4YWZjMjliZmIifQ=="/>
  </w:docVars>
  <w:rsids>
    <w:rsidRoot w:val="0CC8630E"/>
    <w:rsid w:val="0048501C"/>
    <w:rsid w:val="00D82846"/>
    <w:rsid w:val="00FB0B1F"/>
    <w:rsid w:val="00FD0F8B"/>
    <w:rsid w:val="0A0D7099"/>
    <w:rsid w:val="0CC8630E"/>
    <w:rsid w:val="22AC3C78"/>
    <w:rsid w:val="241F02D3"/>
    <w:rsid w:val="267F596F"/>
    <w:rsid w:val="3AAD2E37"/>
    <w:rsid w:val="3F375E76"/>
    <w:rsid w:val="41A43E07"/>
    <w:rsid w:val="43DA1533"/>
    <w:rsid w:val="4967516C"/>
    <w:rsid w:val="4EC34B18"/>
    <w:rsid w:val="591A65C1"/>
    <w:rsid w:val="5BE93EEE"/>
    <w:rsid w:val="65DB3094"/>
    <w:rsid w:val="68F264B9"/>
    <w:rsid w:val="73BC66FB"/>
    <w:rsid w:val="771366D7"/>
    <w:rsid w:val="7B5B1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3"/>
    <w:qFormat/>
    <w:uiPriority w:val="0"/>
    <w:pPr>
      <w:keepNext/>
      <w:keepLines/>
      <w:spacing w:line="560" w:lineRule="exact"/>
    </w:pPr>
    <w:rPr>
      <w:rFonts w:eastAsia="方正小标宋简体"/>
      <w:b w:val="0"/>
      <w:kern w:val="44"/>
      <w:sz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sz w:val="32"/>
    </w:rPr>
  </w:style>
  <w:style w:type="paragraph" w:styleId="4">
    <w:name w:val="Body Text"/>
    <w:basedOn w:val="1"/>
    <w:unhideWhenUsed/>
    <w:qFormat/>
    <w:uiPriority w:val="99"/>
    <w:pPr>
      <w:jc w:val="center"/>
    </w:pPr>
    <w:rPr>
      <w:sz w:val="44"/>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样式1"/>
    <w:basedOn w:val="1"/>
    <w:qFormat/>
    <w:uiPriority w:val="0"/>
    <w:pPr>
      <w:spacing w:line="540" w:lineRule="exact"/>
    </w:pPr>
    <w:rPr>
      <w:rFonts w:eastAsia="仿宋_GB2312"/>
      <w:sz w:val="32"/>
    </w:rPr>
  </w:style>
  <w:style w:type="paragraph" w:customStyle="1" w:styleId="11">
    <w:name w:val="大标题"/>
    <w:basedOn w:val="3"/>
    <w:next w:val="3"/>
    <w:qFormat/>
    <w:uiPriority w:val="0"/>
    <w:rPr>
      <w:rFonts w:eastAsia="方正小标宋简体" w:asciiTheme="minorHAnsi" w:hAnsiTheme="minorHAnsi"/>
      <w:b w:val="0"/>
    </w:rPr>
  </w:style>
  <w:style w:type="character" w:customStyle="1" w:styleId="12">
    <w:name w:val="17"/>
    <w:basedOn w:val="9"/>
    <w:qFormat/>
    <w:uiPriority w:val="0"/>
    <w:rPr>
      <w:rFonts w:hint="eastAsia" w:ascii="仿宋_GB2312" w:eastAsia="仿宋_GB2312"/>
      <w:b/>
      <w:bCs/>
      <w:kern w:val="44"/>
      <w:sz w:val="44"/>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2377</Words>
  <Characters>3164</Characters>
  <Lines>5</Lines>
  <Paragraphs>1</Paragraphs>
  <TotalTime>4</TotalTime>
  <ScaleCrop>false</ScaleCrop>
  <LinksUpToDate>false</LinksUpToDate>
  <CharactersWithSpaces>3241</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2023-07-25T08:53:00Z</dcterms:created>
  <dc:creator>lenovo</dc:creator>
  <cp:lastModifiedBy>猫-GM</cp:lastModifiedBy>
  <dcterms:modified xsi:type="dcterms:W3CDTF">2023-08-23T09:29:52Z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5B1F7A9A42D44DCDB093E50E3E06AC2B_13</vt:lpwstr>
  </property>
</Properties>
</file>