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template.macroEnabledTemplate.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003" w:type="dxa"/>
        <w:tblInd w:w="0" w:type="dxa"/>
        <w:tblLayout w:type="fixed"/>
        <w:tblCellMar>
          <w:top w:w="0" w:type="dxa"/>
          <w:left w:w="108" w:type="dxa"/>
          <w:bottom w:w="0" w:type="dxa"/>
          <w:right w:w="108" w:type="dxa"/>
        </w:tblCellMar>
      </w:tblPr>
      <w:tblGrid>
        <w:gridCol w:w="7338"/>
        <w:gridCol w:w="1665"/>
      </w:tblGrid>
      <w:tr>
        <w:tblPrEx>
          <w:tblCellMar>
            <w:top w:w="0" w:type="dxa"/>
            <w:left w:w="108" w:type="dxa"/>
            <w:bottom w:w="0" w:type="dxa"/>
            <w:right w:w="108" w:type="dxa"/>
          </w:tblCellMar>
        </w:tblPrEx>
        <w:tc>
          <w:tcPr>
            <w:tcW w:w="7338" w:type="dxa"/>
            <w:tcBorders>
              <w:top w:val="nil"/>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default" w:ascii="Times New Roman" w:hAnsi="仿宋" w:eastAsia="方正小标宋简体" w:cs="Times New Roman"/>
                <w:bCs/>
                <w:color w:val="FF0000"/>
                <w:spacing w:val="-17"/>
                <w:w w:val="90"/>
                <w:kern w:val="0"/>
                <w:sz w:val="50"/>
                <w:szCs w:val="32"/>
                <w:lang w:val="en-US" w:eastAsia="zh-CN" w:bidi="ar-SA"/>
              </w:rPr>
            </w:pPr>
            <w:r>
              <w:rPr>
                <w:rFonts w:hint="default" w:ascii="Times New Roman" w:hAnsi="仿宋" w:eastAsia="方正小标宋简体" w:cs="Times New Roman"/>
                <w:bCs/>
                <w:color w:val="FF0000"/>
                <w:spacing w:val="-17"/>
                <w:w w:val="90"/>
                <w:kern w:val="0"/>
                <w:sz w:val="50"/>
                <w:szCs w:val="32"/>
                <w:lang w:val="en-US" w:eastAsia="zh-CN" w:bidi="ar-SA"/>
              </w:rPr>
              <w:t>广西壮族自治区卫生健康委员会</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outlineLvl w:val="9"/>
              <w:rPr>
                <w:rFonts w:hint="eastAsia" w:ascii="Times New Roman" w:hAnsi="仿宋" w:eastAsia="方正小标宋简体" w:cs="Times New Roman"/>
                <w:bCs/>
                <w:color w:val="FF0000"/>
                <w:spacing w:val="-17"/>
                <w:w w:val="90"/>
                <w:kern w:val="0"/>
                <w:sz w:val="50"/>
                <w:szCs w:val="32"/>
                <w:lang w:val="en-US" w:eastAsia="zh-CN" w:bidi="ar-SA"/>
              </w:rPr>
            </w:pPr>
            <w:r>
              <w:rPr>
                <w:rFonts w:hint="eastAsia" w:ascii="Times New Roman" w:hAnsi="仿宋" w:eastAsia="方正小标宋简体" w:cs="Times New Roman"/>
                <w:bCs/>
                <w:color w:val="FF0000"/>
                <w:spacing w:val="-17"/>
                <w:w w:val="90"/>
                <w:kern w:val="0"/>
                <w:sz w:val="50"/>
                <w:szCs w:val="32"/>
                <w:lang w:val="en-US" w:eastAsia="zh-CN" w:bidi="ar-SA"/>
              </w:rPr>
              <w:t>广西壮族自治区财政厅</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outlineLvl w:val="9"/>
              <w:rPr>
                <w:rFonts w:hint="eastAsia" w:ascii="Times New Roman" w:hAnsi="仿宋" w:eastAsia="方正小标宋简体" w:cs="Times New Roman"/>
                <w:bCs/>
                <w:color w:val="FF0000"/>
                <w:spacing w:val="-17"/>
                <w:w w:val="90"/>
                <w:kern w:val="0"/>
                <w:sz w:val="50"/>
                <w:szCs w:val="32"/>
                <w:lang w:val="en-US" w:eastAsia="zh-CN" w:bidi="ar-SA"/>
              </w:rPr>
            </w:pPr>
            <w:r>
              <w:rPr>
                <w:rFonts w:hint="eastAsia" w:ascii="Times New Roman" w:hAnsi="仿宋" w:eastAsia="方正小标宋简体" w:cs="Times New Roman"/>
                <w:bCs/>
                <w:color w:val="FF0000"/>
                <w:spacing w:val="-17"/>
                <w:w w:val="90"/>
                <w:kern w:val="0"/>
                <w:sz w:val="50"/>
                <w:szCs w:val="32"/>
                <w:lang w:val="en-US" w:eastAsia="zh-CN" w:bidi="ar-SA"/>
              </w:rPr>
              <w:t>广西壮族自治区人力资源和社会保障厅</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outlineLvl w:val="9"/>
              <w:rPr>
                <w:rFonts w:hint="eastAsia" w:ascii="Times New Roman" w:hAnsi="仿宋" w:eastAsia="方正小标宋简体" w:cs="Times New Roman"/>
                <w:bCs/>
                <w:color w:val="FF0000"/>
                <w:spacing w:val="-17"/>
                <w:w w:val="90"/>
                <w:kern w:val="0"/>
                <w:sz w:val="50"/>
                <w:szCs w:val="32"/>
                <w:lang w:val="en-US" w:eastAsia="zh-CN" w:bidi="ar-SA"/>
              </w:rPr>
            </w:pPr>
            <w:r>
              <w:rPr>
                <w:rFonts w:hint="eastAsia" w:ascii="Times New Roman" w:hAnsi="仿宋" w:eastAsia="方正小标宋简体" w:cs="Times New Roman"/>
                <w:bCs/>
                <w:color w:val="FF0000"/>
                <w:spacing w:val="-17"/>
                <w:w w:val="90"/>
                <w:kern w:val="0"/>
                <w:sz w:val="50"/>
                <w:szCs w:val="32"/>
                <w:lang w:val="en-US" w:eastAsia="zh-CN" w:bidi="ar-SA"/>
              </w:rPr>
              <w:t>广西壮族自治区医疗保障局</w:t>
            </w:r>
          </w:p>
          <w:p>
            <w:pPr>
              <w:keepNext w:val="0"/>
              <w:keepLines w:val="0"/>
              <w:pageBreakBefore w:val="0"/>
              <w:widowControl w:val="0"/>
              <w:kinsoku/>
              <w:wordWrap/>
              <w:overflowPunct/>
              <w:topLinePunct w:val="0"/>
              <w:autoSpaceDE/>
              <w:autoSpaceDN/>
              <w:bidi w:val="0"/>
              <w:adjustRightInd/>
              <w:snapToGrid/>
              <w:spacing w:line="640" w:lineRule="exact"/>
              <w:jc w:val="distribute"/>
              <w:textAlignment w:val="auto"/>
              <w:outlineLvl w:val="9"/>
              <w:rPr>
                <w:rFonts w:hint="default" w:ascii="Times New Roman" w:hAnsi="仿宋" w:eastAsia="方正小标宋简体" w:cs="Times New Roman"/>
                <w:bCs/>
                <w:color w:val="FF0000"/>
                <w:spacing w:val="-17"/>
                <w:w w:val="90"/>
                <w:kern w:val="0"/>
                <w:sz w:val="50"/>
                <w:szCs w:val="32"/>
                <w:lang w:val="en-US" w:eastAsia="zh-CN" w:bidi="ar-SA"/>
              </w:rPr>
            </w:pPr>
            <w:r>
              <w:rPr>
                <w:rFonts w:hint="default" w:ascii="Times New Roman" w:hAnsi="仿宋" w:eastAsia="方正小标宋简体" w:cs="Times New Roman"/>
                <w:bCs/>
                <w:color w:val="FF0000"/>
                <w:spacing w:val="-17"/>
                <w:w w:val="90"/>
                <w:kern w:val="0"/>
                <w:sz w:val="50"/>
                <w:szCs w:val="32"/>
                <w:lang w:val="en-US" w:eastAsia="zh-CN" w:bidi="ar-SA"/>
              </w:rPr>
              <w:t>广西壮族自治区中医药管理局</w:t>
            </w:r>
          </w:p>
          <w:p>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distribute"/>
              <w:textAlignment w:val="auto"/>
              <w:outlineLvl w:val="9"/>
              <w:rPr>
                <w:rFonts w:hint="eastAsia" w:eastAsia="方正小标宋简体"/>
                <w:lang w:eastAsia="zh-CN"/>
              </w:rPr>
            </w:pPr>
            <w:r>
              <w:rPr>
                <w:rFonts w:hint="eastAsia" w:ascii="Times New Roman" w:hAnsi="仿宋" w:eastAsia="方正小标宋简体" w:cs="Times New Roman"/>
                <w:bCs/>
                <w:color w:val="FF0000"/>
                <w:spacing w:val="-17"/>
                <w:w w:val="90"/>
                <w:kern w:val="0"/>
                <w:sz w:val="50"/>
                <w:szCs w:val="32"/>
                <w:lang w:val="en-US" w:eastAsia="zh-CN" w:bidi="ar-SA"/>
              </w:rPr>
              <w:t>广西壮族自治区残疾人联合会</w:t>
            </w:r>
          </w:p>
        </w:tc>
        <w:tc>
          <w:tcPr>
            <w:tcW w:w="1665" w:type="dxa"/>
            <w:tcBorders>
              <w:top w:val="nil"/>
              <w:left w:val="nil"/>
              <w:bottom w:val="nil"/>
              <w:right w:val="nil"/>
            </w:tcBorders>
            <w:vAlign w:val="center"/>
          </w:tcPr>
          <w:p>
            <w:pPr>
              <w:jc w:val="center"/>
              <w:rPr>
                <w:rFonts w:ascii="Times New Roman" w:eastAsia="方正小标宋简体" w:cs="Times New Roman"/>
                <w:bCs/>
                <w:color w:val="000000"/>
                <w:kern w:val="0"/>
                <w:sz w:val="32"/>
                <w:szCs w:val="32"/>
              </w:rPr>
            </w:pPr>
            <w:r>
              <w:rPr>
                <w:rFonts w:hint="default" w:ascii="Times New Roman" w:eastAsia="方正小标宋简体" w:cs="Times New Roman"/>
                <w:bCs/>
                <w:color w:val="FF0000"/>
                <w:kern w:val="0"/>
                <w:sz w:val="70"/>
                <w:szCs w:val="32"/>
              </w:rPr>
              <w:t>文件</w:t>
            </w:r>
          </w:p>
        </w:tc>
      </w:tr>
    </w:tbl>
    <w:p>
      <w:pPr>
        <w:spacing w:line="490" w:lineRule="exact"/>
        <w:rPr>
          <w:rFonts w:ascii="Times New Roman" w:eastAsia="仿宋_GB2312" w:cs="Times New Roman"/>
          <w:bCs/>
          <w:color w:val="000000"/>
          <w:kern w:val="0"/>
          <w:sz w:val="32"/>
          <w:szCs w:val="32"/>
        </w:rPr>
      </w:pPr>
    </w:p>
    <w:p>
      <w:pPr>
        <w:spacing w:line="490" w:lineRule="exact"/>
        <w:jc w:val="center"/>
        <w:rPr>
          <w:rFonts w:ascii="Times New Roman" w:eastAsia="仿宋_GB2312" w:cs="Times New Roman"/>
          <w:bCs/>
          <w:color w:val="000000"/>
          <w:kern w:val="0"/>
          <w:sz w:val="32"/>
          <w:szCs w:val="32"/>
        </w:rPr>
      </w:pPr>
      <w:r>
        <w:rPr>
          <w:rFonts w:hint="default" w:ascii="Times New Roman" w:eastAsia="仿宋_GB2312" w:cs="Times New Roman"/>
          <w:bCs/>
          <w:color w:val="000000"/>
          <w:kern w:val="0"/>
          <w:sz w:val="32"/>
          <w:szCs w:val="32"/>
        </w:rPr>
        <w:t>桂卫</w:t>
      </w:r>
      <w:r>
        <w:rPr>
          <w:rFonts w:hint="eastAsia" w:ascii="Times New Roman" w:eastAsia="仿宋_GB2312" w:cs="Times New Roman"/>
          <w:bCs/>
          <w:color w:val="000000"/>
          <w:kern w:val="0"/>
          <w:sz w:val="32"/>
          <w:szCs w:val="32"/>
          <w:lang w:eastAsia="zh-CN"/>
        </w:rPr>
        <w:t>基层</w:t>
      </w:r>
      <w:r>
        <w:rPr>
          <w:rFonts w:hint="default" w:ascii="Times New Roman" w:eastAsia="仿宋_GB2312" w:cs="Times New Roman"/>
          <w:bCs/>
          <w:color w:val="000000"/>
          <w:kern w:val="0"/>
          <w:sz w:val="32"/>
          <w:szCs w:val="32"/>
        </w:rPr>
        <w:t>发</w:t>
      </w:r>
      <w:r>
        <w:rPr>
          <w:rFonts w:hint="eastAsia" w:ascii="仿宋_GB2312" w:hAnsi="仿宋_GB2312" w:eastAsia="仿宋_GB2312" w:cs="仿宋_GB2312"/>
          <w:bCs/>
          <w:color w:val="000000"/>
          <w:kern w:val="0"/>
          <w:sz w:val="32"/>
          <w:szCs w:val="32"/>
        </w:rPr>
        <w:t>〔2022〕</w:t>
      </w:r>
      <w:r>
        <w:rPr>
          <w:rFonts w:hint="eastAsia" w:ascii="仿宋_GB2312" w:hAnsi="仿宋_GB2312" w:eastAsia="仿宋_GB2312" w:cs="仿宋_GB2312"/>
          <w:bCs/>
          <w:color w:val="000000"/>
          <w:kern w:val="0"/>
          <w:sz w:val="32"/>
          <w:szCs w:val="32"/>
          <w:lang w:val="en-US" w:eastAsia="zh-CN"/>
        </w:rPr>
        <w:t>9</w:t>
      </w:r>
      <w:r>
        <w:rPr>
          <w:rFonts w:hint="eastAsia" w:ascii="仿宋_GB2312" w:hAnsi="仿宋_GB2312" w:eastAsia="仿宋_GB2312" w:cs="仿宋_GB2312"/>
          <w:bCs/>
          <w:color w:val="000000"/>
          <w:kern w:val="0"/>
          <w:sz w:val="32"/>
          <w:szCs w:val="32"/>
        </w:rPr>
        <w:t>号</w:t>
      </w:r>
    </w:p>
    <w:p>
      <w:pPr>
        <w:spacing w:line="500" w:lineRule="exact"/>
        <w:jc w:val="center"/>
        <w:rPr>
          <w:rFonts w:ascii="Times New Roman" w:eastAsia="仿宋_GB2312" w:cs="Times New Roman"/>
          <w:bCs/>
          <w:color w:val="000000"/>
          <w:kern w:val="0"/>
          <w:sz w:val="32"/>
          <w:szCs w:val="32"/>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133985</wp:posOffset>
                </wp:positionV>
                <wp:extent cx="5572760" cy="0"/>
                <wp:effectExtent l="0" t="19050" r="8890" b="19050"/>
                <wp:wrapNone/>
                <wp:docPr id="2" name="直接连接符 2"/>
                <wp:cNvGraphicFramePr/>
                <a:graphic xmlns:a="http://schemas.openxmlformats.org/drawingml/2006/main">
                  <a:graphicData uri="http://schemas.microsoft.com/office/word/2010/wordprocessingShape">
                    <wps:wsp>
                      <wps:cNvCnPr/>
                      <wps:spPr>
                        <a:xfrm>
                          <a:off x="0" y="0"/>
                          <a:ext cx="5572760" cy="0"/>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5pt;margin-top:10.55pt;height:0pt;width:438.8pt;z-index:251660288;mso-width-relative:page;mso-height-relative:page;" filled="f" stroked="t" coordsize="21600,21600" o:gfxdata="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yO9TaAAAACAEAAA8AAAAAAAAAAQAgAAAAIgAAAGRycy9kb3ducmV2LnhtbFBL&#10;AQIUABQAAAAIAIdO4kB5TEH19AEAAOcDAAAOAAAAAAAAAAEAIAAAACkBAABkcnMvZTJvRG9jLnht&#10;bFBLBQYAAAAABgAGAFkBAACPBQAAAAA=&#10;">
                <v:fill on="f" focussize="0,0"/>
                <v:stroke weight="3pt" color="#FF0000" joinstyle="round"/>
                <v:imagedata o:title=""/>
                <o:lock v:ext="edit" aspectratio="f"/>
              </v:line>
            </w:pict>
          </mc:Fallback>
        </mc:AlternateContent>
      </w:r>
    </w:p>
    <w:p>
      <w:pPr>
        <w:rPr>
          <w:rFonts w:hint="eastAsia"/>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rPr>
        <w:t>广西壮族自治区卫生健康委员会</w:t>
      </w:r>
      <w:r>
        <w:rPr>
          <w:rFonts w:hint="eastAsia" w:ascii="方正小标宋简体" w:hAnsi="方正小标宋简体" w:eastAsia="方正小标宋简体" w:cs="方正小标宋简体"/>
          <w:b w:val="0"/>
          <w:bCs w:val="0"/>
          <w:color w:val="auto"/>
          <w:spacing w:val="0"/>
          <w:sz w:val="44"/>
          <w:szCs w:val="44"/>
          <w:lang w:val="en-US" w:eastAsia="zh-CN"/>
        </w:rPr>
        <w:t>等6部门</w:t>
      </w:r>
      <w:r>
        <w:rPr>
          <w:rFonts w:hint="eastAsia" w:ascii="方正小标宋简体" w:hAnsi="方正小标宋简体" w:eastAsia="方正小标宋简体" w:cs="方正小标宋简体"/>
          <w:b w:val="0"/>
          <w:bCs w:val="0"/>
          <w:color w:val="auto"/>
          <w:spacing w:val="0"/>
          <w:sz w:val="44"/>
          <w:szCs w:val="44"/>
          <w:lang w:eastAsia="zh-CN"/>
        </w:rPr>
        <w:t>关于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印发广西壮族自治区家庭医生签约服务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高质量发展实施意见的通知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val="0"/>
          <w:bCs w:val="0"/>
          <w:color w:val="auto"/>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pacing w:val="-6"/>
          <w:sz w:val="32"/>
          <w:szCs w:val="32"/>
          <w:u w:val="none"/>
          <w:lang w:eastAsia="zh-CN"/>
        </w:rPr>
        <w:t>各市、县（市、区）卫生健康委（局）、财政局、人力资源和社会保障</w:t>
      </w:r>
      <w:r>
        <w:rPr>
          <w:rFonts w:hint="eastAsia" w:ascii="仿宋_GB2312" w:hAnsi="仿宋_GB2312" w:eastAsia="仿宋_GB2312" w:cs="仿宋_GB2312"/>
          <w:color w:val="auto"/>
          <w:sz w:val="32"/>
          <w:szCs w:val="32"/>
          <w:u w:val="none"/>
          <w:lang w:eastAsia="zh-CN"/>
        </w:rPr>
        <w:t>局、医保局、中医药局、残联：</w:t>
      </w:r>
    </w:p>
    <w:p>
      <w:pPr>
        <w:keepNext w:val="0"/>
        <w:keepLines w:val="0"/>
        <w:pageBreakBefore w:val="0"/>
        <w:widowControl w:val="0"/>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为贯彻落实《中华人民共和国国民经济和社会发展第十四个五年规划和2035年远景目标纲要》和国家卫生健康委等六部门《关于推进家庭医生签约服务高质量发展的指导意见》（国卫基层发〔</w:t>
      </w:r>
      <w:r>
        <w:rPr>
          <w:rFonts w:hint="eastAsia" w:ascii="仿宋_GB2312" w:hAnsi="仿宋_GB2312" w:eastAsia="仿宋_GB2312" w:cs="仿宋_GB2312"/>
          <w:color w:val="auto"/>
          <w:sz w:val="32"/>
          <w:szCs w:val="32"/>
          <w:u w:val="none"/>
          <w:lang w:val="en-US" w:eastAsia="zh-CN"/>
        </w:rPr>
        <w:t>2022</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10号</w:t>
      </w:r>
      <w:r>
        <w:rPr>
          <w:rFonts w:hint="eastAsia" w:ascii="仿宋_GB2312" w:hAnsi="仿宋_GB2312" w:eastAsia="仿宋_GB2312" w:cs="仿宋_GB2312"/>
          <w:color w:val="auto"/>
          <w:sz w:val="32"/>
          <w:szCs w:val="32"/>
          <w:u w:val="none"/>
          <w:lang w:eastAsia="zh-CN"/>
        </w:rPr>
        <w:t>）等文件精神，自</w:t>
      </w:r>
      <w:bookmarkStart w:id="0" w:name="_GoBack"/>
      <w:bookmarkEnd w:id="0"/>
      <w:r>
        <w:rPr>
          <w:rFonts w:hint="eastAsia" w:ascii="仿宋_GB2312" w:hAnsi="仿宋_GB2312" w:eastAsia="仿宋_GB2312" w:cs="仿宋_GB2312"/>
          <w:color w:val="auto"/>
          <w:sz w:val="32"/>
          <w:szCs w:val="32"/>
          <w:u w:val="none"/>
          <w:lang w:eastAsia="zh-CN"/>
        </w:rPr>
        <w:t>治区卫生健康委、财政厅、人力资源和社会保障厅、医保局、中医药局、残联制定了《广西壮族自治区家庭医生签约服务高质量发展的实施意见》，现印发你们，请各地认真贯彻落实。</w:t>
      </w:r>
    </w:p>
    <w:p>
      <w:pPr>
        <w:keepNext w:val="0"/>
        <w:keepLines w:val="0"/>
        <w:pageBreakBefore w:val="0"/>
        <w:widowControl w:val="0"/>
        <w:kinsoku/>
        <w:wordWrap/>
        <w:overflowPunct/>
        <w:topLinePunct w:val="0"/>
        <w:autoSpaceDE/>
        <w:autoSpaceDN/>
        <w:bidi w:val="0"/>
        <w:adjustRightInd/>
        <w:snapToGrid/>
        <w:spacing w:line="640" w:lineRule="exact"/>
        <w:ind w:firstLine="640"/>
        <w:jc w:val="center"/>
        <w:textAlignment w:val="auto"/>
        <w:rPr>
          <w:rFonts w:hint="eastAsia" w:ascii="仿宋_GB2312" w:hAnsi="仿宋_GB2312" w:eastAsia="仿宋_GB2312" w:cs="仿宋_GB2312"/>
          <w:color w:val="auto"/>
          <w:sz w:val="32"/>
          <w:szCs w:val="32"/>
          <w:u w:val="none"/>
          <w:lang w:eastAsia="zh-CN"/>
        </w:rPr>
      </w:pPr>
    </w:p>
    <w:p>
      <w:pPr>
        <w:pStyle w:val="2"/>
        <w:rPr>
          <w:rFonts w:hint="eastAsia" w:ascii="仿宋_GB2312" w:hAnsi="仿宋_GB2312" w:eastAsia="仿宋_GB2312" w:cs="仿宋_GB2312"/>
          <w:color w:val="auto"/>
          <w:sz w:val="32"/>
          <w:szCs w:val="32"/>
          <w:u w:val="none"/>
          <w:lang w:eastAsia="zh-CN"/>
        </w:rPr>
      </w:pPr>
    </w:p>
    <w:p>
      <w:pPr>
        <w:pStyle w:val="2"/>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　广西壮族自治区</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广西壮族自治区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卫生健康委员会</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财政厅</w:t>
      </w:r>
    </w:p>
    <w:p>
      <w:pPr>
        <w:pStyle w:val="4"/>
        <w:keepNext w:val="0"/>
        <w:keepLines w:val="0"/>
        <w:pageBreakBefore w:val="0"/>
        <w:widowControl w:val="0"/>
        <w:kinsoku/>
        <w:wordWrap/>
        <w:overflowPunct/>
        <w:topLinePunct w:val="0"/>
        <w:autoSpaceDE/>
        <w:autoSpaceDN/>
        <w:bidi w:val="0"/>
        <w:adjustRightInd/>
        <w:snapToGrid/>
        <w:spacing w:before="0" w:after="0" w:line="640" w:lineRule="exact"/>
        <w:textAlignment w:val="auto"/>
        <w:rPr>
          <w:rFonts w:hint="eastAsia" w:ascii="仿宋_GB2312" w:hAnsi="仿宋_GB2312" w:eastAsia="仿宋_GB2312" w:cs="仿宋_GB2312"/>
          <w:color w:val="auto"/>
          <w:sz w:val="32"/>
          <w:szCs w:val="32"/>
          <w:u w:val="none"/>
          <w:lang w:eastAsia="zh-CN"/>
        </w:rPr>
      </w:pPr>
    </w:p>
    <w:p>
      <w:pPr>
        <w:rPr>
          <w:rFonts w:hint="eastAsia" w:ascii="仿宋_GB2312" w:hAnsi="仿宋_GB2312" w:eastAsia="仿宋_GB2312" w:cs="仿宋_GB2312"/>
          <w:color w:val="auto"/>
          <w:sz w:val="32"/>
          <w:szCs w:val="32"/>
          <w:u w:val="no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pacing w:val="-17"/>
          <w:sz w:val="32"/>
          <w:szCs w:val="32"/>
          <w:u w:val="none"/>
          <w:lang w:eastAsia="zh-CN"/>
        </w:rPr>
        <w:t>　　　　</w:t>
      </w:r>
      <w:r>
        <w:rPr>
          <w:rFonts w:hint="eastAsia" w:ascii="仿宋_GB2312" w:hAnsi="仿宋_GB2312" w:eastAsia="仿宋_GB2312" w:cs="仿宋_GB2312"/>
          <w:color w:val="auto"/>
          <w:sz w:val="32"/>
          <w:szCs w:val="32"/>
          <w:u w:val="none"/>
          <w:lang w:eastAsia="zh-CN"/>
        </w:rPr>
        <w:t>广西壮族自治区</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广西壮族自治区</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人力资源和社会保障厅</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医疗保障局</w:t>
      </w:r>
    </w:p>
    <w:p>
      <w:pPr>
        <w:pStyle w:val="4"/>
        <w:keepNext w:val="0"/>
        <w:keepLines w:val="0"/>
        <w:pageBreakBefore w:val="0"/>
        <w:widowControl w:val="0"/>
        <w:kinsoku/>
        <w:wordWrap/>
        <w:overflowPunct/>
        <w:topLinePunct w:val="0"/>
        <w:autoSpaceDE/>
        <w:autoSpaceDN/>
        <w:bidi w:val="0"/>
        <w:adjustRightInd/>
        <w:snapToGrid/>
        <w:spacing w:before="0" w:after="0" w:line="640" w:lineRule="exact"/>
        <w:textAlignment w:val="auto"/>
        <w:rPr>
          <w:rFonts w:hint="eastAsia" w:ascii="仿宋_GB2312" w:hAnsi="仿宋_GB2312" w:eastAsia="仿宋_GB2312" w:cs="仿宋_GB2312"/>
          <w:color w:val="auto"/>
          <w:sz w:val="32"/>
          <w:szCs w:val="32"/>
          <w:u w:val="none"/>
          <w:lang w:eastAsia="zh-CN"/>
        </w:rPr>
      </w:pPr>
    </w:p>
    <w:p>
      <w:pPr>
        <w:rPr>
          <w:rFonts w:hint="eastAsia" w:ascii="仿宋_GB2312" w:hAnsi="仿宋_GB2312" w:eastAsia="仿宋_GB2312" w:cs="仿宋_GB2312"/>
          <w:color w:val="auto"/>
          <w:sz w:val="32"/>
          <w:szCs w:val="32"/>
          <w:u w:val="none"/>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广西壮族自治区</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广西壮族自治区</w:t>
      </w:r>
    </w:p>
    <w:p>
      <w:pPr>
        <w:keepNext w:val="0"/>
        <w:keepLines w:val="0"/>
        <w:pageBreakBefore w:val="0"/>
        <w:widowControl w:val="0"/>
        <w:kinsoku/>
        <w:wordWrap/>
        <w:overflowPunct/>
        <w:topLinePunct w:val="0"/>
        <w:autoSpaceDE/>
        <w:autoSpaceDN/>
        <w:bidi w:val="0"/>
        <w:adjustRightInd/>
        <w:snapToGrid/>
        <w:spacing w:line="640" w:lineRule="exact"/>
        <w:ind w:firstLine="320" w:firstLineChars="1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　　　中医药管理局</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残疾人联合会</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2022年6月17日</w:t>
      </w:r>
    </w:p>
    <w:p>
      <w:pPr>
        <w:pStyle w:val="4"/>
        <w:keepNext w:val="0"/>
        <w:keepLines w:val="0"/>
        <w:pageBreakBefore w:val="0"/>
        <w:widowControl w:val="0"/>
        <w:kinsoku/>
        <w:wordWrap/>
        <w:overflowPunct/>
        <w:topLinePunct w:val="0"/>
        <w:autoSpaceDE/>
        <w:autoSpaceDN/>
        <w:bidi w:val="0"/>
        <w:adjustRightInd/>
        <w:snapToGrid/>
        <w:spacing w:before="0" w:after="0" w:line="640" w:lineRule="exact"/>
        <w:textAlignment w:val="auto"/>
        <w:rPr>
          <w:rFonts w:hint="eastAsia" w:ascii="仿宋_GB2312" w:hAnsi="仿宋_GB2312" w:eastAsia="仿宋_GB2312" w:cs="仿宋_GB2312"/>
          <w:color w:val="auto"/>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color w:val="auto"/>
          <w:sz w:val="32"/>
          <w:szCs w:val="32"/>
          <w:u w:val="none"/>
          <w:lang w:eastAsia="zh-CN"/>
        </w:rPr>
      </w:pPr>
    </w:p>
    <w:p>
      <w:pPr>
        <w:rPr>
          <w:rFonts w:hint="eastAsia" w:ascii="方正小标宋简体" w:hAnsi="Calibri" w:eastAsia="方正小标宋简体" w:cs="Times New Roman"/>
          <w:b w:val="0"/>
          <w:bCs w:val="0"/>
          <w:color w:val="auto"/>
          <w:spacing w:val="0"/>
          <w:sz w:val="44"/>
          <w:szCs w:val="44"/>
          <w:lang w:eastAsia="zh-CN"/>
        </w:rPr>
      </w:pPr>
      <w:r>
        <w:rPr>
          <w:rFonts w:hint="eastAsia" w:ascii="方正小标宋简体" w:hAnsi="Calibri" w:eastAsia="方正小标宋简体" w:cs="Times New Roman"/>
          <w:b w:val="0"/>
          <w:bCs w:val="0"/>
          <w:color w:val="auto"/>
          <w:spacing w:val="0"/>
          <w:sz w:val="44"/>
          <w:szCs w:val="44"/>
          <w:lang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Calibri" w:eastAsia="方正小标宋简体" w:cs="Times New Roman"/>
          <w:b w:val="0"/>
          <w:bCs w:val="0"/>
          <w:color w:val="000000" w:themeColor="text1"/>
          <w:spacing w:val="0"/>
          <w:sz w:val="44"/>
          <w:szCs w:val="44"/>
          <w:lang w:eastAsia="zh-CN"/>
          <w14:textFill>
            <w14:solidFill>
              <w14:schemeClr w14:val="tx1"/>
            </w14:solidFill>
          </w14:textFill>
        </w:rPr>
      </w:pPr>
      <w:r>
        <w:rPr>
          <w:rFonts w:hint="eastAsia" w:ascii="方正小标宋简体" w:hAnsi="Calibri" w:eastAsia="方正小标宋简体" w:cs="Times New Roman"/>
          <w:b w:val="0"/>
          <w:bCs w:val="0"/>
          <w:color w:val="000000" w:themeColor="text1"/>
          <w:spacing w:val="0"/>
          <w:sz w:val="44"/>
          <w:szCs w:val="44"/>
          <w:lang w:eastAsia="zh-CN"/>
          <w14:textFill>
            <w14:solidFill>
              <w14:schemeClr w14:val="tx1"/>
            </w14:solidFill>
          </w14:textFill>
        </w:rPr>
        <w:t>广西壮族自治区家庭医生签约服务</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Calibri" w:eastAsia="方正小标宋简体" w:cs="Times New Roman"/>
          <w:b w:val="0"/>
          <w:bCs w:val="0"/>
          <w:color w:val="000000" w:themeColor="text1"/>
          <w:spacing w:val="0"/>
          <w:sz w:val="44"/>
          <w:szCs w:val="44"/>
          <w:lang w:eastAsia="zh-CN"/>
          <w14:textFill>
            <w14:solidFill>
              <w14:schemeClr w14:val="tx1"/>
            </w14:solidFill>
          </w14:textFill>
        </w:rPr>
      </w:pPr>
      <w:r>
        <w:rPr>
          <w:rFonts w:hint="eastAsia" w:ascii="方正小标宋简体" w:hAnsi="Calibri" w:eastAsia="方正小标宋简体" w:cs="Times New Roman"/>
          <w:b w:val="0"/>
          <w:bCs w:val="0"/>
          <w:color w:val="000000" w:themeColor="text1"/>
          <w:spacing w:val="0"/>
          <w:sz w:val="44"/>
          <w:szCs w:val="44"/>
          <w:lang w:eastAsia="zh-CN"/>
          <w14:textFill>
            <w14:solidFill>
              <w14:schemeClr w14:val="tx1"/>
            </w14:solidFill>
          </w14:textFill>
        </w:rPr>
        <w:t>高质量发展的实施意见</w:t>
      </w:r>
    </w:p>
    <w:p>
      <w:pPr>
        <w:keepNext w:val="0"/>
        <w:keepLines w:val="0"/>
        <w:pageBreakBefore w:val="0"/>
        <w:kinsoku/>
        <w:wordWrap/>
        <w:topLinePunct w:val="0"/>
        <w:bidi w:val="0"/>
        <w:spacing w:line="580" w:lineRule="exact"/>
        <w:textAlignment w:val="auto"/>
        <w:outlineLvl w:val="9"/>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为贯彻落实《中华人民共和国</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国民经济和社会发展第十四个五年规划和2035年远景目标纲要》《中共中央 国务院关于加强新时代老龄工作的意见》和国家卫生健康委等六部门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《关于推进家庭医生签约服务高质量发展的指导意见》（国卫基层发〔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2022</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10号</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）等文件精神，结合我区实际，现就加快推进全区家庭医生签约服务高质量发展，提出以下实施意见。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lang w:eastAsia="zh-CN"/>
          <w14:textFill>
            <w14:solidFill>
              <w14:schemeClr w14:val="tx1"/>
            </w14:solidFill>
          </w14:textFill>
        </w:rPr>
        <w:t>一、总体要求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w:t>
      </w: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　（一）总体思路。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积极</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扩充</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家庭医生</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队伍，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逐步扩大签约服务覆盖面；丰富签约服务内涵，提高服务质量，推进有效签约、规范服务；健全签约服务激励和保障机制，激发基层活力，强化政策协同，共同推进家庭医生签约服务高质量发展。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（二）主要目标。</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在确保签约服务质量和签约居民获得感、满意度的前提下，循序渐进扩大签约服务覆盖率，逐步建成以家庭医生为健康守门人的家庭医生制度。从2022年开始，各地在巩固现有签约服务水平基础上，确保脱贫人口、监测对象、农村特困人员签约服务全覆盖，全人群和重点人群签约服务覆盖率</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每年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提升1—3个百分点，到2035年，全人群签约服务覆盖率达到75%以上，基本实现家庭全覆盖，重点人群签约服务覆盖率达到85%以上，满意度达到85%左右。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lang w:eastAsia="zh-CN"/>
          <w14:textFill>
            <w14:solidFill>
              <w14:schemeClr w14:val="tx1"/>
            </w14:solidFill>
          </w14:textFill>
        </w:rPr>
        <w:t>二、扩大服务供给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（一）有序扩大家庭医生队伍来源渠道。</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家庭医生既可以是全科医生，也可以是在医疗卫生机构执业的其他类别临床医师（含中医类别）、乡村医生及退休临床医师。鼓励各类医生到基层医疗卫生机构提供不同形式的签约服务，积极引导二、三级医院医师加入家庭医生队伍，以基层医疗卫生机构为平台开展签约服务。家庭医生既可以个人为签约主体，也可组建团队提供签约服务。</w:t>
      </w:r>
    </w:p>
    <w:p>
      <w:pPr>
        <w:pStyle w:val="4"/>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（二）支持社会力量开展签约服务。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鼓励各地结合实际，在签约服务、医保报销、服务项目、转诊绿色通道等方面做好政策引导支持，为社会办医疗卫生机构开展签约服务创造条件。鼓励和支持社会办医疗卫生机构为居民提供家庭医生签约服务，满足居民个性化、多元化健康需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（三）强化家庭医生培养培训体系。</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加强全科专业住院医生规范化培训、助理全科医生培训、转岗培训、订单定向免费医学生培养，推进乡村全科执业助理医师考试，推动实现2025年城乡每万名居民拥有4名以上合格全科医生的目标，积极扩充家庭医生队伍。优化家庭医生的临床诊疗服务能力和全科理念、知识、技能培训体系，重点加强针对性、操作性强的实用技能培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lang w:eastAsia="zh-CN"/>
          <w14:textFill>
            <w14:solidFill>
              <w14:schemeClr w14:val="tx1"/>
            </w14:solidFill>
          </w14:textFill>
        </w:rPr>
        <w:t>三、丰富服务内涵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 xml:space="preserve">    （一）提升基层医疗服务能力。</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加强乡镇卫生院、社区卫生服务中心（站）和村卫生室</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业务用房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建设和基本诊疗设备配备，进一步改善基层卫生医疗机构</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基础设施</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条件，增强基层医疗卫生机构基本医疗服务功能。</w:t>
      </w:r>
      <w:r>
        <w:rPr>
          <w:rFonts w:hint="eastAsia" w:ascii="仿宋_GB2312" w:hAnsi="仿宋_GB2312" w:eastAsia="仿宋_GB2312" w:cs="仿宋_GB2312"/>
          <w:b w:val="0"/>
          <w:bCs w:val="0"/>
          <w:color w:val="000000" w:themeColor="text1"/>
          <w:sz w:val="32"/>
          <w:szCs w:val="32"/>
          <w:u w:val="none"/>
          <w:lang w:val="en" w:eastAsia="zh-CN"/>
          <w14:textFill>
            <w14:solidFill>
              <w14:schemeClr w14:val="tx1"/>
            </w14:solidFill>
          </w14:textFill>
        </w:rPr>
        <w:t>通过开展</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“优质服务基层行”活动</w:t>
      </w:r>
      <w:r>
        <w:rPr>
          <w:rFonts w:hint="eastAsia" w:ascii="仿宋_GB2312" w:hAnsi="仿宋_GB2312" w:eastAsia="仿宋_GB2312" w:cs="仿宋_GB2312"/>
          <w:b w:val="0"/>
          <w:bCs w:val="0"/>
          <w:color w:val="000000" w:themeColor="text1"/>
          <w:sz w:val="32"/>
          <w:szCs w:val="32"/>
          <w:u w:val="none"/>
          <w:lang w:val="en" w:eastAsia="zh-CN"/>
          <w14:textFill>
            <w14:solidFill>
              <w14:schemeClr w14:val="tx1"/>
            </w14:solidFill>
          </w14:textFill>
        </w:rPr>
        <w:t>、紧密型县域医共体建设、</w:t>
      </w:r>
      <w:r>
        <w:rPr>
          <w:rFonts w:hint="eastAsia" w:ascii="仿宋_GB2312" w:hAnsi="仿宋_GB2312" w:eastAsia="仿宋_GB2312" w:cs="仿宋_GB2312"/>
          <w:b w:val="0"/>
          <w:bCs w:val="0"/>
          <w:color w:val="000000" w:themeColor="text1"/>
          <w:sz w:val="32"/>
          <w:szCs w:val="32"/>
          <w:u w:val="none"/>
          <w:lang w:val="en-US" w:eastAsia="zh-CN"/>
          <w14:textFill>
            <w14:solidFill>
              <w14:schemeClr w14:val="tx1"/>
            </w14:solidFill>
          </w14:textFill>
        </w:rPr>
        <w:t>基层医疗卫生人才培训，</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提升家庭医生</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（团队）</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开展常见病、多发病诊疗</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服务能力</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及慢性病</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健康</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管理水平。同时，鼓励乡镇卫生院和社区卫生服务中心根据服务能力和群众需求，按照相关诊疗规范开展符合相应资质要求的服务项目，拓展康复、医养结合、安宁疗护、远程医疗、智能辅助诊疗等服务功能。</w:t>
      </w:r>
    </w:p>
    <w:p>
      <w:pPr>
        <w:pStyle w:val="2"/>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val="0"/>
        <w:topLinePunct w:val="0"/>
        <w:autoSpaceDE w:val="0"/>
        <w:autoSpaceDN w:val="0"/>
        <w:bidi w:val="0"/>
        <w:adjustRightInd w:val="0"/>
        <w:snapToGrid w:val="0"/>
        <w:spacing w:line="580" w:lineRule="exact"/>
        <w:ind w:left="0" w:firstLine="640" w:firstLineChars="200"/>
        <w:jc w:val="both"/>
        <w:textAlignment w:val="auto"/>
        <w:outlineLvl w:val="9"/>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（二）提高卫生健康服务质量。</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以《国家基本公共卫生服务规范（第三版）》为标准，积极为签约居民提供预防接种、儿童、孕产妇、老年人健康管理等基本公共卫生服务。基层医疗卫生机构对持有《母子健康手册》的孕产妇及儿童，在充分告知的基础上，视同与其签订家庭医生服务协议。加强高血压、2型糖尿病等慢性病患者医防融合指导服务。强化基层医疗卫生机构信息化建设，</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稳妥推进居民电子健康档案向个人开放。家庭医生可根据签约居民的健康状况和服务需求，提供优质健康教育服务和健康管理服务，提升签约居民的获得感和满意度。</w:t>
      </w:r>
    </w:p>
    <w:p>
      <w:pPr>
        <w:keepNext w:val="0"/>
        <w:keepLines w:val="0"/>
        <w:pageBreakBefore w:val="0"/>
        <w:widowControl/>
        <w:suppressLineNumbers w:val="0"/>
        <w:kinsoku/>
        <w:wordWrap/>
        <w:topLinePunct w:val="0"/>
        <w:bidi w:val="0"/>
        <w:spacing w:line="580" w:lineRule="exact"/>
        <w:ind w:firstLine="640" w:firstLineChars="200"/>
        <w:jc w:val="left"/>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（三）保障基层合理用药。</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落实国家基本药物制度，持续巩固基层医疗卫生机构基本药物制度覆盖面，进一步提升基本药物配备使用比例，确保基本药物主导地位。进一步完善基层医疗卫生机构药品供应保障体系，加强短缺药品信息监测和药品调剂处理，全力保障基层医疗卫生机构的基本用药。在县域医共体或城市医疗集团内，加强基层医疗卫生机构与二级以上医院用药目录衔接统一，进一步满足签约居民基本用药需求。按照国家卫生健康委办公厅 国家医保局办公室《关于印发长期处方管理规范（试行）的通知》（国卫办医发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17号</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）和《自治区卫生健康委关于加强慢性病长期处方管理的通知》（桂卫医发</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2020</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31号）文件要求，为符合条件的签约慢性病患者优先提供4—12周的长期处方服务。到2025年，全部乡镇卫生院和社区卫生服务中心应提供长期处方服务。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color w:val="000000" w:themeColor="text1"/>
          <w:sz w:val="32"/>
          <w:szCs w:val="32"/>
          <w:u w:val="none"/>
          <w:lang w:val="en-US" w:eastAsia="zh-CN"/>
          <w14:textFill>
            <w14:solidFill>
              <w14:schemeClr w14:val="tx1"/>
            </w14:solidFill>
          </w14:textFill>
        </w:rPr>
        <w:t>（四）积极开展上门服务。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积极贯彻落实国家卫生健康委员会办公厅 国家中医药管理局办公室《关于加强老年人居家医疗服务工作的通知》（国卫办医发〔2020〕24号）精神，在充分评估前提下，为行动不便、失智失能的老年人、重度残疾人等确有需求的签约对象，提供上门诊疗、药学服务、医疗护理、康复治疗、随访管理、安宁疗护、健康指导及家庭病床等服务，提升老年人、残疾人对家庭医生签约和精准康复服务的获得感和满意度。将家庭病床作为一项依申请项目登记在《医疗机构执业许可证》副本的备注栏。在开展上门服务过程中，要加强人员安全和医疗质量监管，确保人员和医疗安全。家庭医生（团队）为居民提供上门诊疗、家庭病床等居家医疗服务的，可按医保规定报销相关医疗费用，并按成本收取上门服务费。</w:t>
      </w:r>
    </w:p>
    <w:p>
      <w:pPr>
        <w:pStyle w:val="2"/>
        <w:keepNext w:val="0"/>
        <w:keepLines w:val="0"/>
        <w:pageBreakBefore w:val="0"/>
        <w:kinsoku/>
        <w:wordWrap/>
        <w:topLinePunct w:val="0"/>
        <w:bidi w:val="0"/>
        <w:spacing w:line="580" w:lineRule="exact"/>
        <w:textAlignment w:val="auto"/>
        <w:outlineLvl w:val="9"/>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（五）优化转诊服务。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组建县域医共体、城市医疗集团、专科联盟、远程医疗协作网等医联体的县（市、区），要加大统筹区域优质卫生资源的力度，将县域医共体或城市医疗集团牵头医院10%—30%的专家号源、预约检查等医疗资源交由家庭医生管理支配。给予家庭医生预留部分床位，对经家庭医生转诊的患者，建立绿色通道，优先就诊、检查、住院。</w:t>
      </w:r>
    </w:p>
    <w:p>
      <w:pPr>
        <w:pStyle w:val="2"/>
        <w:keepNext w:val="0"/>
        <w:keepLines w:val="0"/>
        <w:pageBreakBefore w:val="0"/>
        <w:kinsoku/>
        <w:wordWrap/>
        <w:topLinePunct w:val="0"/>
        <w:bidi w:val="0"/>
        <w:spacing w:line="580" w:lineRule="exact"/>
        <w:textAlignment w:val="auto"/>
        <w:outlineLvl w:val="9"/>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（六）全面加强中医药服务。</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坚持中西医并重，加强基层医疗卫生机构中医科和中医馆建设，改善中医药服务场地条件和设施水平。同时强化基层医疗卫生人员中医（含壮瑶医等，下同）适宜技术培训和推广，提高基层中医药服务水平。推进全面将中医药服务纳入签约服务内容，加强签约团队中医药人员配置，支持其掌握和使用针刺、推拿、拔罐、艾灸等中医药技术方法，提供中医治未病服务。</w:t>
      </w:r>
    </w:p>
    <w:p>
      <w:pPr>
        <w:pStyle w:val="2"/>
        <w:keepNext w:val="0"/>
        <w:keepLines w:val="0"/>
        <w:pageBreakBefore w:val="0"/>
        <w:kinsoku/>
        <w:wordWrap/>
        <w:topLinePunct w:val="0"/>
        <w:bidi w:val="0"/>
        <w:spacing w:line="580" w:lineRule="exact"/>
        <w:textAlignment w:val="auto"/>
        <w:outlineLvl w:val="9"/>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（七）引导有序就医秩序。</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推进基层医疗卫生机构预约就诊和智能分诊，签约居民到基层医疗卫生机构就诊时，优先由家庭医生接诊。家庭医生应通过其健康档案及日常诊疗服务，全周期全方位掌握签约居民及其家庭成员健康状况，加强与签约家庭居民的联系与沟通，科学引导签约居民逐步形成到基层医疗卫生机构首诊的就医选择。对签约居民可积极推广采用信用支付、诊间结算等方式，整合挂号、检查、检验、诊疗、取药等付费环节，实行一站式结算，减少排队等候次数和时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outlineLvl w:val="9"/>
        <w:rPr>
          <w:rFonts w:hint="eastAsia" w:ascii="黑体" w:hAnsi="黑体" w:eastAsia="黑体" w:cs="黑体"/>
          <w:color w:val="000000" w:themeColor="text1"/>
          <w:sz w:val="32"/>
          <w:szCs w:val="32"/>
          <w:u w:val="none"/>
          <w:lang w:eastAsia="zh-CN"/>
          <w14:textFill>
            <w14:solidFill>
              <w14:schemeClr w14:val="tx1"/>
            </w14:solidFill>
          </w14:textFill>
        </w:rPr>
      </w:pPr>
      <w:r>
        <w:rPr>
          <w:rFonts w:hint="eastAsia" w:ascii="黑体" w:hAnsi="黑体" w:eastAsia="黑体" w:cs="黑体"/>
          <w:color w:val="000000" w:themeColor="text1"/>
          <w:sz w:val="32"/>
          <w:szCs w:val="32"/>
          <w:u w:val="none"/>
          <w:lang w:eastAsia="zh-CN"/>
          <w14:textFill>
            <w14:solidFill>
              <w14:schemeClr w14:val="tx1"/>
            </w14:solidFill>
          </w14:textFill>
        </w:rPr>
        <w:t>　　四、优化服务方式</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（一）推广弹性化服务协议。</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家庭医生签约服务协议应明确签约双方的权利、责任、义务及其他有关事项，列出详细服务清单。服务协议有效期可为1-3年，根据居民需求和基层医疗卫生机构工作实际，服务关系稳定的家庭医生可和签约居民（含脱贫人口、监测对象、农村特困人员）签订2年、3年有效期的服务协议。对服务协议期内的高血压、2型糖尿病、严重精神障碍患者以及治疗期内肺结核患者开展规范化健康管理服务。支持家庭医生与居民以家庭为单元签订服务协议，同时细化各家庭成员的签约服务内容。鼓励各地探索以党政机关、企事业单位、产业园区、商务楼宇等功能社区为签约单位，签订服务协议。鼓励家庭医生（团队）对上班族推出肩颈按摩等特色签约服务。</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bCs/>
          <w:color w:val="000000" w:themeColor="text1"/>
          <w:sz w:val="32"/>
          <w:szCs w:val="32"/>
          <w:u w:val="none"/>
          <w:lang w:val="e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（二）</w:t>
      </w:r>
      <w:r>
        <w:rPr>
          <w:rFonts w:hint="eastAsia" w:ascii="楷体_GB2312" w:hAnsi="楷体_GB2312" w:eastAsia="楷体_GB2312" w:cs="楷体_GB2312"/>
          <w:color w:val="000000" w:themeColor="text1"/>
          <w:kern w:val="2"/>
          <w:sz w:val="32"/>
          <w:szCs w:val="32"/>
          <w:u w:val="none"/>
          <w:lang w:val="en" w:eastAsia="zh-CN" w:bidi="ar-SA"/>
          <w14:textFill>
            <w14:solidFill>
              <w14:schemeClr w14:val="tx1"/>
            </w14:solidFill>
          </w14:textFill>
        </w:rPr>
        <w:t>推进差异化签约服务模式。</w:t>
      </w:r>
      <w:r>
        <w:rPr>
          <w:rFonts w:hint="eastAsia" w:ascii="仿宋_GB2312" w:hAnsi="仿宋_GB2312" w:eastAsia="仿宋_GB2312" w:cs="仿宋_GB2312"/>
          <w:bCs/>
          <w:color w:val="000000" w:themeColor="text1"/>
          <w:sz w:val="32"/>
          <w:szCs w:val="32"/>
          <w:u w:val="none"/>
          <w14:textFill>
            <w14:solidFill>
              <w14:schemeClr w14:val="tx1"/>
            </w14:solidFill>
          </w14:textFill>
        </w:rPr>
        <w:t>家庭医生签约服务包分为基础服务包、个性化服务包</w:t>
      </w:r>
      <w:r>
        <w:rPr>
          <w:rFonts w:hint="eastAsia" w:ascii="仿宋_GB2312" w:hAnsi="仿宋_GB2312" w:eastAsia="仿宋_GB2312" w:cs="仿宋_GB2312"/>
          <w:bCs/>
          <w:color w:val="000000" w:themeColor="text1"/>
          <w:spacing w:val="4"/>
          <w:sz w:val="32"/>
          <w:szCs w:val="32"/>
          <w:u w:val="none"/>
          <w14:textFill>
            <w14:solidFill>
              <w14:schemeClr w14:val="tx1"/>
            </w14:solidFill>
          </w14:textFill>
        </w:rPr>
        <w:t>两类。基础服务包</w:t>
      </w:r>
      <w:r>
        <w:rPr>
          <w:rFonts w:hint="eastAsia" w:ascii="仿宋_GB2312" w:hAnsi="仿宋_GB2312" w:eastAsia="仿宋_GB2312" w:cs="仿宋_GB2312"/>
          <w:bCs/>
          <w:color w:val="000000" w:themeColor="text1"/>
          <w:spacing w:val="4"/>
          <w:sz w:val="32"/>
          <w:szCs w:val="32"/>
          <w:u w:val="none"/>
          <w:lang w:eastAsia="zh-CN"/>
          <w14:textFill>
            <w14:solidFill>
              <w14:schemeClr w14:val="tx1"/>
            </w14:solidFill>
          </w14:textFill>
        </w:rPr>
        <w:t>内涵</w:t>
      </w:r>
      <w:r>
        <w:rPr>
          <w:rFonts w:hint="eastAsia" w:ascii="仿宋_GB2312" w:hAnsi="仿宋_GB2312" w:eastAsia="仿宋_GB2312" w:cs="仿宋_GB2312"/>
          <w:bCs/>
          <w:color w:val="000000" w:themeColor="text1"/>
          <w:spacing w:val="4"/>
          <w:sz w:val="32"/>
          <w:szCs w:val="32"/>
          <w:u w:val="none"/>
          <w14:textFill>
            <w14:solidFill>
              <w14:schemeClr w14:val="tx1"/>
            </w14:solidFill>
          </w14:textFill>
        </w:rPr>
        <w:t>主要包括基本公共卫生服务和基本医疗</w:t>
      </w:r>
      <w:r>
        <w:rPr>
          <w:rFonts w:hint="eastAsia" w:ascii="仿宋_GB2312" w:hAnsi="仿宋_GB2312" w:eastAsia="仿宋_GB2312" w:cs="仿宋_GB2312"/>
          <w:bCs/>
          <w:color w:val="000000" w:themeColor="text1"/>
          <w:spacing w:val="4"/>
          <w:sz w:val="32"/>
          <w:szCs w:val="32"/>
          <w:u w:val="none"/>
          <w:lang w:val="en"/>
          <w14:textFill>
            <w14:solidFill>
              <w14:schemeClr w14:val="tx1"/>
            </w14:solidFill>
          </w14:textFill>
        </w:rPr>
        <w:t>服务(</w:t>
      </w:r>
      <w:r>
        <w:rPr>
          <w:rFonts w:hint="eastAsia" w:ascii="仿宋_GB2312" w:hAnsi="仿宋_GB2312" w:eastAsia="仿宋_GB2312" w:cs="仿宋_GB2312"/>
          <w:bCs/>
          <w:color w:val="000000" w:themeColor="text1"/>
          <w:spacing w:val="4"/>
          <w:sz w:val="32"/>
          <w:szCs w:val="32"/>
          <w:u w:val="none"/>
          <w:lang w:val="en" w:eastAsia="zh-CN"/>
          <w14:textFill>
            <w14:solidFill>
              <w14:schemeClr w14:val="tx1"/>
            </w14:solidFill>
          </w14:textFill>
        </w:rPr>
        <w:t>含中医药服务）</w:t>
      </w:r>
      <w:r>
        <w:rPr>
          <w:rFonts w:hint="eastAsia" w:ascii="仿宋_GB2312" w:hAnsi="仿宋_GB2312" w:eastAsia="仿宋_GB2312" w:cs="仿宋_GB2312"/>
          <w:bCs/>
          <w:color w:val="000000" w:themeColor="text1"/>
          <w:spacing w:val="4"/>
          <w:sz w:val="32"/>
          <w:szCs w:val="32"/>
          <w:u w:val="none"/>
          <w:lang w:val="en"/>
          <w14:textFill>
            <w14:solidFill>
              <w14:schemeClr w14:val="tx1"/>
            </w14:solidFill>
          </w14:textFill>
        </w:rPr>
        <w:t>；</w:t>
      </w:r>
      <w:r>
        <w:rPr>
          <w:rFonts w:hint="eastAsia" w:ascii="仿宋_GB2312" w:hAnsi="仿宋_GB2312" w:eastAsia="仿宋_GB2312" w:cs="仿宋_GB2312"/>
          <w:bCs/>
          <w:color w:val="000000" w:themeColor="text1"/>
          <w:sz w:val="32"/>
          <w:szCs w:val="32"/>
          <w:u w:val="none"/>
          <w14:textFill>
            <w14:solidFill>
              <w14:schemeClr w14:val="tx1"/>
            </w14:solidFill>
          </w14:textFill>
        </w:rPr>
        <w:t>个性化服务包是在基础服务包的基础上，向签约居民提供个性化健康管理等服务</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u w:val="none"/>
          <w:lang w:val="en" w:eastAsia="zh-CN"/>
          <w14:textFill>
            <w14:solidFill>
              <w14:schemeClr w14:val="tx1"/>
            </w14:solidFill>
          </w14:textFill>
        </w:rPr>
        <w:t>在城市地区，可向城市居民推进</w:t>
      </w:r>
      <w:r>
        <w:rPr>
          <w:rFonts w:hint="eastAsia" w:ascii="仿宋_GB2312" w:hAnsi="仿宋_GB2312" w:eastAsia="仿宋_GB2312" w:cs="仿宋_GB2312"/>
          <w:bCs/>
          <w:color w:val="000000" w:themeColor="text1"/>
          <w:sz w:val="32"/>
          <w:szCs w:val="32"/>
          <w:u w:val="none"/>
          <w14:textFill>
            <w14:solidFill>
              <w14:schemeClr w14:val="tx1"/>
            </w14:solidFill>
          </w14:textFill>
        </w:rPr>
        <w:t>个性化服务包</w:t>
      </w:r>
      <w:r>
        <w:rPr>
          <w:rFonts w:hint="eastAsia" w:ascii="仿宋_GB2312" w:hAnsi="仿宋_GB2312" w:eastAsia="仿宋_GB2312" w:cs="仿宋_GB2312"/>
          <w:bCs/>
          <w:color w:val="000000" w:themeColor="text1"/>
          <w:sz w:val="32"/>
          <w:szCs w:val="32"/>
          <w:u w:val="none"/>
          <w:lang w:val="en"/>
          <w14:textFill>
            <w14:solidFill>
              <w14:schemeClr w14:val="tx1"/>
            </w14:solidFill>
          </w14:textFill>
        </w:rPr>
        <w:t>为主，</w:t>
      </w:r>
      <w:r>
        <w:rPr>
          <w:rFonts w:hint="eastAsia" w:ascii="仿宋_GB2312" w:hAnsi="仿宋_GB2312" w:eastAsia="仿宋_GB2312" w:cs="仿宋_GB2312"/>
          <w:bCs/>
          <w:color w:val="000000" w:themeColor="text1"/>
          <w:sz w:val="32"/>
          <w:szCs w:val="32"/>
          <w:u w:val="none"/>
          <w14:textFill>
            <w14:solidFill>
              <w14:schemeClr w14:val="tx1"/>
            </w14:solidFill>
          </w14:textFill>
        </w:rPr>
        <w:t>基础服务包</w:t>
      </w:r>
      <w:r>
        <w:rPr>
          <w:rFonts w:hint="eastAsia" w:ascii="仿宋_GB2312" w:hAnsi="仿宋_GB2312" w:eastAsia="仿宋_GB2312" w:cs="仿宋_GB2312"/>
          <w:bCs/>
          <w:color w:val="000000" w:themeColor="text1"/>
          <w:sz w:val="32"/>
          <w:szCs w:val="32"/>
          <w:u w:val="none"/>
          <w:lang w:val="en"/>
          <w14:textFill>
            <w14:solidFill>
              <w14:schemeClr w14:val="tx1"/>
            </w14:solidFill>
          </w14:textFill>
        </w:rPr>
        <w:t>为辅的签约服务模式</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u w:val="none"/>
          <w:lang w:val="en"/>
          <w14:textFill>
            <w14:solidFill>
              <w14:schemeClr w14:val="tx1"/>
            </w14:solidFill>
          </w14:textFill>
        </w:rPr>
        <w:t>在农村地区，可向农村居民推进</w:t>
      </w:r>
      <w:r>
        <w:rPr>
          <w:rFonts w:hint="eastAsia" w:ascii="仿宋_GB2312" w:hAnsi="仿宋_GB2312" w:eastAsia="仿宋_GB2312" w:cs="仿宋_GB2312"/>
          <w:bCs/>
          <w:color w:val="000000" w:themeColor="text1"/>
          <w:sz w:val="32"/>
          <w:szCs w:val="32"/>
          <w:u w:val="none"/>
          <w14:textFill>
            <w14:solidFill>
              <w14:schemeClr w14:val="tx1"/>
            </w14:solidFill>
          </w14:textFill>
        </w:rPr>
        <w:t>基础服务包</w:t>
      </w:r>
      <w:r>
        <w:rPr>
          <w:rFonts w:hint="eastAsia" w:ascii="仿宋_GB2312" w:hAnsi="仿宋_GB2312" w:eastAsia="仿宋_GB2312" w:cs="仿宋_GB2312"/>
          <w:bCs/>
          <w:color w:val="000000" w:themeColor="text1"/>
          <w:sz w:val="32"/>
          <w:szCs w:val="32"/>
          <w:u w:val="none"/>
          <w:lang w:val="en"/>
          <w14:textFill>
            <w14:solidFill>
              <w14:schemeClr w14:val="tx1"/>
            </w14:solidFill>
          </w14:textFill>
        </w:rPr>
        <w:t>为主，</w:t>
      </w:r>
      <w:r>
        <w:rPr>
          <w:rFonts w:hint="eastAsia" w:ascii="仿宋_GB2312" w:hAnsi="仿宋_GB2312" w:eastAsia="仿宋_GB2312" w:cs="仿宋_GB2312"/>
          <w:bCs/>
          <w:color w:val="000000" w:themeColor="text1"/>
          <w:sz w:val="32"/>
          <w:szCs w:val="32"/>
          <w:u w:val="none"/>
          <w14:textFill>
            <w14:solidFill>
              <w14:schemeClr w14:val="tx1"/>
            </w14:solidFill>
          </w14:textFill>
        </w:rPr>
        <w:t>个性化服务包</w:t>
      </w:r>
      <w:r>
        <w:rPr>
          <w:rFonts w:hint="eastAsia" w:ascii="仿宋_GB2312" w:hAnsi="仿宋_GB2312" w:eastAsia="仿宋_GB2312" w:cs="仿宋_GB2312"/>
          <w:bCs/>
          <w:color w:val="000000" w:themeColor="text1"/>
          <w:sz w:val="32"/>
          <w:szCs w:val="32"/>
          <w:u w:val="none"/>
          <w:lang w:val="en"/>
          <w14:textFill>
            <w14:solidFill>
              <w14:schemeClr w14:val="tx1"/>
            </w14:solidFill>
          </w14:textFill>
        </w:rPr>
        <w:t>为辅的签约服务模式。</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 w:eastAsia="zh-CN" w:bidi="ar-SA"/>
          <w14:textFill>
            <w14:solidFill>
              <w14:schemeClr w14:val="tx1"/>
            </w14:solidFill>
          </w14:textFill>
        </w:rPr>
        <w:t>（三）</w:t>
      </w: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加强全专结合医防融合。</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乡镇卫生院和社区卫生服务中心要加强全科医生的培养，积极推进基层医疗卫生机构在职临床执业（助理）医生参加全科医生转岗培训，加强培训合格后注册管理工作，逐年提高基层医疗卫生机构的全科医生占比，夯实全专结合的基础。乡镇卫生院和社区卫生服务中心可根据机构内全科医生和专科医生数，通过让本机构专科医生直接参与签约服务、上级医院专科医生提供技术指导或家庭全科医生经绿色通道优先转诊专科医生等形式，为签约居民提供“一站式”全专结合服务，加强全科和专科医生的协作，促进基层医防融合，增强签约服务的连续性、协同性和综合性。</w:t>
      </w:r>
    </w:p>
    <w:p>
      <w:pPr>
        <w:pStyle w:val="5"/>
        <w:keepNext w:val="0"/>
        <w:keepLines w:val="0"/>
        <w:pageBreakBefore w:val="0"/>
        <w:kinsoku/>
        <w:wordWrap/>
        <w:topLinePunct w:val="0"/>
        <w:bidi w:val="0"/>
        <w:spacing w:line="580" w:lineRule="exact"/>
        <w:textAlignment w:val="auto"/>
        <w:outlineLvl w:val="9"/>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　　（</w:t>
      </w:r>
      <w:r>
        <w:rPr>
          <w:rFonts w:hint="eastAsia" w:ascii="楷体_GB2312" w:hAnsi="楷体_GB2312" w:eastAsia="楷体_GB2312" w:cs="楷体_GB2312"/>
          <w:color w:val="000000" w:themeColor="text1"/>
          <w:kern w:val="2"/>
          <w:sz w:val="32"/>
          <w:szCs w:val="32"/>
          <w:u w:val="none"/>
          <w:lang w:val="en" w:eastAsia="zh-CN" w:bidi="ar-SA"/>
          <w14:textFill>
            <w14:solidFill>
              <w14:schemeClr w14:val="tx1"/>
            </w14:solidFill>
          </w14:textFill>
        </w:rPr>
        <w:t>四</w:t>
      </w: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）开展组合式签约。</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各</w:t>
      </w:r>
      <w:r>
        <w:rPr>
          <w:rFonts w:hint="eastAsia" w:ascii="仿宋_GB2312" w:hAnsi="仿宋_GB2312" w:eastAsia="仿宋_GB2312" w:cs="仿宋_GB2312"/>
          <w:color w:val="000000" w:themeColor="text1"/>
          <w:kern w:val="0"/>
          <w:sz w:val="32"/>
          <w:szCs w:val="32"/>
          <w:highlight w:val="none"/>
          <w:u w:val="none"/>
          <w:lang w:val="en-US" w:eastAsia="zh-CN" w:bidi="ar-SA"/>
          <w14:textFill>
            <w14:solidFill>
              <w14:schemeClr w14:val="tx1"/>
            </w14:solidFill>
          </w14:textFill>
        </w:rPr>
        <w:t>县（市、区）可按照县域医共体、城市医疗集团建设的网格化布局，也可通过专科联盟、远程医疗协作网等形式，引导二级、三级医院（或妇幼保健院）采用“包干分片”方式，通过对口支援、科室共建、人才下沉、多点执业等多种途径，促进优质医疗资源下沉，与辖区基层医疗卫生机构一起壮大签约服务力量，提升基层家庭医生（团队）服务供给能力，共同做好家庭医生签约服务。在紧密型县域医共体建设地区探索开展“县-乡-村”三级家庭医生团队进行签约服务，为居民提供高质量签约服务。</w:t>
      </w:r>
    </w:p>
    <w:p>
      <w:pPr>
        <w:keepNext w:val="0"/>
        <w:keepLines w:val="0"/>
        <w:pageBreakBefore w:val="0"/>
        <w:kinsoku/>
        <w:wordWrap/>
        <w:topLinePunct w:val="0"/>
        <w:bidi w:val="0"/>
        <w:spacing w:line="580" w:lineRule="exact"/>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　　（</w:t>
      </w:r>
      <w:r>
        <w:rPr>
          <w:rFonts w:hint="eastAsia" w:ascii="楷体_GB2312" w:hAnsi="楷体_GB2312" w:eastAsia="楷体_GB2312" w:cs="楷体_GB2312"/>
          <w:color w:val="000000" w:themeColor="text1"/>
          <w:kern w:val="2"/>
          <w:sz w:val="32"/>
          <w:szCs w:val="32"/>
          <w:u w:val="none"/>
          <w:lang w:val="en" w:eastAsia="zh-CN" w:bidi="ar-SA"/>
          <w14:textFill>
            <w14:solidFill>
              <w14:schemeClr w14:val="tx1"/>
            </w14:solidFill>
          </w14:textFill>
        </w:rPr>
        <w:t>五</w:t>
      </w: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）推进“互联网+签约服务”。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在自治区全民健康信息平台或广西健康信息惠民平台上，搭建或完善家庭医生签约服务APP和管理信息系统，实现线上为居民提供签订协议、健康咨询、慢病随访、双向转诊等服务。信息系统记录的服务行为，作为考核评价家庭医生服务履约的重要指标。加强区域健康信息互通共享，打通家庭医生签约服务和管理信息系统同医疗机构诊疗系统、基本公共卫生系统等数据通道，积极推广应用人工智能等新技术。</w:t>
      </w:r>
    </w:p>
    <w:p>
      <w:pPr>
        <w:pStyle w:val="4"/>
        <w:keepNext w:val="0"/>
        <w:keepLines w:val="0"/>
        <w:pageBreakBefore w:val="0"/>
        <w:kinsoku/>
        <w:wordWrap/>
        <w:topLinePunct w:val="0"/>
        <w:bidi w:val="0"/>
        <w:spacing w:before="0" w:after="0" w:line="580" w:lineRule="exact"/>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　　</w:t>
      </w: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w:t>
      </w:r>
      <w:r>
        <w:rPr>
          <w:rFonts w:hint="eastAsia" w:ascii="楷体_GB2312" w:hAnsi="楷体_GB2312" w:eastAsia="楷体_GB2312" w:cs="楷体_GB2312"/>
          <w:color w:val="000000" w:themeColor="text1"/>
          <w:kern w:val="2"/>
          <w:sz w:val="32"/>
          <w:szCs w:val="32"/>
          <w:u w:val="none"/>
          <w:lang w:val="en" w:eastAsia="zh-CN" w:bidi="ar-SA"/>
          <w14:textFill>
            <w14:solidFill>
              <w14:schemeClr w14:val="tx1"/>
            </w14:solidFill>
          </w14:textFill>
        </w:rPr>
        <w:t>六</w:t>
      </w: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）提供健康咨询服务。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结合签约居民基本健康情况，通过面对面、电话、微信、QQ、家庭医生签约服务和管理信息系统等多种形式，为签约居民提供针对性健康咨询服务，包括健康评估、健康指导、健康宣教、疾病预防、就诊指导、心理疏导等，密切签约双方关系，增加互信互动，发展长期稳定的服务关系。</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w:t>
      </w:r>
      <w:r>
        <w:rPr>
          <w:rFonts w:hint="eastAsia" w:ascii="楷体_GB2312" w:hAnsi="楷体_GB2312" w:eastAsia="楷体_GB2312" w:cs="楷体_GB2312"/>
          <w:color w:val="000000" w:themeColor="text1"/>
          <w:kern w:val="2"/>
          <w:sz w:val="32"/>
          <w:szCs w:val="32"/>
          <w:u w:val="none"/>
          <w:lang w:val="en" w:eastAsia="zh-CN" w:bidi="ar-SA"/>
          <w14:textFill>
            <w14:solidFill>
              <w14:schemeClr w14:val="tx1"/>
            </w14:solidFill>
          </w14:textFill>
        </w:rPr>
        <w:t>七</w:t>
      </w: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）突出重点人群。</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要将老年人、孕产妇、儿童、残疾人、脱贫人口、计划生育特殊家庭成员以及高血压、糖尿病、结核病、严重精神障碍患者等作为签约服务重点人群，优先签约、优先服务。各县（市、区）要确保脱贫人口、监测对象（脱贫不稳定户、边缘易致贫户、突发严重困难户）、农村特困人员“应签尽签”，结合实际，逐步扩大至其余农村低收入人口，并重点做好主要慢性病（高血压、2型糖尿病、结核病、严重精神障碍）患者的规范管理和健康服务，按规范开展随访服务和记录签约服务手册，切实提高群众认可度和满意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color w:val="000000" w:themeColor="text1"/>
          <w:sz w:val="32"/>
          <w:szCs w:val="32"/>
          <w:u w:val="none"/>
          <w:lang w:val="en-US" w:eastAsia="zh-CN"/>
          <w14:textFill>
            <w14:solidFill>
              <w14:schemeClr w14:val="tx1"/>
            </w14:solidFill>
          </w14:textFill>
        </w:rPr>
        <w:t>五、完善保障机制</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（一）提高认识，共同推进。</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家庭医生签约服务是深化医药卫生体制改革，推进分级诊疗制度的重要内容，是巩固脱贫成果与乡村振兴有效衔接的重要载体，是推进“健康广西”建设，实现人人享有基本医疗卫生服务的重要途径。各地要提高对家庭医生签约服务的认识，由卫生健康部门牵头，联合财政、人力资源和社会保障、医保、残联等部门印发具体实施方案，加强部门沟通协调，共同推进家庭医生签约服务工作。同时将家庭医生签约服务指标纳入年度医药卫生体制改革考核指标和基层卫生健康发展主要评价指标，呈报政府分管领导，逐步形成政府主导、部门协作、基层医疗卫生机构为平台、多种社会资源参与的工作机制，确保各项任务落实到位，签约服务覆盖面持续扩大，签约服务质量和满意度持续提升。</w:t>
      </w:r>
    </w:p>
    <w:p>
      <w:pPr>
        <w:keepNext w:val="0"/>
        <w:keepLines w:val="0"/>
        <w:pageBreakBefore w:val="0"/>
        <w:kinsoku/>
        <w:wordWrap/>
        <w:topLinePunct w:val="0"/>
        <w:bidi w:val="0"/>
        <w:spacing w:line="580" w:lineRule="exact"/>
        <w:ind w:firstLine="640"/>
        <w:textAlignment w:val="auto"/>
        <w:outlineLvl w:val="9"/>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（二）健全机制，激发活力。</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签约服务费是家庭医生（团队）与居民建立契约服务关系、履行相应健康服务责任，打包提供医疗服务、健康服务以及其他必要便民服务的费用。签约服务费由医保基金、基本公共卫生服务经费和签约居民付费等分担，</w:t>
      </w:r>
      <w:r>
        <w:rPr>
          <w:rFonts w:hint="eastAsia" w:ascii="仿宋_GB2312" w:hAnsi="仿宋_GB2312" w:eastAsia="仿宋_GB2312" w:cs="仿宋_GB2312"/>
          <w:bCs/>
          <w:color w:val="000000" w:themeColor="text1"/>
          <w:sz w:val="32"/>
          <w:szCs w:val="32"/>
          <w:u w:val="none"/>
          <w14:textFill>
            <w14:solidFill>
              <w14:schemeClr w14:val="tx1"/>
            </w14:solidFill>
          </w14:textFill>
        </w:rPr>
        <w:t>有条件的地区当地财政可予以适当补助。</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家庭医生签约服务的</w:t>
      </w:r>
      <w:r>
        <w:rPr>
          <w:rFonts w:hint="eastAsia" w:ascii="仿宋_GB2312" w:hAnsi="仿宋_GB2312" w:eastAsia="仿宋_GB2312" w:cs="仿宋_GB2312"/>
          <w:bCs/>
          <w:color w:val="000000" w:themeColor="text1"/>
          <w:sz w:val="32"/>
          <w:szCs w:val="32"/>
          <w:u w:val="none"/>
          <w14:textFill>
            <w14:solidFill>
              <w14:schemeClr w14:val="tx1"/>
            </w14:solidFill>
          </w14:textFill>
        </w:rPr>
        <w:t>基础服务包收费标准暂定为</w:t>
      </w:r>
      <w:r>
        <w:rPr>
          <w:rFonts w:hint="eastAsia" w:ascii="仿宋_GB2312" w:hAnsi="仿宋_GB2312" w:eastAsia="仿宋_GB2312" w:cs="仿宋_GB2312"/>
          <w:bCs/>
          <w:color w:val="000000" w:themeColor="text1"/>
          <w:sz w:val="32"/>
          <w:szCs w:val="32"/>
          <w:u w:val="none"/>
          <w:lang w:val="en" w:eastAsia="zh-CN"/>
          <w14:textFill>
            <w14:solidFill>
              <w14:schemeClr w14:val="tx1"/>
            </w14:solidFill>
          </w14:textFill>
        </w:rPr>
        <w:t>2</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u w:val="none"/>
          <w14:textFill>
            <w14:solidFill>
              <w14:schemeClr w14:val="tx1"/>
            </w14:solidFill>
          </w14:textFill>
        </w:rPr>
        <w:t>元/人/年，由基本公共卫生服务经费支付</w:t>
      </w:r>
      <w:r>
        <w:rPr>
          <w:rFonts w:hint="eastAsia" w:ascii="仿宋_GB2312" w:hAnsi="仿宋_GB2312" w:eastAsia="仿宋_GB2312" w:cs="仿宋_GB2312"/>
          <w:bCs/>
          <w:color w:val="000000" w:themeColor="text1"/>
          <w:sz w:val="32"/>
          <w:szCs w:val="32"/>
          <w:u w:val="none"/>
          <w:lang w:val="en" w:eastAsia="zh-CN"/>
          <w14:textFill>
            <w14:solidFill>
              <w14:schemeClr w14:val="tx1"/>
            </w14:solidFill>
          </w14:textFill>
        </w:rPr>
        <w:t>15</w:t>
      </w:r>
      <w:r>
        <w:rPr>
          <w:rFonts w:hint="eastAsia" w:ascii="仿宋_GB2312" w:hAnsi="仿宋_GB2312" w:eastAsia="仿宋_GB2312" w:cs="仿宋_GB2312"/>
          <w:bCs/>
          <w:color w:val="000000" w:themeColor="text1"/>
          <w:sz w:val="32"/>
          <w:szCs w:val="32"/>
          <w:u w:val="none"/>
          <w14:textFill>
            <w14:solidFill>
              <w14:schemeClr w14:val="tx1"/>
            </w14:solidFill>
          </w14:textFill>
        </w:rPr>
        <w:t>元</w:t>
      </w:r>
      <w:r>
        <w:rPr>
          <w:rFonts w:hint="eastAsia" w:ascii="仿宋_GB2312" w:hAnsi="仿宋_GB2312" w:eastAsia="仿宋_GB2312" w:cs="仿宋_GB2312"/>
          <w:bCs/>
          <w:color w:val="000000" w:themeColor="text1"/>
          <w:sz w:val="32"/>
          <w:szCs w:val="32"/>
          <w:u w:val="none"/>
          <w:lang w:val="en"/>
          <w14:textFill>
            <w14:solidFill>
              <w14:schemeClr w14:val="tx1"/>
            </w14:solidFill>
          </w14:textFill>
        </w:rPr>
        <w:t>，</w:t>
      </w:r>
      <w:r>
        <w:rPr>
          <w:rFonts w:hint="eastAsia" w:ascii="仿宋_GB2312" w:hAnsi="仿宋_GB2312" w:eastAsia="仿宋_GB2312" w:cs="仿宋_GB2312"/>
          <w:bCs/>
          <w:color w:val="000000" w:themeColor="text1"/>
          <w:sz w:val="32"/>
          <w:szCs w:val="32"/>
          <w:u w:val="none"/>
          <w14:textFill>
            <w14:solidFill>
              <w14:schemeClr w14:val="tx1"/>
            </w14:solidFill>
          </w14:textFill>
        </w:rPr>
        <w:t>医保基金支付</w:t>
      </w:r>
      <w:r>
        <w:rPr>
          <w:rFonts w:hint="eastAsia" w:ascii="仿宋_GB2312" w:hAnsi="仿宋_GB2312" w:eastAsia="仿宋_GB2312" w:cs="仿宋_GB2312"/>
          <w:bCs/>
          <w:color w:val="000000" w:themeColor="text1"/>
          <w:sz w:val="32"/>
          <w:szCs w:val="32"/>
          <w:u w:val="none"/>
          <w:lang w:val="en" w:eastAsia="zh-CN"/>
          <w14:textFill>
            <w14:solidFill>
              <w14:schemeClr w14:val="tx1"/>
            </w14:solidFill>
          </w14:textFill>
        </w:rPr>
        <w:t>5</w:t>
      </w:r>
      <w:r>
        <w:rPr>
          <w:rFonts w:hint="eastAsia" w:ascii="仿宋_GB2312" w:hAnsi="仿宋_GB2312" w:eastAsia="仿宋_GB2312" w:cs="仿宋_GB2312"/>
          <w:bCs/>
          <w:color w:val="000000" w:themeColor="text1"/>
          <w:sz w:val="32"/>
          <w:szCs w:val="32"/>
          <w:u w:val="none"/>
          <w14:textFill>
            <w14:solidFill>
              <w14:schemeClr w14:val="tx1"/>
            </w14:solidFill>
          </w14:textFill>
        </w:rPr>
        <w:t>元</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（城乡居民基本医疗保险参保人员由门诊统筹基金支付，职工基本医疗保险参保人员由个人账户支付，未参保的由个人承担）</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u w:val="none"/>
          <w14:textFill>
            <w14:solidFill>
              <w14:schemeClr w14:val="tx1"/>
            </w14:solidFill>
          </w14:textFill>
        </w:rPr>
        <w:t>个性化服务包</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由卫生健康、人力资源和社会保障、医保、财政、残联等部门，根据签约服务包内容、医疗服务价格、上门服务成本等因素进行协商确定。</w:t>
      </w:r>
      <w:r>
        <w:rPr>
          <w:rFonts w:hint="eastAsia" w:ascii="仿宋_GB2312" w:hAnsi="仿宋_GB2312" w:eastAsia="仿宋_GB2312" w:cs="仿宋_GB2312"/>
          <w:bCs/>
          <w:color w:val="000000" w:themeColor="text1"/>
          <w:sz w:val="32"/>
          <w:szCs w:val="32"/>
          <w:u w:val="none"/>
          <w14:textFill>
            <w14:solidFill>
              <w14:schemeClr w14:val="tx1"/>
            </w14:solidFill>
          </w14:textFill>
        </w:rPr>
        <w:t>个性化服务包</w:t>
      </w:r>
      <w:r>
        <w:rPr>
          <w:rFonts w:hint="eastAsia" w:ascii="仿宋_GB2312" w:hAnsi="仿宋_GB2312" w:eastAsia="仿宋_GB2312" w:cs="仿宋_GB2312"/>
          <w:bCs/>
          <w:color w:val="000000" w:themeColor="text1"/>
          <w:sz w:val="32"/>
          <w:szCs w:val="32"/>
          <w:u w:val="none"/>
          <w:lang w:eastAsia="zh-CN"/>
          <w14:textFill>
            <w14:solidFill>
              <w14:schemeClr w14:val="tx1"/>
            </w14:solidFill>
          </w14:textFill>
        </w:rPr>
        <w:t>为有偿服务，由居民自愿付费购买签约</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。对</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有康复需求的残疾人，需由其个人支付的签约服务费，可从残疾人</w:t>
      </w:r>
      <w:r>
        <w:rPr>
          <w:rFonts w:hint="eastAsia" w:ascii="仿宋_GB2312" w:hAnsi="仿宋_GB2312" w:eastAsia="仿宋_GB2312" w:cs="仿宋_GB2312"/>
          <w:b w:val="0"/>
          <w:bCs/>
          <w:color w:val="000000" w:themeColor="text1"/>
          <w:sz w:val="32"/>
          <w:szCs w:val="32"/>
          <w:u w:val="none"/>
          <w14:textFill>
            <w14:solidFill>
              <w14:schemeClr w14:val="tx1"/>
            </w14:solidFill>
          </w14:textFill>
        </w:rPr>
        <w:t>基本康复服务补助资金支出</w:t>
      </w:r>
      <w:r>
        <w:rPr>
          <w:rFonts w:hint="eastAsia" w:ascii="仿宋_GB2312" w:hAnsi="仿宋_GB2312" w:eastAsia="仿宋_GB2312" w:cs="仿宋_GB2312"/>
          <w:b w:val="0"/>
          <w:bCs/>
          <w:color w:val="000000" w:themeColor="text1"/>
          <w:sz w:val="32"/>
          <w:szCs w:val="32"/>
          <w:u w:val="none"/>
          <w:lang w:eastAsia="zh-CN"/>
          <w14:textFill>
            <w14:solidFill>
              <w14:schemeClr w14:val="tx1"/>
            </w14:solidFill>
          </w14:textFill>
        </w:rPr>
        <w:t>，也可由各级残联通过政府购买服务方式支付。</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各地要将不低于70%的签约服务费用于参与家庭医生签约服务人员的薪酬分配，签约服务费在考核后拨付，纳入家庭医生签约服务人员单位的绩效工资总量管理，不受绩效工资总量限制，不计入下一年度绩效工资总量核定基数。各级医疗机构在内部绩效工资分配上，要向家庭医生签约服务人员倾斜。结余部分用于基层医疗卫生机构管理支出以及上级协作医院技术支持。</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（三）医保</w:t>
      </w:r>
      <w:r>
        <w:rPr>
          <w:rFonts w:hint="eastAsia" w:ascii="楷体_GB2312" w:hAnsi="楷体_GB2312" w:eastAsia="楷体_GB2312" w:cs="楷体_GB2312"/>
          <w:color w:val="000000" w:themeColor="text1"/>
          <w:kern w:val="2"/>
          <w:sz w:val="32"/>
          <w:szCs w:val="32"/>
          <w:u w:val="none"/>
          <w:lang w:val="en" w:eastAsia="zh-CN" w:bidi="ar-SA"/>
          <w14:textFill>
            <w14:solidFill>
              <w14:schemeClr w14:val="tx1"/>
            </w14:solidFill>
          </w14:textFill>
        </w:rPr>
        <w:t>支撑</w:t>
      </w: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，引导签约。</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在医疗服务价格动态调整中，优先考虑体现分级诊疗、技术劳务价值高的医疗服务项目，促进就近就医。积极推进基层医疗卫生机构门诊就医按人头付费，科学引导群众主动到基层就诊，促进签约居民更多利用基层医疗卫生资源。有条件的地区可探索将签约居民的门诊基金按人头支付给基层医疗卫生机构或家庭医生（团队），对经分级诊疗转诊的患者，由基层医疗卫生机构或家庭医生（团队）支付一定的转诊费用。</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医保部门应加强协议定点管理，完善结算办法，确保参保人获得高质量医疗服务，加强绩效考核，完善结余留用的激励政策。</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各县（市、区）卫生健康局、中医药局联合医保局等部门，定期开展</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家庭医生签约服务绩效考核。考核后，由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医保局根据考核结果及补助标准</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拨付基层医疗卫生机构。</w:t>
      </w:r>
    </w:p>
    <w:p>
      <w:pPr>
        <w:keepNext w:val="0"/>
        <w:keepLines w:val="0"/>
        <w:pageBreakBefore w:val="0"/>
        <w:widowControl/>
        <w:suppressLineNumbers w:val="0"/>
        <w:kinsoku/>
        <w:wordWrap/>
        <w:topLinePunct w:val="0"/>
        <w:bidi w:val="0"/>
        <w:spacing w:line="580" w:lineRule="exact"/>
        <w:ind w:firstLine="640" w:firstLineChars="200"/>
        <w:jc w:val="left"/>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（四）加大宣传，营造氛围。</w:t>
      </w:r>
      <w:r>
        <w:rPr>
          <w:rFonts w:hint="eastAsia" w:ascii="仿宋_GB2312" w:hAnsi="仿宋_GB2312" w:eastAsia="仿宋_GB2312" w:cs="仿宋_GB2312"/>
          <w:bCs/>
          <w:color w:val="000000" w:themeColor="text1"/>
          <w:sz w:val="32"/>
          <w:szCs w:val="32"/>
          <w:u w:val="none"/>
          <w:lang w:val="en-US" w:eastAsia="zh-CN"/>
          <w14:textFill>
            <w14:solidFill>
              <w14:schemeClr w14:val="tx1"/>
            </w14:solidFill>
          </w14:textFill>
        </w:rPr>
        <w:t>各地要结合世界家庭医生日、世界（全国）高血压日、世界糖尿病日、世界防治结核病日、世界精神卫生日等宣</w:t>
      </w:r>
      <w:r>
        <w:rPr>
          <w:rFonts w:hint="eastAsia" w:ascii="仿宋_GB2312" w:hAnsi="仿宋_GB2312" w:eastAsia="仿宋_GB2312" w:cs="仿宋_GB2312"/>
          <w:color w:val="000000" w:themeColor="text1"/>
          <w:sz w:val="32"/>
          <w:szCs w:val="32"/>
          <w:u w:val="none"/>
          <w14:textFill>
            <w14:solidFill>
              <w14:schemeClr w14:val="tx1"/>
            </w14:solidFill>
          </w14:textFill>
        </w:rPr>
        <w:t>传教育活动,</w:t>
      </w:r>
      <w:r>
        <w:rPr>
          <w:rFonts w:hint="eastAsia" w:ascii="仿宋_GB2312" w:hAnsi="仿宋_GB2312" w:eastAsia="仿宋_GB2312" w:cs="仿宋_GB2312"/>
          <w:color w:val="000000" w:themeColor="text1"/>
          <w:kern w:val="0"/>
          <w:sz w:val="32"/>
          <w:szCs w:val="32"/>
          <w:u w:val="none"/>
          <w14:textFill>
            <w14:solidFill>
              <w14:schemeClr w14:val="tx1"/>
            </w14:solidFill>
          </w14:textFill>
        </w:rPr>
        <w:t>利用电视、报刊、互联网、抖音、微信、短信等媒体，</w:t>
      </w:r>
      <w:r>
        <w:rPr>
          <w:rFonts w:hint="eastAsia" w:ascii="仿宋_GB2312" w:hAnsi="仿宋_GB2312" w:eastAsia="仿宋_GB2312" w:cs="仿宋_GB2312"/>
          <w:color w:val="000000" w:themeColor="text1"/>
          <w:sz w:val="32"/>
          <w:szCs w:val="32"/>
          <w:u w:val="none"/>
          <w14:textFill>
            <w14:solidFill>
              <w14:schemeClr w14:val="tx1"/>
            </w14:solidFill>
          </w14:textFill>
        </w:rPr>
        <w:t>多种形式开展家庭医生签约服务宣传，</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扩大签约服务群众</w:t>
      </w:r>
      <w:r>
        <w:rPr>
          <w:rFonts w:hint="eastAsia" w:ascii="仿宋_GB2312" w:hAnsi="仿宋_GB2312" w:eastAsia="仿宋_GB2312" w:cs="仿宋_GB2312"/>
          <w:color w:val="000000" w:themeColor="text1"/>
          <w:sz w:val="32"/>
          <w:szCs w:val="32"/>
          <w:u w:val="none"/>
          <w14:textFill>
            <w14:solidFill>
              <w14:schemeClr w14:val="tx1"/>
            </w14:solidFill>
          </w14:textFill>
        </w:rPr>
        <w:t>知晓率，</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引导更多居民参加和利用签约服务。</w:t>
      </w:r>
      <w:r>
        <w:rPr>
          <w:rFonts w:hint="eastAsia" w:ascii="仿宋_GB2312" w:hAnsi="仿宋_GB2312" w:eastAsia="仿宋_GB2312" w:cs="仿宋_GB2312"/>
          <w:color w:val="000000" w:themeColor="text1"/>
          <w:sz w:val="32"/>
          <w:szCs w:val="32"/>
          <w:u w:val="none"/>
          <w14:textFill>
            <w14:solidFill>
              <w14:schemeClr w14:val="tx1"/>
            </w14:solidFill>
          </w14:textFill>
        </w:rPr>
        <w:t>重点做好签约服务内涵宣传，合理引导签约预期</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。各地要善于发掘优质高效的家庭医生签约服务典型案例，以点带面，发挥正面示范引导作用，</w:t>
      </w:r>
      <w:r>
        <w:rPr>
          <w:rFonts w:hint="eastAsia" w:ascii="仿宋_GB2312" w:hAnsi="仿宋_GB2312" w:eastAsia="仿宋_GB2312" w:cs="仿宋_GB2312"/>
          <w:color w:val="000000" w:themeColor="text1"/>
          <w:sz w:val="32"/>
          <w:szCs w:val="32"/>
          <w:u w:val="none"/>
          <w14:textFill>
            <w14:solidFill>
              <w14:schemeClr w14:val="tx1"/>
            </w14:solidFill>
          </w14:textFill>
        </w:rPr>
        <w:t>为家庭医生签约服务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发展</w:t>
      </w:r>
      <w:r>
        <w:rPr>
          <w:rFonts w:hint="eastAsia" w:ascii="仿宋_GB2312" w:hAnsi="仿宋_GB2312" w:eastAsia="仿宋_GB2312" w:cs="仿宋_GB2312"/>
          <w:color w:val="000000" w:themeColor="text1"/>
          <w:sz w:val="32"/>
          <w:szCs w:val="32"/>
          <w:u w:val="none"/>
          <w14:textFill>
            <w14:solidFill>
              <w14:schemeClr w14:val="tx1"/>
            </w14:solidFill>
          </w14:textFill>
        </w:rPr>
        <w:t>营造良好社会氛围。</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（五）评优创先，树立形象。</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鼓励各地开展家庭医生（团队）评优创先活动，注重挖掘服务质量好、群众认可度高的家庭医生典型模范，树立家庭医生热心服务的正面形象，卫生健康和中医药系统内各类评优评先要向家庭医生适当倾斜，提高全社会对家庭医生的认可度和信任度。</w:t>
      </w:r>
    </w:p>
    <w:p>
      <w:pPr>
        <w:pStyle w:val="4"/>
        <w:keepNext w:val="0"/>
        <w:keepLines w:val="0"/>
        <w:pageBreakBefore w:val="0"/>
        <w:kinsoku/>
        <w:wordWrap/>
        <w:topLinePunct w:val="0"/>
        <w:bidi w:val="0"/>
        <w:spacing w:before="0" w:after="0" w:line="580" w:lineRule="exact"/>
        <w:ind w:firstLine="640"/>
        <w:textAlignment w:val="auto"/>
        <w:outlineLvl w:val="9"/>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color w:val="000000" w:themeColor="text1"/>
          <w:kern w:val="2"/>
          <w:sz w:val="32"/>
          <w:szCs w:val="32"/>
          <w:u w:val="none"/>
          <w:lang w:val="en-US" w:eastAsia="zh-CN" w:bidi="ar-SA"/>
          <w14:textFill>
            <w14:solidFill>
              <w14:schemeClr w14:val="tx1"/>
            </w14:solidFill>
          </w14:textFill>
        </w:rPr>
        <w:t>（六）加强考核，做实签约。</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加强家庭医生签约服务质量考核和监督力度，将签约服务人数、重点人群占比、续签率、重点慢性病规范控制率、健康管理效果、签约服务质量以及签约居民满意度等作为评价指标，利用信息化手段和居民回访等方式，定期对基层医疗卫生机构的家庭医生签约服务工作开展考核评价。以签约服务质量为重点，基层医疗卫生机构要加强家庭医生（团队）的考核监督，实行考核结果同经费拨付、绩效分配挂钩。残联部门要加强残疾人基本康复服务补助资金的使用监管和评估。自治区卫生健康委将会同有关部门对各地家庭医生签约服务的进展情况开展年度和5年为周期的评价评估，并将结果通报各地。</w:t>
      </w:r>
    </w:p>
    <w:p>
      <w:pP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sectPr>
          <w:footerReference r:id="rId3" w:type="default"/>
          <w:pgSz w:w="11906" w:h="16838"/>
          <w:pgMar w:top="1701" w:right="1417" w:bottom="1417" w:left="1701" w:header="851" w:footer="992" w:gutter="0"/>
          <w:pgNumType w:fmt="decimal"/>
          <w:cols w:space="0" w:num="1"/>
          <w:rtlGutter w:val="0"/>
          <w:docGrid w:type="lines" w:linePitch="319" w:charSpace="0"/>
        </w:sect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p>
    <w:p>
      <w:pPr>
        <w:pStyle w:val="2"/>
        <w:ind w:left="0" w:leftChars="0" w:firstLine="0" w:firstLineChars="0"/>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黑体" w:hAnsi="黑体" w:eastAsia="黑体" w:cs="黑体"/>
          <w:sz w:val="32"/>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paragraph">
                  <wp:posOffset>379730</wp:posOffset>
                </wp:positionV>
                <wp:extent cx="5473700" cy="635"/>
                <wp:effectExtent l="0" t="0" r="0" b="0"/>
                <wp:wrapNone/>
                <wp:docPr id="3" name="直接连接符 3"/>
                <wp:cNvGraphicFramePr/>
                <a:graphic xmlns:a="http://schemas.openxmlformats.org/drawingml/2006/main">
                  <a:graphicData uri="http://schemas.microsoft.com/office/word/2010/wordprocessingShape">
                    <wps:wsp>
                      <wps:cNvCnPr/>
                      <wps:spPr>
                        <a:xfrm>
                          <a:off x="1085215" y="9157335"/>
                          <a:ext cx="54737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pt;margin-top:29.9pt;height:0.05pt;width:431pt;z-index:251661312;mso-width-relative:page;mso-height-relative:page;" filled="f" stroked="t" coordsize="21600,21600" o:gfxdata="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TEhVNMAAAAGAQAADwAAAAAAAAABACAAAAAiAAAAZHJzL2Rvd25yZXYueG1sUEsBAhQAFAAAAAgA&#10;h07iQKtOwsTxAQAAvwMAAA4AAAAAAAAAAQAgAAAAIgEAAGRycy9lMm9Eb2MueG1sUEsFBgAAAAAG&#10;AAYAWQEAAIUFAAAAAA==&#10;">
                <v:fill on="f" focussize="0,0"/>
                <v:stroke weight="0.5pt" color="#000000 [3200]" miterlimit="8" joinstyle="miter"/>
                <v:imagedata o:title=""/>
                <o:lock v:ext="edit" aspectratio="f"/>
              </v:line>
            </w:pict>
          </mc:Fallback>
        </mc:AlternateContent>
      </w:r>
      <w:r>
        <w:rPr>
          <w:rFonts w:hint="eastAsia" w:ascii="黑体" w:hAnsi="黑体" w:eastAsia="黑体" w:cs="黑体"/>
          <w:color w:val="000000" w:themeColor="text1"/>
          <w:sz w:val="32"/>
          <w:szCs w:val="32"/>
          <w:u w:val="none"/>
          <w:lang w:val="en-US" w:eastAsia="zh-CN"/>
          <w14:textFill>
            <w14:solidFill>
              <w14:schemeClr w14:val="tx1"/>
            </w14:solidFill>
          </w14:textFill>
        </w:rPr>
        <w:t>信息公开形式：主动公开</w:t>
      </w:r>
    </w:p>
    <w:p>
      <w:pPr>
        <w:pStyle w:val="2"/>
        <w:ind w:left="0" w:leftChars="0" w:firstLine="0" w:firstLineChars="0"/>
        <w:rPr>
          <w:rFonts w:hint="eastAsia" w:ascii="仿宋_GB2312" w:hAnsi="仿宋_GB2312" w:cs="仿宋_GB2312"/>
          <w:color w:val="000000" w:themeColor="text1"/>
          <w:sz w:val="28"/>
          <w:szCs w:val="28"/>
          <w:u w:val="none"/>
          <w:lang w:val="en-US" w:eastAsia="zh-CN"/>
          <w14:textFill>
            <w14:solidFill>
              <w14:schemeClr w14:val="tx1"/>
            </w14:solidFill>
          </w14:textFill>
        </w:rPr>
      </w:pPr>
      <w:r>
        <w:rPr>
          <w:sz w:val="32"/>
        </w:rPr>
        <mc:AlternateContent>
          <mc:Choice Requires="wps">
            <w:drawing>
              <wp:anchor distT="0" distB="0" distL="114300" distR="114300" simplePos="0" relativeHeight="251662336" behindDoc="0" locked="0" layoutInCell="1" allowOverlap="1">
                <wp:simplePos x="0" y="0"/>
                <wp:positionH relativeFrom="column">
                  <wp:posOffset>5080</wp:posOffset>
                </wp:positionH>
                <wp:positionV relativeFrom="paragraph">
                  <wp:posOffset>393700</wp:posOffset>
                </wp:positionV>
                <wp:extent cx="54737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4737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4pt;margin-top:31pt;height:0.05pt;width:431pt;z-index:251662336;mso-width-relative:page;mso-height-relative:page;" filled="f" stroked="t" coordsize="21600,21600" o:gfxdata="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BZjr9MAAAAGAQAADwAA&#10;AAAAAAABACAAAAAiAAAAZHJzL2Rvd25yZXYueG1sUEsBAhQAFAAAAAgAh07iQOCcEbLiAQAAswMA&#10;AA4AAAAAAAAAAQAgAAAAIgEAAGRycy9lMm9Eb2MueG1sUEsFBgAAAAAGAAYAWQEAAHYFAAAAAA==&#10;">
                <v:fill on="f" focussize="0,0"/>
                <v:stroke weight="0.5pt" color="#000000 [3200]" miterlimit="8" joinstyle="miter"/>
                <v:imagedata o:title=""/>
                <o:lock v:ext="edit" aspectratio="f"/>
              </v:line>
            </w:pict>
          </mc:Fallback>
        </mc:AlternateContent>
      </w:r>
      <w:r>
        <w:rPr>
          <w:rFonts w:hint="eastAsia" w:ascii="仿宋_GB2312" w:hAnsi="仿宋_GB2312" w:cs="仿宋_GB2312"/>
          <w:color w:val="000000" w:themeColor="text1"/>
          <w:sz w:val="28"/>
          <w:szCs w:val="28"/>
          <w:u w:val="none"/>
          <w:lang w:val="en-US" w:eastAsia="zh-CN"/>
          <w14:textFill>
            <w14:solidFill>
              <w14:schemeClr w14:val="tx1"/>
            </w14:solidFill>
          </w14:textFill>
        </w:rPr>
        <w:t>　广西壮族自治区卫生健康委办公室　　　　2022年6月20日印发</w:t>
      </w:r>
    </w:p>
    <w:sectPr>
      <w:footerReference r:id="rId4" w:type="default"/>
      <w:pgSz w:w="11906" w:h="16838"/>
      <w:pgMar w:top="1701" w:right="1417" w:bottom="1417" w:left="170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MzAzZDAwODJhZTZjNjI5OTRjMjZiNTk1ZDYxN2EifQ=="/>
  </w:docVars>
  <w:rsids>
    <w:rsidRoot w:val="4FEBC97A"/>
    <w:rsid w:val="035B9DE9"/>
    <w:rsid w:val="0BCA21A3"/>
    <w:rsid w:val="0CEDA8AA"/>
    <w:rsid w:val="0F1F1725"/>
    <w:rsid w:val="12E3C783"/>
    <w:rsid w:val="1315422F"/>
    <w:rsid w:val="177BFBE7"/>
    <w:rsid w:val="198D59E8"/>
    <w:rsid w:val="1AB56BA8"/>
    <w:rsid w:val="1B3D1EA7"/>
    <w:rsid w:val="1BFB5495"/>
    <w:rsid w:val="1FC22B5D"/>
    <w:rsid w:val="1FFF47D8"/>
    <w:rsid w:val="23392105"/>
    <w:rsid w:val="2C521C16"/>
    <w:rsid w:val="2CFB322F"/>
    <w:rsid w:val="2DBFAF5E"/>
    <w:rsid w:val="2DFD4DE7"/>
    <w:rsid w:val="33E61DB8"/>
    <w:rsid w:val="34AB7997"/>
    <w:rsid w:val="352D4F7A"/>
    <w:rsid w:val="35575FEE"/>
    <w:rsid w:val="37A50C7B"/>
    <w:rsid w:val="39B5462F"/>
    <w:rsid w:val="3A669473"/>
    <w:rsid w:val="3BEF0F13"/>
    <w:rsid w:val="3CFBCD95"/>
    <w:rsid w:val="3CFF6EBA"/>
    <w:rsid w:val="3DFDD247"/>
    <w:rsid w:val="3F93CEF5"/>
    <w:rsid w:val="3FEF242D"/>
    <w:rsid w:val="3FFF6EC4"/>
    <w:rsid w:val="415774DC"/>
    <w:rsid w:val="45515EF2"/>
    <w:rsid w:val="4AAE32D8"/>
    <w:rsid w:val="4F577D07"/>
    <w:rsid w:val="4FEBC97A"/>
    <w:rsid w:val="4FFFB930"/>
    <w:rsid w:val="51FED7AB"/>
    <w:rsid w:val="53EF194A"/>
    <w:rsid w:val="56DFE1BA"/>
    <w:rsid w:val="56FD8BDF"/>
    <w:rsid w:val="58721336"/>
    <w:rsid w:val="5B3B2343"/>
    <w:rsid w:val="5BF89F5B"/>
    <w:rsid w:val="5E1A7CF5"/>
    <w:rsid w:val="5EBEF6DE"/>
    <w:rsid w:val="5EE6B6F8"/>
    <w:rsid w:val="5EF7FCE1"/>
    <w:rsid w:val="5EFA7CCD"/>
    <w:rsid w:val="5F3E8492"/>
    <w:rsid w:val="5F5F796D"/>
    <w:rsid w:val="5FBF5611"/>
    <w:rsid w:val="5FDFCDB0"/>
    <w:rsid w:val="5FF64C1B"/>
    <w:rsid w:val="65DEB61F"/>
    <w:rsid w:val="65FBBA72"/>
    <w:rsid w:val="69507596"/>
    <w:rsid w:val="6A7F2629"/>
    <w:rsid w:val="6B622965"/>
    <w:rsid w:val="6DF511CC"/>
    <w:rsid w:val="6F6137A2"/>
    <w:rsid w:val="6FA72CDD"/>
    <w:rsid w:val="6FEEFC08"/>
    <w:rsid w:val="6FFBE32E"/>
    <w:rsid w:val="73064271"/>
    <w:rsid w:val="73BC33B4"/>
    <w:rsid w:val="73BFC31B"/>
    <w:rsid w:val="73E94056"/>
    <w:rsid w:val="74D43296"/>
    <w:rsid w:val="759F2E5F"/>
    <w:rsid w:val="75F7ADF2"/>
    <w:rsid w:val="75FF1F14"/>
    <w:rsid w:val="76FE32CF"/>
    <w:rsid w:val="77EDE0C0"/>
    <w:rsid w:val="77FFB9FB"/>
    <w:rsid w:val="77FFE59C"/>
    <w:rsid w:val="789C5380"/>
    <w:rsid w:val="79115ECD"/>
    <w:rsid w:val="79AF749D"/>
    <w:rsid w:val="79BF65F1"/>
    <w:rsid w:val="7A6F046F"/>
    <w:rsid w:val="7B58E95D"/>
    <w:rsid w:val="7B5FD0EA"/>
    <w:rsid w:val="7B65637E"/>
    <w:rsid w:val="7BFDC8B3"/>
    <w:rsid w:val="7C48232F"/>
    <w:rsid w:val="7CAF3DFC"/>
    <w:rsid w:val="7CE440B9"/>
    <w:rsid w:val="7CFD2307"/>
    <w:rsid w:val="7DCDC193"/>
    <w:rsid w:val="7DDFBE08"/>
    <w:rsid w:val="7F7D58EC"/>
    <w:rsid w:val="7F7DDEA4"/>
    <w:rsid w:val="7F7F1680"/>
    <w:rsid w:val="7F9EAA5B"/>
    <w:rsid w:val="7F9F7C04"/>
    <w:rsid w:val="7FBED1FD"/>
    <w:rsid w:val="7FBFEF5D"/>
    <w:rsid w:val="7FD7748D"/>
    <w:rsid w:val="7FEB57F0"/>
    <w:rsid w:val="7FF124AB"/>
    <w:rsid w:val="7FF5FA23"/>
    <w:rsid w:val="7FF8FE2A"/>
    <w:rsid w:val="7FFD39BA"/>
    <w:rsid w:val="7FFD4045"/>
    <w:rsid w:val="7FFD7377"/>
    <w:rsid w:val="7FFF8515"/>
    <w:rsid w:val="7FFF8D32"/>
    <w:rsid w:val="8DDF192B"/>
    <w:rsid w:val="8F7F58B8"/>
    <w:rsid w:val="93F72CC6"/>
    <w:rsid w:val="9D4B5CFF"/>
    <w:rsid w:val="9DCFBCB7"/>
    <w:rsid w:val="9DEF6CF4"/>
    <w:rsid w:val="A3FF90AE"/>
    <w:rsid w:val="ABFF6DFC"/>
    <w:rsid w:val="ADDF1CBD"/>
    <w:rsid w:val="AFFEC5A1"/>
    <w:rsid w:val="B17F1F84"/>
    <w:rsid w:val="B5AF376A"/>
    <w:rsid w:val="B77D95C5"/>
    <w:rsid w:val="B7ADA90C"/>
    <w:rsid w:val="B83F802F"/>
    <w:rsid w:val="BA7B23C6"/>
    <w:rsid w:val="BB7B9BAF"/>
    <w:rsid w:val="BBED4C6E"/>
    <w:rsid w:val="BEEF55A1"/>
    <w:rsid w:val="BEFB4854"/>
    <w:rsid w:val="BEFB772E"/>
    <w:rsid w:val="BF1FC360"/>
    <w:rsid w:val="BF7A6FC5"/>
    <w:rsid w:val="BFAF684D"/>
    <w:rsid w:val="BFCBA6E8"/>
    <w:rsid w:val="BFF5CEA5"/>
    <w:rsid w:val="C7D6D70F"/>
    <w:rsid w:val="CDEF2F78"/>
    <w:rsid w:val="CDFAE6A6"/>
    <w:rsid w:val="CFFFFF65"/>
    <w:rsid w:val="D2FB2F0C"/>
    <w:rsid w:val="D377BB5F"/>
    <w:rsid w:val="D5FFE46C"/>
    <w:rsid w:val="D8FB41A1"/>
    <w:rsid w:val="DD278A8D"/>
    <w:rsid w:val="DDF60EBB"/>
    <w:rsid w:val="DFADE441"/>
    <w:rsid w:val="DFFED77E"/>
    <w:rsid w:val="DFFF43D8"/>
    <w:rsid w:val="E26EB125"/>
    <w:rsid w:val="E2F71653"/>
    <w:rsid w:val="E8D5EA08"/>
    <w:rsid w:val="E9FFC195"/>
    <w:rsid w:val="EB56E280"/>
    <w:rsid w:val="EBB20B27"/>
    <w:rsid w:val="EBF63330"/>
    <w:rsid w:val="EBFB9D43"/>
    <w:rsid w:val="EC5F9653"/>
    <w:rsid w:val="ED3EEF3E"/>
    <w:rsid w:val="EF5D983A"/>
    <w:rsid w:val="EFBF5668"/>
    <w:rsid w:val="EFDFE06F"/>
    <w:rsid w:val="F6E4FB6E"/>
    <w:rsid w:val="F76B4918"/>
    <w:rsid w:val="F77FE447"/>
    <w:rsid w:val="F7AF2E1F"/>
    <w:rsid w:val="F7B747B8"/>
    <w:rsid w:val="F97F9970"/>
    <w:rsid w:val="F988FC55"/>
    <w:rsid w:val="F9FE6872"/>
    <w:rsid w:val="FA7F608B"/>
    <w:rsid w:val="FAFB899F"/>
    <w:rsid w:val="FB6F44D5"/>
    <w:rsid w:val="FBAFE2D4"/>
    <w:rsid w:val="FBB9E433"/>
    <w:rsid w:val="FBDE061A"/>
    <w:rsid w:val="FBE658EF"/>
    <w:rsid w:val="FBEE8367"/>
    <w:rsid w:val="FCAED31A"/>
    <w:rsid w:val="FD7BBDBA"/>
    <w:rsid w:val="FDBED739"/>
    <w:rsid w:val="FE6A3FF3"/>
    <w:rsid w:val="FE728877"/>
    <w:rsid w:val="FE734873"/>
    <w:rsid w:val="FEBD8ACE"/>
    <w:rsid w:val="FEF7299D"/>
    <w:rsid w:val="FEFF8990"/>
    <w:rsid w:val="FF4B75CD"/>
    <w:rsid w:val="FF65429B"/>
    <w:rsid w:val="FF6A8655"/>
    <w:rsid w:val="FF7F6526"/>
    <w:rsid w:val="FF9EEE0D"/>
    <w:rsid w:val="FFA37A71"/>
    <w:rsid w:val="FFB3F72D"/>
    <w:rsid w:val="FFB696D2"/>
    <w:rsid w:val="FFBF28DF"/>
    <w:rsid w:val="FFDF6BA8"/>
    <w:rsid w:val="FFF4307C"/>
    <w:rsid w:val="FFF50160"/>
    <w:rsid w:val="FFFF44F9"/>
    <w:rsid w:val="FFFFE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仿宋_GB2312"/>
      <w:sz w:val="32"/>
      <w:szCs w:val="22"/>
    </w:rPr>
  </w:style>
  <w:style w:type="paragraph" w:styleId="3">
    <w:name w:val="Body Text"/>
    <w:basedOn w:val="1"/>
    <w:next w:val="4"/>
    <w:qFormat/>
    <w:uiPriority w:val="0"/>
    <w:pPr>
      <w:ind w:left="120"/>
      <w:jc w:val="left"/>
    </w:pPr>
    <w:rPr>
      <w:rFonts w:ascii="仿宋" w:hAnsi="仿宋" w:eastAsia="仿宋"/>
      <w:kern w:val="0"/>
      <w:sz w:val="36"/>
      <w:szCs w:val="36"/>
      <w:lang w:eastAsia="en-US"/>
    </w:rPr>
  </w:style>
  <w:style w:type="paragraph" w:styleId="4">
    <w:name w:val="Title"/>
    <w:basedOn w:val="1"/>
    <w:next w:val="1"/>
    <w:qFormat/>
    <w:uiPriority w:val="0"/>
    <w:pPr>
      <w:spacing w:before="300" w:after="200"/>
      <w:contextualSpacing/>
    </w:pPr>
    <w:rPr>
      <w:sz w:val="48"/>
      <w:szCs w:val="48"/>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page number"/>
    <w:basedOn w:val="10"/>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2022-03-02T11:05:00Z</dcterms:created>
  <dc:creator>gxxc</dc:creator>
  <cp:lastModifiedBy>1234</cp:lastModifiedBy>
  <cp:lastPrinted>2022-06-20T07:05:00Z</cp:lastPrinted>
  <dcterms:modified xsi:type="dcterms:W3CDTF">2022-11-28T02:29:52Z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635D0CAED6CE4188872A57F0C46EEB11</vt:lpwstr>
  </property>
</Properties>
</file>