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广西壮族自治区卫生健康行政执法全过程音像记录事项清单（暂行）</w:t>
      </w:r>
    </w:p>
    <w:p>
      <w:pPr>
        <w:spacing w:line="520" w:lineRule="exact"/>
        <w:ind w:left="0" w:right="630" w:firstLine="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7"/>
        <w:tblW w:w="14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63"/>
        <w:gridCol w:w="1552"/>
        <w:gridCol w:w="1495"/>
        <w:gridCol w:w="2415"/>
        <w:gridCol w:w="3941"/>
        <w:gridCol w:w="1704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执法类别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记录环节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记录场所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记录活动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记录起止时间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记录内容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记录方式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/>
                <w:bCs/>
                <w:szCs w:val="21"/>
              </w:rPr>
            </w:pPr>
            <w:r>
              <w:rPr>
                <w:rFonts w:hint="eastAsia" w:ascii="仿宋_GB2312" w:eastAsia="仿宋_GB2312" w:cs="Arial"/>
                <w:b/>
                <w:bCs/>
                <w:szCs w:val="21"/>
              </w:rPr>
              <w:t>记录人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行政许可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申请受理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许可受理现场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申请受理过程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接收申请材料至发放受理文书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申请人提交申请材料，工作人员接收材料，审查材料，发放受理通知。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音视频监控设备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视频监控管理人员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现场审核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审核现场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现场审核过程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进入审核现场至离开审核现场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两名以上工作人员出示相关证件，核实申请材料实质内容，制作现场审核文书，陪同人员对审核文书的签字确认。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现场审核工作人员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许可送达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进入送达现场至离开送达现场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工作人员送达许可决定，申请人接受许可决定。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视频监控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ind w:left="0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视频监控管理</w:t>
            </w:r>
            <w:r>
              <w:rPr>
                <w:rFonts w:ascii="仿宋_GB2312" w:eastAsia="仿宋_GB2312" w:cs="Arial"/>
                <w:szCs w:val="21"/>
              </w:rPr>
              <w:t xml:space="preserve"> 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行政检查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现场检查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检查现场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检查过程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进入检查场所至离开检查场所时间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两名以上行政执法人员出示执法证件，违法场所和现场发现的违法事实，现场检查起止时间，检查陪同人员，制作《现场笔录》，当事人签字确认。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抽样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监测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抽样现场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抽样过程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进入抽样场所至离开抽样场所时间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两名以上行政执法人员现场抽样，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制作《产品样品采样记录》或《非产品样品采样记录》，当事人签字确认。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行政处罚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调查取证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调查取证现场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取证过程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进入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调查取证场所至离开取证场所时间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两名以上行政执法人员出示执法证件，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调查取证的时间、违法场所，记录陪同人员、发现的违法证据事实，制作《现场笔录》，当事人签字确认。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行政处罚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证据先行登记保存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证据先行登记保存现场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证据先行登记保存过程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开始证据先行登记保存至完成证据先行登记保存时间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两名以上行政执法人员对证据进行先行登记保存的过程，登记保存的内容，当事人的确认。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解除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封存、证据先行登记保存的物品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解除封存、退还物品的场所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解除封存、退还物品过程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开始解除封存、退还物品至完成解除封存、退还物品时间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两名以上行政执法人员解除先行登记保存的过程，解除封存、退还的物品，当事人的确认。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调查询问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询问场所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询问过程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进入询问场所至离开询问场所时间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两名以上行政执法人员出示执法证件，告知被询问人依法享有的权利和义务，询问当事人和证人过程，制作《询问笔录》，当事人和证人在笔录上签字确认。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执法记录仪、音视频监控设备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抽样监测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抽样现场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抽样过程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进入抽样场所至离开抽样场所时间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两名以上行政执法人员现场抽样，制作《产品样品采样记录》或《非产品样品采样记录》，当事人签字确认。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陈述申辩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陈述申辩现场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陈述申辩过程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陈述申辩开始至陈述申辩结束时间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两名以上行政执法人员出示执法证件，接收或记录当事人陈述申辩材料。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听证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听证场所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听证过程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pacing w:val="-6"/>
                <w:szCs w:val="21"/>
              </w:rPr>
            </w:pPr>
            <w:r>
              <w:rPr>
                <w:rFonts w:hint="eastAsia" w:ascii="仿宋_GB2312" w:eastAsia="仿宋_GB2312" w:cs="Arial"/>
                <w:spacing w:val="-6"/>
                <w:szCs w:val="21"/>
              </w:rPr>
              <w:t>听证开始至听证结束时间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主持人告知当事人或代理人相关权利和义务，案件承办人员提出当事人违法的事实、证据和行政处罚建议，当事人进行申辩和质证，制作听证笔录；笔录应当交当事人或代理人审核无误后签字或者盖章。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音视频监控设备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行政处罚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集体讨论、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合议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集体讨论、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合议现场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集体讨论、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合议过程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讨论、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</w:rPr>
              <w:t>合议开始至讨论、合议结束时间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讨论、合议时间、地点；案由、主持人、出席人员、列席人员、记录人员；参加人员的主要观点和意见；结论性意见及参加人签名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音视频监控设备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送达场所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进入送达场所至离开结束场所时间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两名以上行政执法人员送达时间、地点，当事人接收送达文书，签字确认的过程。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b w:val="0"/>
                <w:i w:val="0"/>
                <w:caps w:val="0"/>
                <w:smallCaps w:val="0"/>
                <w:strike w:val="0"/>
                <w:dstrike w:val="0"/>
                <w:szCs w:val="21"/>
                <w:u w:val="none"/>
                <w:vertAlign w:val="baseline"/>
              </w:rPr>
            </w:pPr>
            <w:r>
              <w:rPr>
                <w:rFonts w:hint="eastAsia" w:ascii="仿宋_GB2312" w:eastAsia="仿宋_GB2312" w:cs="Arial"/>
                <w:b w:val="0"/>
                <w:i w:val="0"/>
                <w:caps w:val="0"/>
                <w:smallCaps w:val="0"/>
                <w:strike w:val="0"/>
                <w:dstrike w:val="0"/>
                <w:szCs w:val="21"/>
                <w:u w:val="none"/>
                <w:vertAlign w:val="baseline"/>
              </w:rPr>
              <w:t>催告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送达过程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进入送达场所至离开送达场所时间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执法人员送达催告书的时间、地点，当事人接受催告书的完整过程。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7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行政强制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实施查封、扣押措施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pacing w:val="-6"/>
                <w:szCs w:val="21"/>
              </w:rPr>
            </w:pPr>
            <w:r>
              <w:rPr>
                <w:rFonts w:hint="eastAsia" w:ascii="仿宋_GB2312" w:eastAsia="仿宋_GB2312" w:cs="Arial"/>
                <w:spacing w:val="-6"/>
                <w:szCs w:val="21"/>
              </w:rPr>
              <w:t>查封、扣押现场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pacing w:val="-10"/>
                <w:szCs w:val="21"/>
              </w:rPr>
            </w:pPr>
            <w:r>
              <w:rPr>
                <w:rFonts w:hint="eastAsia" w:ascii="仿宋_GB2312" w:eastAsia="仿宋_GB2312" w:cs="Arial"/>
                <w:spacing w:val="-10"/>
                <w:szCs w:val="21"/>
              </w:rPr>
              <w:t>查封、扣押过程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进入查封、扣押地点至完成查封、扣押时间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出示执法证件，当场告知当事人采取查封、扣押措施的理由、依据以及当事人依法享有的权利、救济途径，听取当事人的陈述和申辩，制作《现场笔录》，填写查封扣押《物品清单》，当事人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解除查封、扣押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解除查封扣押现场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解除查封扣押过程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开始解除查封、扣押至完成解除时间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两名以上行政执法人员进行解除查封、扣押的过程，当事人签字确认。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销毁违法物品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销毁违法物品现场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销毁违法物品过程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销毁物品开始至销毁物品结束时间</w:t>
            </w:r>
          </w:p>
        </w:tc>
        <w:tc>
          <w:tcPr>
            <w:tcW w:w="3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销毁违法物品确认，销毁违法物品过程。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执法记录仪</w:t>
            </w:r>
          </w:p>
        </w:tc>
        <w:tc>
          <w:tcPr>
            <w:tcW w:w="1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Arial"/>
                <w:szCs w:val="21"/>
              </w:rPr>
            </w:pPr>
            <w:r>
              <w:rPr>
                <w:rFonts w:hint="eastAsia" w:ascii="仿宋_GB2312" w:eastAsia="仿宋_GB2312" w:cs="Arial"/>
                <w:szCs w:val="21"/>
              </w:rPr>
              <w:t>行政执法人员</w:t>
            </w:r>
          </w:p>
        </w:tc>
      </w:tr>
    </w:tbl>
    <w:p>
      <w:pPr>
        <w:spacing w:line="520" w:lineRule="exact"/>
        <w:jc w:val="center"/>
        <w:rPr>
          <w:rFonts w:ascii="仿宋_GB2312" w:eastAsia="仿宋_GB2312" w:cs="仿宋_GB2312"/>
          <w:sz w:val="28"/>
          <w:szCs w:val="28"/>
        </w:rPr>
        <w:sectPr>
          <w:footerReference r:id="rId3" w:type="default"/>
          <w:pgSz w:w="16840" w:h="11907" w:orient="landscape"/>
          <w:pgMar w:top="1701" w:right="1134" w:bottom="1418" w:left="1134" w:header="851" w:footer="992" w:gutter="0"/>
          <w:docGrid w:type="lines" w:linePitch="312" w:charSpace="0"/>
        </w:sect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spacing w:line="58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980"/>
          <w:tab w:val="left" w:pos="8190"/>
        </w:tabs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7" w:h="16840"/>
      <w:pgMar w:top="1701" w:right="1134" w:bottom="1418" w:left="1134" w:header="851" w:footer="992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  <w:tab w:val="clear" w:pos="8306"/>
      </w:tabs>
      <w:rPr>
        <w:rFonts w:hint="eastAsia" w:ascii="宋体"/>
        <w:sz w:val="28"/>
        <w:szCs w:val="28"/>
      </w:rPr>
    </w:pPr>
    <w:r>
      <w:rPr>
        <w:rStyle w:val="10"/>
        <w:rFonts w:hint="eastAsia" w:ascii="宋体"/>
        <w:sz w:val="28"/>
        <w:szCs w:val="28"/>
      </w:rPr>
      <w:t>—</w:t>
    </w:r>
    <w:r>
      <w:rPr>
        <w:rStyle w:val="10"/>
        <w:rFonts w:hint="eastAsia" w:ascii="宋体"/>
        <w:sz w:val="28"/>
        <w:szCs w:val="28"/>
      </w:rPr>
      <w:fldChar w:fldCharType="begin"/>
    </w:r>
    <w:r>
      <w:rPr>
        <w:rStyle w:val="10"/>
        <w:rFonts w:hint="eastAsia" w:ascii="宋体"/>
        <w:sz w:val="28"/>
        <w:szCs w:val="28"/>
      </w:rPr>
      <w:instrText xml:space="preserve">Page</w:instrText>
    </w:r>
    <w:r>
      <w:rPr>
        <w:rStyle w:val="10"/>
        <w:rFonts w:hint="eastAsia" w:ascii="宋体"/>
        <w:sz w:val="28"/>
        <w:szCs w:val="28"/>
      </w:rPr>
      <w:fldChar w:fldCharType="separate"/>
    </w:r>
    <w:r>
      <w:rPr>
        <w:rStyle w:val="10"/>
        <w:rFonts w:hint="eastAsia" w:ascii="宋体"/>
        <w:sz w:val="28"/>
        <w:szCs w:val="28"/>
      </w:rPr>
      <w:t>1</w:t>
    </w:r>
    <w:r>
      <w:rPr>
        <w:rStyle w:val="10"/>
        <w:rFonts w:hint="eastAsia" w:ascii="宋体"/>
        <w:sz w:val="28"/>
        <w:szCs w:val="28"/>
      </w:rPr>
      <w:fldChar w:fldCharType="end"/>
    </w:r>
    <w:r>
      <w:rPr>
        <w:rStyle w:val="10"/>
        <w:rFonts w:hint="eastAsia" w:ascii="宋体"/>
        <w:sz w:val="28"/>
        <w:szCs w:val="28"/>
      </w:rPr>
      <w:t>—</w:t>
    </w:r>
  </w:p>
  <w:p>
    <w:pPr>
      <w:pStyle w:val="3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60DB2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next w:val="6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customStyle="1" w:styleId="6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Arial"/>
      <w:szCs w:val="22"/>
    </w:rPr>
  </w:style>
  <w:style w:type="character" w:styleId="9">
    <w:name w:val="Strong"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2049</Words>
  <Characters>2063</Characters>
  <Lines>281</Lines>
  <Paragraphs>150</Paragraphs>
  <TotalTime>3832</TotalTime>
  <ScaleCrop>false</ScaleCrop>
  <LinksUpToDate>false</LinksUpToDate>
  <CharactersWithSpaces>2097</CharactersWithSpaces>
  <Application>WPS Office_11.1.0.9305_F1E327BC-269C-435d-A152-05C5408002CA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2019-03-04T05:13:00Z</dcterms:created>
  <dc:creator>Dell</dc:creator>
  <cp:lastModifiedBy>DELL</cp:lastModifiedBy>
  <cp:lastPrinted>2019-12-19T08:03:00Z</cp:lastPrinted>
  <dcterms:modified xsi:type="dcterms:W3CDTF">2019-12-27T09:47:41Z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