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snapToGrid/>
        <w:spacing w:line="560" w:lineRule="exact"/>
        <w:jc w:val="both"/>
        <w:outlineLvl w:val="9"/>
        <w:rPr>
          <w:rFonts w:hint="eastAsia" w:ascii="黑体" w:eastAsia="黑体" w:cs="黑体"/>
          <w:kern w:val="0"/>
          <w:sz w:val="32"/>
          <w:szCs w:val="32"/>
          <w:lang w:bidi="ar-SA"/>
        </w:rPr>
      </w:pPr>
      <w:r>
        <w:rPr>
          <w:rFonts w:hint="eastAsia" w:ascii="黑体" w:eastAsia="黑体" w:cs="黑体"/>
          <w:kern w:val="0"/>
          <w:sz w:val="32"/>
          <w:szCs w:val="32"/>
          <w:lang w:bidi="ar-SA"/>
        </w:rPr>
        <w:t>附</w:t>
      </w:r>
      <w:r>
        <w:rPr>
          <w:rFonts w:hint="eastAsia" w:ascii="黑体" w:eastAsia="黑体" w:cs="黑体"/>
          <w:kern w:val="0"/>
          <w:sz w:val="32"/>
          <w:szCs w:val="32"/>
          <w:lang w:eastAsia="zh-CN" w:bidi="ar-SA"/>
        </w:rPr>
        <w:t>件</w:t>
      </w:r>
      <w:r>
        <w:rPr>
          <w:rFonts w:hint="eastAsia" w:ascii="黑体" w:eastAsia="黑体" w:cs="黑体"/>
          <w:kern w:val="0"/>
          <w:sz w:val="32"/>
          <w:szCs w:val="32"/>
          <w:lang w:bidi="ar-SA"/>
        </w:rPr>
        <w:t>1</w:t>
      </w:r>
    </w:p>
    <w:p>
      <w:pPr>
        <w:widowControl/>
        <w:spacing w:line="600" w:lineRule="exact"/>
        <w:jc w:val="center"/>
        <w:textAlignment w:val="center"/>
        <w:rPr>
          <w:rFonts w:hint="eastAsia" w:ascii="方正小标宋简体" w:eastAsia="方正小标宋简体" w:cs="方正小标宋简体"/>
          <w:kern w:val="0"/>
          <w:sz w:val="44"/>
          <w:szCs w:val="44"/>
          <w:lang w:val="en-US" w:eastAsia="zh-CN" w:bidi="ar-SA"/>
        </w:rPr>
      </w:pPr>
      <w:r>
        <w:rPr>
          <w:rFonts w:hint="eastAsia" w:ascii="方正小标宋简体" w:eastAsia="方正小标宋简体" w:cs="方正小标宋简体"/>
          <w:kern w:val="0"/>
          <w:sz w:val="44"/>
          <w:szCs w:val="44"/>
          <w:lang w:bidi="ar-SA"/>
        </w:rPr>
        <w:t>常态化疫情防控专项</w:t>
      </w:r>
      <w:r>
        <w:rPr>
          <w:rFonts w:hint="eastAsia" w:ascii="方正小标宋简体" w:eastAsia="方正小标宋简体" w:cs="方正小标宋简体"/>
          <w:kern w:val="0"/>
          <w:sz w:val="44"/>
          <w:szCs w:val="44"/>
          <w:lang w:eastAsia="zh-CN" w:bidi="ar-SA"/>
        </w:rPr>
        <w:t>执法行动检查</w:t>
      </w:r>
      <w:r>
        <w:rPr>
          <w:rFonts w:hint="eastAsia" w:ascii="方正小标宋简体" w:eastAsia="方正小标宋简体" w:cs="方正小标宋简体"/>
          <w:kern w:val="0"/>
          <w:sz w:val="44"/>
          <w:szCs w:val="44"/>
          <w:lang w:bidi="ar-SA"/>
        </w:rPr>
        <w:t>表</w:t>
      </w:r>
      <w:r>
        <w:rPr>
          <w:rFonts w:hint="eastAsia" w:ascii="方正小标宋简体" w:eastAsia="方正小标宋简体" w:cs="方正小标宋简体"/>
          <w:kern w:val="0"/>
          <w:sz w:val="44"/>
          <w:szCs w:val="44"/>
          <w:lang w:val="en-US" w:eastAsia="zh-CN" w:bidi="ar-SA"/>
        </w:rPr>
        <w:t>1</w:t>
      </w:r>
    </w:p>
    <w:p>
      <w:pPr>
        <w:pStyle w:val="2"/>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eastAsia="zh-CN" w:bidi="ar-SA"/>
        </w:rPr>
        <w:t>乡镇卫生院和社区卫生服务中心（站）、民营医院</w:t>
      </w:r>
      <w:r>
        <w:rPr>
          <w:rFonts w:hint="eastAsia" w:ascii="仿宋_GB2312" w:eastAsia="仿宋_GB2312" w:cs="仿宋_GB2312"/>
          <w:sz w:val="32"/>
          <w:szCs w:val="32"/>
          <w:lang w:val="en-US" w:eastAsia="zh-CN" w:bidi="ar-SA"/>
        </w:rPr>
        <w:t>）</w:t>
      </w:r>
    </w:p>
    <w:p>
      <w:pPr>
        <w:widowControl/>
        <w:spacing w:line="600" w:lineRule="exact"/>
        <w:ind w:left="105" w:leftChars="50" w:right="105" w:rightChars="50"/>
        <w:rPr>
          <w:rFonts w:hint="eastAsia" w:ascii="仿宋_GB2312" w:eastAsia="仿宋_GB2312" w:cs="仿宋_GB2312"/>
          <w:sz w:val="24"/>
          <w:szCs w:val="24"/>
          <w:lang w:bidi="ar-SA"/>
        </w:rPr>
      </w:pPr>
      <w:r>
        <w:rPr>
          <w:rFonts w:hint="eastAsia" w:ascii="仿宋_GB2312" w:eastAsia="仿宋_GB2312" w:cs="仿宋_GB2312"/>
          <w:sz w:val="24"/>
          <w:szCs w:val="24"/>
          <w:lang w:bidi="ar-SA"/>
        </w:rPr>
        <w:t xml:space="preserve">医疗机构名称：                  地址：                        </w:t>
      </w:r>
      <w:r>
        <w:rPr>
          <w:rFonts w:hint="eastAsia" w:ascii="仿宋_GB2312" w:eastAsia="仿宋_GB2312" w:cs="仿宋_GB2312"/>
          <w:kern w:val="0"/>
          <w:sz w:val="24"/>
          <w:szCs w:val="24"/>
          <w:lang w:bidi="ar-SA"/>
        </w:rPr>
        <w:t xml:space="preserve">联系人：                </w:t>
      </w:r>
      <w:r>
        <w:rPr>
          <w:rFonts w:hint="eastAsia" w:ascii="仿宋_GB2312" w:eastAsia="仿宋_GB2312" w:cs="仿宋_GB2312"/>
          <w:sz w:val="24"/>
          <w:szCs w:val="24"/>
          <w:lang w:bidi="ar-SA"/>
        </w:rPr>
        <w:t>联系电话：</w:t>
      </w:r>
    </w:p>
    <w:tbl>
      <w:tblPr>
        <w:tblStyle w:val="4"/>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0080"/>
        <w:gridCol w:w="28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blHeader/>
        </w:trPr>
        <w:tc>
          <w:tcPr>
            <w:tcW w:w="950" w:type="dxa"/>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lang w:bidi="ar-SA"/>
              </w:rPr>
            </w:pPr>
            <w:r>
              <w:rPr>
                <w:rFonts w:hint="eastAsia" w:ascii="黑体" w:eastAsia="黑体" w:cs="黑体"/>
                <w:bCs/>
                <w:kern w:val="0"/>
                <w:sz w:val="24"/>
                <w:szCs w:val="24"/>
                <w:lang w:bidi="ar-SA"/>
              </w:rPr>
              <w:t>项目</w:t>
            </w:r>
          </w:p>
        </w:tc>
        <w:tc>
          <w:tcPr>
            <w:tcW w:w="10080" w:type="dxa"/>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lang w:bidi="ar-SA"/>
              </w:rPr>
            </w:pPr>
            <w:r>
              <w:rPr>
                <w:rFonts w:hint="eastAsia" w:ascii="黑体" w:eastAsia="黑体" w:cs="黑体"/>
                <w:bCs/>
                <w:kern w:val="0"/>
                <w:sz w:val="24"/>
                <w:szCs w:val="24"/>
                <w:lang w:bidi="ar-SA"/>
              </w:rPr>
              <w:t>检查内容</w:t>
            </w:r>
          </w:p>
        </w:tc>
        <w:tc>
          <w:tcPr>
            <w:tcW w:w="2880" w:type="dxa"/>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lang w:bidi="ar-SA"/>
              </w:rPr>
            </w:pPr>
            <w:r>
              <w:rPr>
                <w:rFonts w:hint="eastAsia" w:ascii="黑体" w:eastAsia="黑体" w:cs="黑体"/>
                <w:bCs/>
                <w:kern w:val="0"/>
                <w:sz w:val="24"/>
                <w:szCs w:val="24"/>
                <w:lang w:bidi="ar-SA"/>
              </w:rPr>
              <w:t>检查结果</w:t>
            </w:r>
          </w:p>
        </w:tc>
        <w:tc>
          <w:tcPr>
            <w:tcW w:w="1050" w:type="dxa"/>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黑体" w:eastAsia="黑体" w:cs="黑体"/>
                <w:bCs/>
                <w:sz w:val="24"/>
                <w:szCs w:val="24"/>
                <w:lang w:bidi="ar-SA"/>
              </w:rPr>
            </w:pPr>
            <w:r>
              <w:rPr>
                <w:rFonts w:hint="eastAsia" w:ascii="黑体" w:eastAsia="黑体" w:cs="黑体"/>
                <w:bCs/>
                <w:kern w:val="0"/>
                <w:sz w:val="24"/>
                <w:szCs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restart"/>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lang w:eastAsia="zh-CN" w:bidi="ar-SA"/>
              </w:rPr>
            </w:pPr>
            <w:r>
              <w:rPr>
                <w:rFonts w:hint="eastAsia" w:ascii="仿宋_GB2312" w:eastAsia="仿宋_GB2312" w:cs="仿宋_GB2312"/>
                <w:b/>
                <w:kern w:val="0"/>
                <w:sz w:val="24"/>
                <w:szCs w:val="24"/>
                <w:lang w:eastAsia="zh-CN" w:bidi="ar-SA"/>
              </w:rPr>
              <w:t>（一）</w:t>
            </w:r>
          </w:p>
          <w:p>
            <w:pPr>
              <w:widowControl/>
              <w:spacing w:line="360" w:lineRule="exact"/>
              <w:ind w:left="105" w:leftChars="50" w:right="105" w:rightChars="50"/>
              <w:jc w:val="center"/>
              <w:textAlignment w:val="center"/>
              <w:rPr>
                <w:rFonts w:hint="eastAsia"/>
                <w:lang w:eastAsia="zh-CN"/>
              </w:rPr>
            </w:pPr>
            <w:r>
              <w:rPr>
                <w:rFonts w:hint="eastAsia" w:ascii="仿宋_GB2312" w:eastAsia="仿宋_GB2312" w:cs="仿宋_GB2312"/>
                <w:b/>
                <w:kern w:val="0"/>
                <w:sz w:val="24"/>
                <w:szCs w:val="24"/>
                <w:lang w:eastAsia="zh-CN" w:bidi="ar-SA"/>
              </w:rPr>
              <w:t>综合管理</w:t>
            </w: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color w:val="auto"/>
                <w:kern w:val="2"/>
                <w:sz w:val="24"/>
                <w:szCs w:val="22"/>
                <w:lang w:val="en-US" w:eastAsia="zh-CN" w:bidi="ar-SA"/>
              </w:rPr>
            </w:pPr>
            <w:r>
              <w:rPr>
                <w:rFonts w:hint="eastAsia" w:ascii="仿宋_GB2312" w:eastAsia="仿宋_GB2312" w:cs="仿宋_GB2312"/>
                <w:color w:val="auto"/>
                <w:sz w:val="24"/>
                <w:lang w:bidi="ar-SA"/>
              </w:rPr>
              <w:t>1</w:t>
            </w:r>
            <w:r>
              <w:rPr>
                <w:rFonts w:hint="eastAsia" w:ascii="仿宋_GB2312" w:eastAsia="仿宋_GB2312" w:cs="仿宋_GB2312"/>
                <w:color w:val="auto"/>
                <w:sz w:val="24"/>
                <w:lang w:eastAsia="zh-CN" w:bidi="ar-SA"/>
              </w:rPr>
              <w:t>.</w:t>
            </w:r>
            <w:r>
              <w:rPr>
                <w:rFonts w:hint="eastAsia" w:ascii="仿宋_GB2312" w:eastAsia="仿宋_GB2312" w:cs="仿宋_GB2312"/>
                <w:color w:val="auto"/>
                <w:sz w:val="24"/>
                <w:lang w:bidi="ar-SA"/>
              </w:rPr>
              <w:t>未设置</w:t>
            </w:r>
            <w:r>
              <w:rPr>
                <w:rFonts w:hint="eastAsia" w:ascii="仿宋_GB2312" w:eastAsia="仿宋_GB2312" w:cs="仿宋_GB2312"/>
                <w:color w:val="auto"/>
                <w:kern w:val="0"/>
                <w:sz w:val="24"/>
                <w:lang w:bidi="ar-SA"/>
              </w:rPr>
              <w:t>发热门诊（发热哨点诊室）的</w:t>
            </w:r>
            <w:r>
              <w:rPr>
                <w:rFonts w:hint="eastAsia" w:ascii="仿宋_GB2312" w:eastAsia="仿宋_GB2312" w:cs="仿宋_GB2312"/>
                <w:color w:val="auto"/>
                <w:sz w:val="24"/>
                <w:lang w:bidi="ar-SA"/>
              </w:rPr>
              <w:t>医疗机构，在醒目位置张贴不接诊发热病人的温馨提示</w:t>
            </w:r>
            <w:r>
              <w:rPr>
                <w:rFonts w:hint="eastAsia" w:ascii="仿宋_GB2312" w:eastAsia="仿宋_GB2312" w:cs="仿宋_GB2312"/>
                <w:color w:val="auto"/>
                <w:sz w:val="24"/>
                <w:lang w:eastAsia="zh-CN" w:bidi="ar-SA"/>
              </w:rPr>
              <w:t>。</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2"/>
                <w:sz w:val="24"/>
                <w:szCs w:val="22"/>
                <w:lang w:val="en-US" w:eastAsia="zh-CN" w:bidi="ar-SA"/>
              </w:rPr>
            </w:pPr>
            <w:r>
              <w:rPr>
                <w:rFonts w:hint="eastAsia" w:ascii="仿宋_GB2312" w:eastAsia="仿宋_GB2312" w:cs="仿宋_GB2312"/>
                <w:kern w:val="0"/>
                <w:sz w:val="24"/>
                <w:lang w:bidi="ar-SA"/>
              </w:rPr>
              <w:t xml:space="preserve">是□ </w:t>
            </w:r>
            <w:r>
              <w:rPr>
                <w:rFonts w:hint="eastAsia" w:ascii="仿宋_GB2312" w:eastAsia="仿宋_GB2312" w:cs="仿宋_GB2312"/>
                <w:kern w:val="0"/>
                <w:sz w:val="24"/>
                <w:lang w:val="en-US" w:eastAsia="zh-CN" w:bidi="ar-SA"/>
              </w:rPr>
              <w:t xml:space="preserve"> </w:t>
            </w:r>
            <w:r>
              <w:rPr>
                <w:rFonts w:hint="eastAsia" w:ascii="仿宋_GB2312" w:eastAsia="仿宋_GB2312" w:cs="仿宋_GB2312"/>
                <w:kern w:val="0"/>
                <w:sz w:val="24"/>
                <w:lang w:bidi="ar-SA"/>
              </w:rPr>
              <w:t>否□ 合理缺项□</w:t>
            </w:r>
          </w:p>
        </w:tc>
        <w:tc>
          <w:tcPr>
            <w:tcW w:w="1050" w:type="dxa"/>
            <w:vMerge w:val="restart"/>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color w:val="auto"/>
                <w:kern w:val="2"/>
                <w:sz w:val="24"/>
                <w:szCs w:val="22"/>
                <w:lang w:val="en-US" w:eastAsia="zh-CN" w:bidi="ar-SA"/>
              </w:rPr>
            </w:pPr>
            <w:r>
              <w:rPr>
                <w:rFonts w:hint="eastAsia" w:ascii="仿宋_GB2312" w:eastAsia="仿宋_GB2312" w:cs="仿宋_GB2312"/>
                <w:color w:val="auto"/>
                <w:sz w:val="24"/>
                <w:lang w:bidi="ar-SA"/>
              </w:rPr>
              <w:t>2</w:t>
            </w:r>
            <w:r>
              <w:rPr>
                <w:rFonts w:hint="eastAsia" w:ascii="仿宋_GB2312" w:eastAsia="仿宋_GB2312" w:cs="仿宋_GB2312"/>
                <w:color w:val="auto"/>
                <w:sz w:val="24"/>
                <w:lang w:eastAsia="zh-CN" w:bidi="ar-SA"/>
              </w:rPr>
              <w:t>.</w:t>
            </w:r>
            <w:r>
              <w:rPr>
                <w:rFonts w:hint="eastAsia" w:ascii="仿宋_GB2312" w:eastAsia="仿宋_GB2312" w:cs="仿宋_GB2312"/>
                <w:color w:val="auto"/>
                <w:sz w:val="24"/>
                <w:lang w:bidi="ar-SA"/>
              </w:rPr>
              <w:t>未设置</w:t>
            </w:r>
            <w:r>
              <w:rPr>
                <w:rFonts w:hint="eastAsia" w:ascii="仿宋_GB2312" w:eastAsia="仿宋_GB2312" w:cs="仿宋_GB2312"/>
                <w:color w:val="auto"/>
                <w:kern w:val="0"/>
                <w:sz w:val="24"/>
                <w:lang w:bidi="ar-SA"/>
              </w:rPr>
              <w:t>发热门诊（发热哨点诊室）的</w:t>
            </w:r>
            <w:r>
              <w:rPr>
                <w:rFonts w:hint="eastAsia" w:ascii="仿宋_GB2312" w:eastAsia="仿宋_GB2312" w:cs="仿宋_GB2312"/>
                <w:color w:val="auto"/>
                <w:sz w:val="24"/>
                <w:lang w:bidi="ar-SA"/>
              </w:rPr>
              <w:t>医疗机构，</w:t>
            </w:r>
            <w:r>
              <w:rPr>
                <w:rFonts w:hint="eastAsia" w:ascii="仿宋_GB2312" w:eastAsia="仿宋_GB2312" w:cs="仿宋_GB2312"/>
                <w:color w:val="auto"/>
                <w:kern w:val="0"/>
                <w:sz w:val="24"/>
                <w:lang w:bidi="ar-SA"/>
              </w:rPr>
              <w:t>是否接诊发热病人</w:t>
            </w:r>
            <w:r>
              <w:rPr>
                <w:rFonts w:hint="eastAsia" w:ascii="仿宋_GB2312" w:eastAsia="仿宋_GB2312" w:cs="仿宋_GB2312"/>
                <w:color w:val="auto"/>
                <w:kern w:val="0"/>
                <w:sz w:val="24"/>
                <w:lang w:eastAsia="zh-CN" w:bidi="ar-SA"/>
              </w:rPr>
              <w:t>。</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2"/>
                <w:sz w:val="24"/>
                <w:szCs w:val="22"/>
                <w:lang w:val="en-US" w:eastAsia="zh-CN" w:bidi="ar-SA"/>
              </w:rPr>
            </w:pPr>
            <w:r>
              <w:rPr>
                <w:rFonts w:hint="eastAsia" w:ascii="仿宋_GB2312" w:eastAsia="仿宋_GB2312" w:cs="仿宋_GB2312"/>
                <w:kern w:val="0"/>
                <w:sz w:val="24"/>
                <w:lang w:bidi="ar-SA"/>
              </w:rPr>
              <w:t>是□  否□ 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val="en-US" w:eastAsia="zh-CN" w:bidi="ar-SA"/>
              </w:rPr>
              <w:t>3</w:t>
            </w:r>
            <w:r>
              <w:rPr>
                <w:rFonts w:hint="eastAsia" w:ascii="仿宋_GB2312" w:eastAsia="仿宋_GB2312" w:cs="仿宋_GB2312"/>
                <w:kern w:val="0"/>
                <w:sz w:val="24"/>
                <w:szCs w:val="24"/>
                <w:lang w:bidi="ar-SA"/>
              </w:rPr>
              <w:t>.建立与上级对口医疗机构发热门诊的对接联动机制</w:t>
            </w:r>
            <w:r>
              <w:rPr>
                <w:rFonts w:hint="eastAsia" w:ascii="仿宋_GB2312" w:eastAsia="仿宋_GB2312" w:cs="仿宋_GB2312"/>
                <w:kern w:val="0"/>
                <w:sz w:val="24"/>
                <w:szCs w:val="24"/>
                <w:lang w:eastAsia="zh-CN" w:bidi="ar-SA"/>
              </w:rPr>
              <w:t>。</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val="en-US" w:eastAsia="zh-CN" w:bidi="ar-SA"/>
              </w:rPr>
              <w:t>4</w:t>
            </w:r>
            <w:r>
              <w:rPr>
                <w:rFonts w:hint="eastAsia" w:ascii="仿宋_GB2312" w:eastAsia="仿宋_GB2312" w:cs="仿宋_GB2312"/>
                <w:kern w:val="0"/>
                <w:sz w:val="24"/>
                <w:szCs w:val="24"/>
                <w:lang w:bidi="ar-SA"/>
              </w:rPr>
              <w:t>.每天对工作人员全员体温和呼吸道症状监测。</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exact"/>
        </w:trPr>
        <w:tc>
          <w:tcPr>
            <w:tcW w:w="950" w:type="dxa"/>
            <w:vMerge w:val="continue"/>
            <w:noWrap w:val="0"/>
            <w:vAlign w:val="center"/>
          </w:tcPr>
          <w:p/>
        </w:tc>
        <w:tc>
          <w:tcPr>
            <w:tcW w:w="10080" w:type="dxa"/>
            <w:noWrap w:val="0"/>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val="en-US" w:eastAsia="zh-CN" w:bidi="ar-SA"/>
              </w:rPr>
              <w:t>5</w:t>
            </w:r>
            <w:r>
              <w:rPr>
                <w:rFonts w:hint="eastAsia" w:ascii="仿宋_GB2312" w:eastAsia="仿宋_GB2312" w:cs="仿宋_GB2312"/>
                <w:kern w:val="0"/>
                <w:sz w:val="24"/>
                <w:szCs w:val="24"/>
                <w:lang w:bidi="ar-SA"/>
              </w:rPr>
              <w:t>.对医务人员在规范检测、接诊转诊、传染病相关法律法规和知识技能以及院感防控等方面进行全员培训。</w:t>
            </w:r>
          </w:p>
        </w:tc>
        <w:tc>
          <w:tcPr>
            <w:tcW w:w="2880" w:type="dxa"/>
            <w:noWrap w:val="0"/>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vAlign w:val="center"/>
          </w:tcPr>
          <w:p/>
        </w:tc>
        <w:tc>
          <w:tcPr>
            <w:tcW w:w="10080" w:type="dxa"/>
            <w:noWrap w:val="0"/>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bidi="ar-SA"/>
              </w:rPr>
              <w:t>6</w:t>
            </w:r>
            <w:r>
              <w:rPr>
                <w:rFonts w:hint="eastAsia" w:ascii="仿宋_GB2312" w:eastAsia="仿宋_GB2312" w:cs="仿宋_GB2312"/>
                <w:kern w:val="0"/>
                <w:sz w:val="24"/>
                <w:szCs w:val="24"/>
                <w:lang w:bidi="ar-SA"/>
              </w:rPr>
              <w:t>.</w:t>
            </w:r>
            <w:r>
              <w:rPr>
                <w:rFonts w:hint="eastAsia" w:ascii="仿宋_GB2312" w:eastAsia="仿宋_GB2312" w:cs="仿宋_GB2312"/>
                <w:kern w:val="0"/>
                <w:sz w:val="24"/>
                <w:szCs w:val="24"/>
                <w:lang w:eastAsia="zh-CN" w:bidi="ar-SA"/>
              </w:rPr>
              <w:t>乡镇卫生院和社区卫生服务中心（站）</w:t>
            </w:r>
            <w:r>
              <w:rPr>
                <w:rFonts w:hint="eastAsia" w:ascii="仿宋_GB2312" w:eastAsia="仿宋_GB2312" w:cs="仿宋_GB2312"/>
                <w:kern w:val="0"/>
                <w:sz w:val="24"/>
                <w:szCs w:val="24"/>
                <w:lang w:bidi="ar-SA"/>
              </w:rPr>
              <w:t>针对辖区内乡村医生开展疫情防控知识培训。</w:t>
            </w:r>
          </w:p>
        </w:tc>
        <w:tc>
          <w:tcPr>
            <w:tcW w:w="2880" w:type="dxa"/>
            <w:noWrap w:val="0"/>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lang w:bidi="ar-SA"/>
              </w:rPr>
              <w:t xml:space="preserve"> 合理缺项□</w:t>
            </w:r>
          </w:p>
        </w:tc>
        <w:tc>
          <w:tcPr>
            <w:tcW w:w="105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vAlign w:val="center"/>
          </w:tcPr>
          <w:p/>
        </w:tc>
        <w:tc>
          <w:tcPr>
            <w:tcW w:w="10080" w:type="dxa"/>
            <w:noWrap w:val="0"/>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val="en-US" w:eastAsia="zh-CN" w:bidi="ar-SA"/>
              </w:rPr>
              <w:t>7</w:t>
            </w:r>
            <w:r>
              <w:rPr>
                <w:rFonts w:hint="eastAsia" w:ascii="仿宋_GB2312" w:eastAsia="仿宋_GB2312" w:cs="仿宋_GB2312"/>
                <w:kern w:val="0"/>
                <w:sz w:val="24"/>
                <w:szCs w:val="24"/>
                <w:lang w:bidi="ar-SA"/>
              </w:rPr>
              <w:t>.制定本单位疫情防控和应急处置预案是否科学、规范，发生疫情能否及时响应。</w:t>
            </w:r>
          </w:p>
        </w:tc>
        <w:tc>
          <w:tcPr>
            <w:tcW w:w="2880" w:type="dxa"/>
            <w:noWrap w:val="0"/>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vAlign w:val="center"/>
          </w:tcPr>
          <w:p/>
        </w:tc>
        <w:tc>
          <w:tcPr>
            <w:tcW w:w="10080" w:type="dxa"/>
            <w:noWrap w:val="0"/>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bidi="ar-SA"/>
              </w:rPr>
              <w:t>8</w:t>
            </w:r>
            <w:r>
              <w:rPr>
                <w:rFonts w:hint="eastAsia" w:ascii="仿宋_GB2312" w:eastAsia="仿宋_GB2312" w:cs="仿宋_GB2312"/>
                <w:kern w:val="0"/>
                <w:sz w:val="24"/>
                <w:szCs w:val="24"/>
                <w:lang w:bidi="ar-SA"/>
              </w:rPr>
              <w:t>.制定CT检查预案，合理规划检查路线、设置专用候诊区域</w:t>
            </w:r>
            <w:r>
              <w:rPr>
                <w:rFonts w:hint="eastAsia" w:ascii="仿宋_GB2312" w:eastAsia="仿宋_GB2312" w:cs="仿宋_GB2312"/>
                <w:kern w:val="0"/>
                <w:sz w:val="24"/>
                <w:szCs w:val="24"/>
                <w:lang w:eastAsia="zh-CN" w:bidi="ar-SA"/>
              </w:rPr>
              <w:t>。</w:t>
            </w:r>
          </w:p>
        </w:tc>
        <w:tc>
          <w:tcPr>
            <w:tcW w:w="2880" w:type="dxa"/>
            <w:noWrap w:val="0"/>
            <w:vAlign w:val="center"/>
          </w:tcPr>
          <w:p>
            <w:pPr>
              <w:spacing w:line="360" w:lineRule="exact"/>
              <w:ind w:left="105" w:leftChars="50" w:right="105" w:rightChars="50"/>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color w:val="auto"/>
                <w:kern w:val="0"/>
                <w:sz w:val="24"/>
                <w:szCs w:val="22"/>
                <w:lang w:val="en-US" w:eastAsia="zh-CN" w:bidi="ar-SA"/>
              </w:rPr>
            </w:pPr>
            <w:r>
              <w:rPr>
                <w:rFonts w:hint="eastAsia" w:ascii="仿宋_GB2312" w:eastAsia="仿宋_GB2312" w:cs="仿宋_GB2312"/>
                <w:color w:val="auto"/>
                <w:kern w:val="0"/>
                <w:sz w:val="24"/>
                <w:lang w:bidi="ar-SA"/>
              </w:rPr>
              <w:t>9、新住院的病人和陪人查验核酸阴性报告单。</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2"/>
                <w:lang w:val="en-US" w:eastAsia="zh-CN" w:bidi="ar-SA"/>
              </w:rPr>
            </w:pPr>
            <w:r>
              <w:rPr>
                <w:rFonts w:hint="eastAsia" w:ascii="仿宋_GB2312" w:eastAsia="仿宋_GB2312" w:cs="仿宋_GB2312"/>
                <w:kern w:val="0"/>
                <w:sz w:val="24"/>
                <w:lang w:bidi="ar-SA"/>
              </w:rPr>
              <w:t>是□  否□</w:t>
            </w:r>
            <w:r>
              <w:rPr>
                <w:rFonts w:hint="eastAsia" w:ascii="仿宋_GB2312" w:eastAsia="仿宋_GB2312" w:cs="仿宋_GB2312"/>
                <w:kern w:val="0"/>
                <w:sz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val="en-US" w:eastAsia="zh-CN" w:bidi="ar-SA"/>
              </w:rPr>
              <w:t>9</w:t>
            </w:r>
            <w:r>
              <w:rPr>
                <w:rFonts w:hint="eastAsia" w:ascii="仿宋_GB2312" w:eastAsia="仿宋_GB2312" w:cs="仿宋_GB2312"/>
                <w:kern w:val="0"/>
                <w:sz w:val="24"/>
                <w:szCs w:val="24"/>
                <w:lang w:bidi="ar-SA"/>
              </w:rPr>
              <w:t>.预检分诊工作人员防护符合要求</w:t>
            </w:r>
          </w:p>
        </w:tc>
        <w:tc>
          <w:tcPr>
            <w:tcW w:w="2880" w:type="dxa"/>
            <w:noWrap w:val="0"/>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val="en-US" w:eastAsia="zh-CN" w:bidi="ar-SA"/>
              </w:rPr>
              <w:t>11</w:t>
            </w:r>
            <w:r>
              <w:rPr>
                <w:rFonts w:hint="eastAsia" w:ascii="仿宋_GB2312" w:eastAsia="仿宋_GB2312" w:cs="仿宋_GB2312"/>
                <w:kern w:val="0"/>
                <w:sz w:val="24"/>
                <w:szCs w:val="24"/>
                <w:lang w:bidi="ar-SA"/>
              </w:rPr>
              <w:t>.发热哨点诊室及采样点工作人员防护符合要求</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val="en-US" w:eastAsia="zh-CN" w:bidi="ar-SA"/>
              </w:rPr>
              <w:t>12</w:t>
            </w:r>
            <w:r>
              <w:rPr>
                <w:rFonts w:hint="eastAsia" w:ascii="仿宋_GB2312" w:eastAsia="仿宋_GB2312" w:cs="仿宋_GB2312"/>
                <w:kern w:val="0"/>
                <w:sz w:val="24"/>
                <w:szCs w:val="24"/>
                <w:lang w:bidi="ar-SA"/>
              </w:rPr>
              <w:t>.医疗废物</w:t>
            </w:r>
            <w:r>
              <w:rPr>
                <w:rFonts w:hint="eastAsia" w:ascii="仿宋_GB2312" w:eastAsia="仿宋_GB2312" w:cs="仿宋_GB2312"/>
                <w:kern w:val="0"/>
                <w:sz w:val="24"/>
                <w:szCs w:val="24"/>
                <w:lang w:eastAsia="zh-CN" w:bidi="ar-SA"/>
              </w:rPr>
              <w:t>分类、</w:t>
            </w:r>
            <w:r>
              <w:rPr>
                <w:rFonts w:hint="eastAsia" w:ascii="仿宋_GB2312" w:eastAsia="仿宋_GB2312" w:cs="仿宋_GB2312"/>
                <w:kern w:val="0"/>
                <w:sz w:val="24"/>
                <w:szCs w:val="24"/>
                <w:lang w:bidi="ar-SA"/>
              </w:rPr>
              <w:t>交接、运送、暂存及处置是否符合要求处置是否符合要求</w:t>
            </w:r>
            <w:r>
              <w:rPr>
                <w:rFonts w:hint="eastAsia" w:ascii="仿宋_GB2312" w:eastAsia="仿宋_GB2312" w:cs="仿宋_GB2312"/>
                <w:kern w:val="0"/>
                <w:sz w:val="24"/>
                <w:szCs w:val="24"/>
                <w:lang w:eastAsia="zh-CN" w:bidi="ar-SA"/>
              </w:rPr>
              <w:t>。</w:t>
            </w:r>
          </w:p>
        </w:tc>
        <w:tc>
          <w:tcPr>
            <w:tcW w:w="2880" w:type="dxa"/>
            <w:noWrap w:val="0"/>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950" w:type="dxa"/>
            <w:vMerge w:val="restart"/>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lang w:bidi="ar-SA"/>
              </w:rPr>
            </w:pPr>
            <w:r>
              <w:rPr>
                <w:rFonts w:hint="eastAsia" w:ascii="仿宋_GB2312" w:eastAsia="仿宋_GB2312" w:cs="仿宋_GB2312"/>
                <w:b/>
                <w:kern w:val="0"/>
                <w:sz w:val="24"/>
                <w:szCs w:val="24"/>
                <w:lang w:bidi="ar-SA"/>
              </w:rPr>
              <w:t>（</w:t>
            </w:r>
            <w:r>
              <w:rPr>
                <w:rFonts w:hint="eastAsia" w:ascii="仿宋_GB2312" w:eastAsia="仿宋_GB2312" w:cs="仿宋_GB2312"/>
                <w:b/>
                <w:kern w:val="0"/>
                <w:sz w:val="24"/>
                <w:szCs w:val="24"/>
                <w:lang w:eastAsia="zh-CN" w:bidi="ar-SA"/>
              </w:rPr>
              <w:t>二</w:t>
            </w:r>
            <w:r>
              <w:rPr>
                <w:rFonts w:hint="eastAsia" w:ascii="仿宋_GB2312" w:eastAsia="仿宋_GB2312" w:cs="仿宋_GB2312"/>
                <w:b/>
                <w:kern w:val="0"/>
                <w:sz w:val="24"/>
                <w:szCs w:val="24"/>
                <w:lang w:bidi="ar-SA"/>
              </w:rPr>
              <w:t>）</w:t>
            </w:r>
          </w:p>
          <w:p>
            <w:pPr>
              <w:widowControl/>
              <w:spacing w:line="360" w:lineRule="exact"/>
              <w:ind w:left="105" w:leftChars="50" w:right="105" w:rightChars="50"/>
              <w:jc w:val="center"/>
              <w:textAlignment w:val="center"/>
              <w:rPr>
                <w:rFonts w:hint="eastAsia" w:ascii="仿宋_GB2312" w:eastAsia="仿宋_GB2312" w:cs="仿宋_GB2312"/>
                <w:b/>
                <w:kern w:val="0"/>
                <w:sz w:val="24"/>
                <w:szCs w:val="24"/>
                <w:lang w:bidi="ar-SA"/>
              </w:rPr>
            </w:pPr>
            <w:r>
              <w:rPr>
                <w:rFonts w:hint="eastAsia" w:ascii="仿宋_GB2312" w:eastAsia="仿宋_GB2312" w:cs="仿宋_GB2312"/>
                <w:b/>
                <w:kern w:val="0"/>
                <w:sz w:val="24"/>
                <w:szCs w:val="24"/>
                <w:lang w:bidi="ar-SA"/>
              </w:rPr>
              <w:t>预检</w:t>
            </w:r>
          </w:p>
          <w:p>
            <w:pPr>
              <w:widowControl/>
              <w:spacing w:line="360" w:lineRule="exact"/>
              <w:ind w:left="105" w:leftChars="50" w:right="105" w:rightChars="50"/>
              <w:jc w:val="center"/>
              <w:textAlignment w:val="center"/>
              <w:rPr>
                <w:rFonts w:hint="eastAsia" w:ascii="仿宋_GB2312" w:eastAsia="仿宋_GB2312" w:cs="仿宋_GB2312"/>
                <w:b/>
                <w:sz w:val="24"/>
                <w:szCs w:val="24"/>
                <w:lang w:bidi="ar-SA"/>
              </w:rPr>
            </w:pPr>
            <w:r>
              <w:rPr>
                <w:rFonts w:hint="eastAsia" w:ascii="仿宋_GB2312" w:eastAsia="仿宋_GB2312" w:cs="仿宋_GB2312"/>
                <w:b/>
                <w:kern w:val="0"/>
                <w:sz w:val="24"/>
                <w:szCs w:val="24"/>
                <w:lang w:bidi="ar-SA"/>
              </w:rPr>
              <w:t>分诊点</w:t>
            </w: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1.医疗机构所有入口设测体温处，如有多个出入口，测体温处医务人员应将发热和有流行病学史人员引导到预检分诊点分诊</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restart"/>
            <w:noWrap w:val="0"/>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2.标识清楚醒目，并在医疗机构大门出入口有发热门诊（发热哨点诊室）位置、接诊范围、注意事项等</w:t>
            </w:r>
          </w:p>
        </w:tc>
        <w:tc>
          <w:tcPr>
            <w:tcW w:w="2880" w:type="dxa"/>
            <w:noWrap w:val="0"/>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3.预检分诊点配备快速手消液、一次性手套、医用口罩、测体温设备（施）；配备有发热患者用的口罩、体温表（非接触式）、手卫生设施、医疗废物桶、疑似患者基本情况登记表 、流行病学调查材料等</w:t>
            </w:r>
          </w:p>
        </w:tc>
        <w:tc>
          <w:tcPr>
            <w:tcW w:w="2880" w:type="dxa"/>
            <w:noWrap w:val="0"/>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sz w:val="24"/>
                <w:szCs w:val="24"/>
                <w:lang w:bidi="ar-SA"/>
              </w:rPr>
              <w:t>4.预检分诊处至少安排一名有一定临床经验，经传染病诊疗培训的医护人员值守。</w:t>
            </w:r>
          </w:p>
        </w:tc>
        <w:tc>
          <w:tcPr>
            <w:tcW w:w="2880" w:type="dxa"/>
            <w:noWrap w:val="0"/>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5.进入医疗机构的所有人员佩戴口罩、测量体温、</w:t>
            </w:r>
            <w:r>
              <w:rPr>
                <w:rFonts w:hint="eastAsia" w:ascii="仿宋_GB2312" w:eastAsia="仿宋_GB2312" w:cs="仿宋_GB2312"/>
                <w:sz w:val="24"/>
                <w:szCs w:val="24"/>
                <w:lang w:bidi="ar-SA"/>
              </w:rPr>
              <w:t>必须扫健康码。</w:t>
            </w:r>
            <w:r>
              <w:rPr>
                <w:rFonts w:hint="eastAsia" w:ascii="仿宋_GB2312" w:eastAsia="仿宋_GB2312" w:cs="仿宋_GB2312"/>
                <w:kern w:val="0"/>
                <w:sz w:val="24"/>
                <w:szCs w:val="24"/>
                <w:lang w:bidi="ar-SA"/>
              </w:rPr>
              <w:t>填写流行病学调查表。当体温≥37.3℃或有流行病学史时，由预检分诊人员引导患者通过专用通道进入发热哨点诊室就诊，进一步筛查和处置。</w:t>
            </w:r>
          </w:p>
        </w:tc>
        <w:tc>
          <w:tcPr>
            <w:tcW w:w="2880" w:type="dxa"/>
            <w:noWrap w:val="0"/>
            <w:tcMar>
              <w:top w:w="15" w:type="dxa"/>
              <w:left w:w="15" w:type="dxa"/>
              <w:right w:w="15" w:type="dxa"/>
            </w:tcMar>
            <w:vAlign w:val="center"/>
          </w:tcPr>
          <w:p>
            <w:pPr>
              <w:widowControl/>
              <w:spacing w:line="360" w:lineRule="exact"/>
              <w:ind w:left="105" w:leftChars="50" w:right="105" w:rightChars="50"/>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2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6.预检分诊处有消毒记录</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950" w:type="dxa"/>
            <w:vMerge w:val="restart"/>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sz w:val="24"/>
                <w:szCs w:val="24"/>
                <w:lang w:bidi="ar-SA"/>
              </w:rPr>
            </w:pPr>
            <w:r>
              <w:rPr>
                <w:rFonts w:hint="eastAsia" w:ascii="仿宋_GB2312" w:eastAsia="仿宋_GB2312" w:cs="仿宋_GB2312"/>
                <w:b/>
                <w:kern w:val="0"/>
                <w:sz w:val="24"/>
                <w:szCs w:val="24"/>
                <w:lang w:bidi="ar-SA"/>
              </w:rPr>
              <w:t>（</w:t>
            </w:r>
            <w:r>
              <w:rPr>
                <w:rFonts w:hint="eastAsia" w:ascii="仿宋_GB2312" w:eastAsia="仿宋_GB2312" w:cs="仿宋_GB2312"/>
                <w:b/>
                <w:kern w:val="0"/>
                <w:sz w:val="24"/>
                <w:szCs w:val="24"/>
                <w:lang w:val="en-US" w:eastAsia="zh-CN" w:bidi="ar-SA"/>
              </w:rPr>
              <w:t>三</w:t>
            </w:r>
            <w:r>
              <w:rPr>
                <w:rFonts w:hint="eastAsia" w:ascii="仿宋_GB2312" w:eastAsia="仿宋_GB2312" w:cs="仿宋_GB2312"/>
                <w:b/>
                <w:kern w:val="0"/>
                <w:sz w:val="24"/>
                <w:szCs w:val="24"/>
                <w:lang w:bidi="ar-SA"/>
              </w:rPr>
              <w:t>）发热哨点诊室</w:t>
            </w: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val="en-US" w:eastAsia="zh-CN" w:bidi="ar-SA"/>
              </w:rPr>
              <w:t>1</w:t>
            </w:r>
            <w:r>
              <w:rPr>
                <w:rFonts w:hint="eastAsia" w:ascii="仿宋_GB2312" w:eastAsia="仿宋_GB2312" w:cs="仿宋_GB2312"/>
                <w:kern w:val="0"/>
                <w:sz w:val="24"/>
                <w:szCs w:val="24"/>
                <w:lang w:bidi="ar-SA"/>
              </w:rPr>
              <w:t>.</w:t>
            </w:r>
            <w:r>
              <w:rPr>
                <w:rFonts w:hint="eastAsia" w:ascii="仿宋_GB2312" w:eastAsia="仿宋_GB2312" w:cs="仿宋_GB2312"/>
                <w:sz w:val="24"/>
                <w:szCs w:val="24"/>
                <w:lang w:bidi="ar-SA"/>
              </w:rPr>
              <w:t>严格执行首诊负责制，不得</w:t>
            </w:r>
            <w:r>
              <w:rPr>
                <w:rFonts w:hint="eastAsia" w:ascii="仿宋_GB2312" w:eastAsia="仿宋_GB2312" w:cs="仿宋_GB2312"/>
                <w:sz w:val="24"/>
                <w:szCs w:val="24"/>
                <w:lang w:eastAsia="zh-CN" w:bidi="ar-SA"/>
              </w:rPr>
              <w:t>推诿病人，对</w:t>
            </w:r>
            <w:r>
              <w:rPr>
                <w:rFonts w:hint="eastAsia" w:ascii="仿宋_GB2312" w:eastAsia="仿宋_GB2312" w:cs="仿宋_GB2312"/>
                <w:color w:val="auto"/>
                <w:kern w:val="0"/>
                <w:sz w:val="24"/>
                <w:lang w:val="en-US" w:eastAsia="zh-CN" w:bidi="ar-SA"/>
              </w:rPr>
              <w:t>新冠肺炎相关症状患者做好闭环管理和信息登记，引导其到发热门诊，未设置发热门诊的按照规范转诊流程将病人转诊。</w:t>
            </w:r>
          </w:p>
        </w:tc>
        <w:tc>
          <w:tcPr>
            <w:tcW w:w="2880" w:type="dxa"/>
            <w:noWrap w:val="0"/>
            <w:tcMar>
              <w:top w:w="15" w:type="dxa"/>
              <w:left w:w="15" w:type="dxa"/>
              <w:right w:w="15" w:type="dxa"/>
            </w:tcMar>
            <w:vAlign w:val="center"/>
          </w:tcPr>
          <w:p>
            <w:pPr>
              <w:spacing w:line="360" w:lineRule="exact"/>
              <w:ind w:firstLine="120" w:firstLineChars="50"/>
              <w:rPr>
                <w:rFonts w:hint="eastAsia" w:ascii="等线" w:hAnsi="等线" w:eastAsia="仿宋_GB2312" w:cs="Arial"/>
                <w:kern w:val="2"/>
                <w:sz w:val="21"/>
                <w:szCs w:val="22"/>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p>
        </w:tc>
        <w:tc>
          <w:tcPr>
            <w:tcW w:w="1050" w:type="dxa"/>
            <w:noWrap w:val="0"/>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val="en-US" w:eastAsia="zh-CN" w:bidi="ar-SA"/>
              </w:rPr>
              <w:t>2</w:t>
            </w:r>
            <w:r>
              <w:rPr>
                <w:rFonts w:hint="eastAsia" w:ascii="仿宋_GB2312" w:eastAsia="仿宋_GB2312" w:cs="仿宋_GB2312"/>
                <w:kern w:val="0"/>
                <w:sz w:val="24"/>
                <w:szCs w:val="24"/>
                <w:lang w:bidi="ar-SA"/>
              </w:rPr>
              <w:t xml:space="preserve">.发热门诊（发热哨点诊室）设置在医疗机构内相对独立区域，通风良好，有条件的应设立符合 “三区两通道”功能用房。 </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restart"/>
            <w:noWrap w:val="0"/>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val="en-US" w:eastAsia="zh-CN" w:bidi="ar-SA"/>
              </w:rPr>
              <w:t>3</w:t>
            </w:r>
            <w:r>
              <w:rPr>
                <w:rFonts w:hint="eastAsia" w:ascii="仿宋_GB2312" w:eastAsia="仿宋_GB2312" w:cs="仿宋_GB2312"/>
                <w:kern w:val="0"/>
                <w:sz w:val="24"/>
                <w:szCs w:val="24"/>
                <w:lang w:bidi="ar-SA"/>
              </w:rPr>
              <w:t>.发热哨点诊室出入口与普通门诊急诊及其他诊疗区域分设，不共用通道。</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50" w:type="dxa"/>
            <w:vMerge w:val="restart"/>
            <w:noWrap w:val="0"/>
            <w:tcMar>
              <w:top w:w="15" w:type="dxa"/>
              <w:left w:w="15" w:type="dxa"/>
              <w:right w:w="15" w:type="dxa"/>
            </w:tcMar>
            <w:vAlign w:val="center"/>
          </w:tcPr>
          <w:p>
            <w:pPr>
              <w:widowControl/>
              <w:spacing w:line="360" w:lineRule="exact"/>
              <w:ind w:left="105" w:leftChars="50" w:right="105" w:rightChars="50"/>
              <w:jc w:val="center"/>
              <w:textAlignment w:val="center"/>
            </w:pPr>
            <w:r>
              <w:rPr>
                <w:rFonts w:hint="eastAsia" w:ascii="仿宋_GB2312" w:eastAsia="仿宋_GB2312" w:cs="仿宋_GB2312"/>
                <w:b/>
                <w:kern w:val="0"/>
                <w:sz w:val="24"/>
                <w:szCs w:val="24"/>
                <w:lang w:bidi="ar-SA"/>
              </w:rPr>
              <w:t>（</w:t>
            </w:r>
            <w:r>
              <w:rPr>
                <w:rFonts w:hint="eastAsia" w:ascii="仿宋_GB2312" w:eastAsia="仿宋_GB2312" w:cs="仿宋_GB2312"/>
                <w:b/>
                <w:kern w:val="0"/>
                <w:sz w:val="24"/>
                <w:szCs w:val="24"/>
                <w:lang w:val="en-US" w:eastAsia="zh-CN" w:bidi="ar-SA"/>
              </w:rPr>
              <w:t>三</w:t>
            </w:r>
            <w:r>
              <w:rPr>
                <w:rFonts w:hint="eastAsia" w:ascii="仿宋_GB2312" w:eastAsia="仿宋_GB2312" w:cs="仿宋_GB2312"/>
                <w:b/>
                <w:kern w:val="0"/>
                <w:sz w:val="24"/>
                <w:szCs w:val="24"/>
                <w:lang w:bidi="ar-SA"/>
              </w:rPr>
              <w:t>）发热哨点诊室</w:t>
            </w: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val="en-US" w:eastAsia="zh-CN" w:bidi="ar-SA"/>
              </w:rPr>
              <w:t>4</w:t>
            </w:r>
            <w:r>
              <w:rPr>
                <w:rFonts w:hint="eastAsia" w:ascii="仿宋_GB2312" w:eastAsia="仿宋_GB2312" w:cs="仿宋_GB2312"/>
                <w:kern w:val="0"/>
                <w:sz w:val="24"/>
                <w:szCs w:val="24"/>
                <w:lang w:bidi="ar-SA"/>
              </w:rPr>
              <w:t>.配有独立的空调系统，发热门诊至少配1间诊室和1间留观隔离室。并根据实际条件设置更衣休息区、检测采样点。</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val="en-US" w:eastAsia="zh-CN" w:bidi="ar-SA"/>
              </w:rPr>
              <w:t>5</w:t>
            </w:r>
            <w:r>
              <w:rPr>
                <w:rFonts w:hint="eastAsia" w:ascii="仿宋_GB2312" w:eastAsia="仿宋_GB2312" w:cs="仿宋_GB2312"/>
                <w:kern w:val="0"/>
                <w:sz w:val="24"/>
                <w:szCs w:val="24"/>
                <w:lang w:bidi="ar-SA"/>
              </w:rPr>
              <w:t>.</w:t>
            </w:r>
            <w:r>
              <w:rPr>
                <w:rFonts w:hint="eastAsia" w:ascii="仿宋_GB2312" w:eastAsia="仿宋_GB2312" w:cs="仿宋_GB2312"/>
                <w:sz w:val="24"/>
                <w:szCs w:val="24"/>
                <w:lang w:bidi="ar-SA"/>
              </w:rPr>
              <w:t>医疗机构所有入口、普通门急诊和其他诊疗区域的显著位置设置“发热哨点诊室”引导标识。</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6</w:t>
            </w:r>
            <w:r>
              <w:rPr>
                <w:rFonts w:hint="eastAsia" w:ascii="仿宋_GB2312" w:eastAsia="仿宋_GB2312" w:cs="仿宋_GB2312"/>
                <w:sz w:val="24"/>
                <w:szCs w:val="24"/>
                <w:lang w:bidi="ar-SA"/>
              </w:rPr>
              <w:t>.发热哨点诊室至少配备1名有一定临床经验、经传染病诊疗培训的高年资医师和一名护理人员。</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7</w:t>
            </w:r>
            <w:r>
              <w:rPr>
                <w:rFonts w:hint="eastAsia" w:ascii="仿宋_GB2312" w:eastAsia="仿宋_GB2312" w:cs="仿宋_GB2312"/>
                <w:sz w:val="24"/>
                <w:szCs w:val="24"/>
                <w:lang w:bidi="ar-SA"/>
              </w:rPr>
              <w:t>.</w:t>
            </w:r>
            <w:r>
              <w:rPr>
                <w:rFonts w:hint="eastAsia" w:ascii="仿宋_GB2312" w:eastAsia="仿宋_GB2312" w:cs="仿宋_GB2312"/>
                <w:kern w:val="0"/>
                <w:sz w:val="24"/>
                <w:szCs w:val="24"/>
                <w:lang w:bidi="ar-SA"/>
              </w:rPr>
              <w:t>进入</w:t>
            </w:r>
            <w:r>
              <w:rPr>
                <w:rFonts w:hint="eastAsia" w:ascii="仿宋_GB2312" w:eastAsia="仿宋_GB2312" w:cs="仿宋_GB2312"/>
                <w:sz w:val="24"/>
                <w:szCs w:val="24"/>
                <w:lang w:bidi="ar-SA"/>
              </w:rPr>
              <w:t>发热哨点诊室</w:t>
            </w:r>
            <w:r>
              <w:rPr>
                <w:rFonts w:hint="eastAsia" w:ascii="仿宋_GB2312" w:eastAsia="仿宋_GB2312" w:cs="仿宋_GB2312"/>
                <w:kern w:val="0"/>
                <w:sz w:val="24"/>
                <w:szCs w:val="24"/>
                <w:lang w:bidi="ar-SA"/>
              </w:rPr>
              <w:t>的患者必须如实填写基本信息、填写流行病调查表。</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8.所有发热患者均进行核酸检测及血常规检查</w:t>
            </w:r>
            <w:r>
              <w:rPr>
                <w:rFonts w:hint="eastAsia" w:ascii="仿宋_GB2312" w:eastAsia="仿宋_GB2312" w:cs="仿宋_GB2312"/>
                <w:kern w:val="0"/>
                <w:sz w:val="24"/>
                <w:szCs w:val="24"/>
                <w:lang w:eastAsia="zh-CN" w:bidi="ar-SA"/>
              </w:rPr>
              <w:t>，并在</w:t>
            </w:r>
            <w:r>
              <w:rPr>
                <w:rFonts w:hint="eastAsia" w:ascii="仿宋_GB2312" w:eastAsia="仿宋_GB2312" w:cs="仿宋_GB2312"/>
                <w:kern w:val="0"/>
                <w:sz w:val="24"/>
                <w:szCs w:val="24"/>
                <w:lang w:val="en-US" w:eastAsia="zh-CN" w:bidi="ar-SA"/>
              </w:rPr>
              <w:t>4-6个小时内反馈结果。</w:t>
            </w:r>
          </w:p>
        </w:tc>
        <w:tc>
          <w:tcPr>
            <w:tcW w:w="2880" w:type="dxa"/>
            <w:noWrap w:val="0"/>
            <w:tcMar>
              <w:top w:w="15" w:type="dxa"/>
              <w:left w:w="15" w:type="dxa"/>
              <w:right w:w="15" w:type="dxa"/>
            </w:tcMar>
            <w:vAlign w:val="center"/>
          </w:tcPr>
          <w:p>
            <w:pPr>
              <w:spacing w:line="360" w:lineRule="exact"/>
              <w:ind w:firstLine="120" w:firstLineChars="50"/>
              <w:rPr>
                <w:rFonts w:hint="eastAsia" w:eastAsia="仿宋_GB2312"/>
                <w:lang w:val="en-US" w:eastAsia="zh-CN"/>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9.发热哨点诊室的医务人员、不明原因的发热患者及陪同人员应与其他诊疗区域人员相对隔离，不允许随意离开本区域来回走动</w:t>
            </w:r>
          </w:p>
        </w:tc>
        <w:tc>
          <w:tcPr>
            <w:tcW w:w="2880" w:type="dxa"/>
            <w:noWrap w:val="0"/>
            <w:tcMar>
              <w:top w:w="15" w:type="dxa"/>
              <w:left w:w="15" w:type="dxa"/>
              <w:right w:w="15" w:type="dxa"/>
            </w:tcMar>
            <w:vAlign w:val="center"/>
          </w:tcPr>
          <w:p>
            <w:pPr>
              <w:spacing w:line="360" w:lineRule="exact"/>
              <w:ind w:firstLine="120" w:firstLineChars="50"/>
              <w:rPr>
                <w:rFonts w:hint="eastAsia" w:eastAsia="仿宋_GB2312"/>
                <w:lang w:val="en-US" w:eastAsia="zh-CN"/>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val="en-US" w:eastAsia="zh-CN" w:bidi="ar-SA"/>
              </w:rPr>
            </w:pPr>
            <w:r>
              <w:rPr>
                <w:rFonts w:hint="eastAsia" w:ascii="仿宋_GB2312" w:eastAsia="仿宋_GB2312" w:cs="仿宋_GB2312"/>
                <w:sz w:val="24"/>
                <w:szCs w:val="24"/>
                <w:lang w:val="en-US" w:eastAsia="zh-CN" w:bidi="ar-SA"/>
              </w:rPr>
              <w:t>10.落实疫情报告制度，发现新冠肺炎疑似病例、确诊病例和无症状感染者后，要于2小时内按程序报告，24小时内完成流行病学调查，按要求转诊至定点医院。</w:t>
            </w:r>
          </w:p>
        </w:tc>
        <w:tc>
          <w:tcPr>
            <w:tcW w:w="2880" w:type="dxa"/>
            <w:noWrap w:val="0"/>
            <w:tcMar>
              <w:top w:w="15" w:type="dxa"/>
              <w:left w:w="15" w:type="dxa"/>
              <w:right w:w="15" w:type="dxa"/>
            </w:tcMar>
            <w:vAlign w:val="center"/>
          </w:tcPr>
          <w:p>
            <w:pPr>
              <w:spacing w:line="360" w:lineRule="exact"/>
              <w:ind w:firstLine="120" w:firstLineChars="50"/>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trPr>
        <w:tc>
          <w:tcPr>
            <w:tcW w:w="950" w:type="dxa"/>
            <w:vMerge w:val="restart"/>
            <w:noWrap w:val="0"/>
            <w:tcMar>
              <w:top w:w="15" w:type="dxa"/>
              <w:left w:w="15" w:type="dxa"/>
              <w:right w:w="15" w:type="dxa"/>
            </w:tcMar>
            <w:vAlign w:val="center"/>
          </w:tcPr>
          <w:p>
            <w:pPr>
              <w:widowControl/>
              <w:spacing w:line="360" w:lineRule="exact"/>
              <w:ind w:left="105" w:leftChars="50" w:right="105" w:rightChars="50"/>
              <w:jc w:val="center"/>
              <w:textAlignment w:val="center"/>
              <w:rPr>
                <w:rFonts w:hint="eastAsia" w:ascii="仿宋_GB2312" w:eastAsia="仿宋_GB2312" w:cs="仿宋_GB2312"/>
                <w:b/>
                <w:kern w:val="0"/>
                <w:sz w:val="24"/>
                <w:szCs w:val="24"/>
                <w:lang w:bidi="ar-SA"/>
              </w:rPr>
            </w:pPr>
            <w:r>
              <w:rPr>
                <w:rFonts w:hint="eastAsia" w:ascii="仿宋_GB2312" w:eastAsia="仿宋_GB2312" w:cs="仿宋_GB2312"/>
                <w:b/>
                <w:kern w:val="0"/>
                <w:sz w:val="24"/>
                <w:szCs w:val="24"/>
                <w:lang w:bidi="ar-SA"/>
              </w:rPr>
              <w:t>（</w:t>
            </w:r>
            <w:r>
              <w:rPr>
                <w:rFonts w:hint="eastAsia" w:ascii="仿宋_GB2312" w:eastAsia="仿宋_GB2312" w:cs="仿宋_GB2312"/>
                <w:b/>
                <w:kern w:val="0"/>
                <w:sz w:val="24"/>
                <w:szCs w:val="24"/>
                <w:lang w:eastAsia="zh-CN" w:bidi="ar-SA"/>
              </w:rPr>
              <w:t>四</w:t>
            </w:r>
            <w:r>
              <w:rPr>
                <w:rFonts w:hint="eastAsia" w:ascii="仿宋_GB2312" w:eastAsia="仿宋_GB2312" w:cs="仿宋_GB2312"/>
                <w:b/>
                <w:kern w:val="0"/>
                <w:sz w:val="24"/>
                <w:szCs w:val="24"/>
                <w:lang w:bidi="ar-SA"/>
              </w:rPr>
              <w:t>）</w:t>
            </w:r>
          </w:p>
          <w:p>
            <w:pPr>
              <w:widowControl/>
              <w:spacing w:line="360" w:lineRule="exact"/>
              <w:ind w:left="105" w:leftChars="50" w:right="105" w:rightChars="50"/>
              <w:jc w:val="center"/>
              <w:textAlignment w:val="center"/>
              <w:rPr>
                <w:rFonts w:hint="eastAsia" w:ascii="仿宋_GB2312" w:eastAsia="仿宋_GB2312" w:cs="仿宋_GB2312"/>
                <w:b/>
                <w:sz w:val="24"/>
                <w:szCs w:val="24"/>
                <w:lang w:bidi="ar-SA"/>
              </w:rPr>
            </w:pPr>
            <w:r>
              <w:rPr>
                <w:rFonts w:hint="eastAsia" w:ascii="仿宋_GB2312" w:eastAsia="仿宋_GB2312" w:cs="仿宋_GB2312"/>
                <w:b/>
                <w:kern w:val="0"/>
                <w:sz w:val="24"/>
                <w:szCs w:val="24"/>
                <w:lang w:bidi="ar-SA"/>
              </w:rPr>
              <w:t>核酸</w:t>
            </w:r>
            <w:r>
              <w:rPr>
                <w:rFonts w:hint="eastAsia" w:ascii="仿宋_GB2312" w:eastAsia="仿宋_GB2312" w:cs="仿宋_GB2312"/>
                <w:b/>
                <w:kern w:val="0"/>
                <w:sz w:val="24"/>
                <w:szCs w:val="24"/>
                <w:lang w:eastAsia="zh-CN" w:bidi="ar-SA"/>
              </w:rPr>
              <w:t>采样</w:t>
            </w:r>
            <w:r>
              <w:rPr>
                <w:rFonts w:hint="eastAsia" w:ascii="仿宋_GB2312" w:eastAsia="仿宋_GB2312" w:cs="仿宋_GB2312"/>
                <w:b/>
                <w:kern w:val="0"/>
                <w:sz w:val="24"/>
                <w:szCs w:val="24"/>
                <w:lang w:bidi="ar-SA"/>
              </w:rPr>
              <w:t>及送检</w:t>
            </w: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1.是否设有核酸采样点；</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restart"/>
            <w:noWrap w:val="0"/>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2</w:t>
            </w:r>
            <w:r>
              <w:rPr>
                <w:rFonts w:hint="eastAsia" w:ascii="仿宋_GB2312" w:eastAsia="仿宋_GB2312" w:cs="仿宋_GB2312"/>
                <w:sz w:val="24"/>
                <w:szCs w:val="24"/>
                <w:lang w:bidi="ar-SA"/>
              </w:rPr>
              <w:t>.从事新冠病毒核酸检测标本采集的技术人员经过生物安全培训（培训合格）</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3</w:t>
            </w:r>
            <w:r>
              <w:rPr>
                <w:rFonts w:hint="eastAsia" w:ascii="仿宋_GB2312" w:eastAsia="仿宋_GB2312" w:cs="仿宋_GB2312"/>
                <w:sz w:val="24"/>
                <w:szCs w:val="24"/>
                <w:lang w:bidi="ar-SA"/>
              </w:rPr>
              <w:t>.核酸检采样人员防护正规。(N95 及以上防护口罩、护目镜、防护服、乳胶手套、防水靴套)</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val="en-US" w:eastAsia="zh-CN" w:bidi="ar-SA"/>
              </w:rPr>
              <w:t>4</w:t>
            </w:r>
            <w:r>
              <w:rPr>
                <w:rFonts w:hint="eastAsia" w:ascii="仿宋_GB2312" w:eastAsia="仿宋_GB2312" w:cs="仿宋_GB2312"/>
                <w:sz w:val="24"/>
                <w:szCs w:val="24"/>
                <w:lang w:bidi="ar-SA"/>
              </w:rPr>
              <w:t>.样本是否按照相应规范专人专车，转运符合生物安全要求</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trPr>
        <w:tc>
          <w:tcPr>
            <w:tcW w:w="950" w:type="dxa"/>
            <w:vMerge w:val="continue"/>
            <w:noWrap w:val="0"/>
            <w:vAlign w:val="center"/>
          </w:tcPr>
          <w:p/>
        </w:tc>
        <w:tc>
          <w:tcPr>
            <w:tcW w:w="10080" w:type="dxa"/>
            <w:noWrap w:val="0"/>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val="en-US" w:eastAsia="zh-CN" w:bidi="ar-SA"/>
              </w:rPr>
              <w:t>5</w:t>
            </w:r>
            <w:r>
              <w:rPr>
                <w:rFonts w:hint="eastAsia" w:ascii="仿宋_GB2312" w:eastAsia="仿宋_GB2312" w:cs="仿宋_GB2312"/>
                <w:kern w:val="0"/>
                <w:sz w:val="24"/>
                <w:szCs w:val="24"/>
                <w:lang w:bidi="ar-SA"/>
              </w:rPr>
              <w:t>.有标本交接记录，有专用转运箱</w:t>
            </w:r>
          </w:p>
        </w:tc>
        <w:tc>
          <w:tcPr>
            <w:tcW w:w="2880" w:type="dxa"/>
            <w:noWrap w:val="0"/>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szCs w:val="24"/>
                <w:lang w:bidi="ar-SA"/>
              </w:rPr>
              <w:t>是□  否□</w:t>
            </w:r>
            <w:r>
              <w:rPr>
                <w:rFonts w:hint="eastAsia" w:ascii="仿宋_GB2312" w:eastAsia="仿宋_GB2312" w:cs="仿宋_GB2312"/>
                <w:kern w:val="0"/>
                <w:sz w:val="24"/>
                <w:szCs w:val="24"/>
                <w:lang w:val="en-US" w:eastAsia="zh-CN" w:bidi="ar-SA"/>
              </w:rPr>
              <w:t xml:space="preserve"> </w:t>
            </w:r>
            <w:r>
              <w:rPr>
                <w:rFonts w:hint="eastAsia" w:ascii="仿宋_GB2312" w:eastAsia="仿宋_GB2312" w:cs="仿宋_GB2312"/>
                <w:kern w:val="0"/>
                <w:sz w:val="24"/>
                <w:lang w:bidi="ar-SA"/>
              </w:rPr>
              <w:t>合理缺项□</w:t>
            </w:r>
          </w:p>
        </w:tc>
        <w:tc>
          <w:tcPr>
            <w:tcW w:w="1050"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trPr>
        <w:tc>
          <w:tcPr>
            <w:tcW w:w="950" w:type="dxa"/>
            <w:vMerge w:val="restart"/>
            <w:noWrap w:val="0"/>
            <w:tcMar>
              <w:top w:w="15" w:type="dxa"/>
              <w:left w:w="15" w:type="dxa"/>
              <w:right w:w="15" w:type="dxa"/>
            </w:tcMar>
            <w:vAlign w:val="center"/>
          </w:tcPr>
          <w:p>
            <w:pPr>
              <w:spacing w:line="360" w:lineRule="exact"/>
              <w:ind w:left="105" w:leftChars="50" w:right="105" w:rightChars="50"/>
              <w:jc w:val="center"/>
              <w:rPr>
                <w:rFonts w:hint="eastAsia" w:ascii="仿宋_GB2312" w:eastAsia="仿宋_GB2312" w:cs="仿宋_GB2312"/>
                <w:b/>
                <w:sz w:val="24"/>
                <w:szCs w:val="24"/>
                <w:lang w:bidi="ar-SA"/>
              </w:rPr>
            </w:pPr>
            <w:r>
              <w:rPr>
                <w:rFonts w:hint="eastAsia" w:ascii="仿宋_GB2312" w:eastAsia="仿宋_GB2312" w:cs="仿宋_GB2312"/>
                <w:b/>
                <w:sz w:val="24"/>
                <w:szCs w:val="24"/>
                <w:lang w:bidi="ar-SA"/>
              </w:rPr>
              <w:t>（</w:t>
            </w:r>
            <w:r>
              <w:rPr>
                <w:rFonts w:hint="eastAsia" w:ascii="仿宋_GB2312" w:eastAsia="仿宋_GB2312" w:cs="仿宋_GB2312"/>
                <w:b/>
                <w:sz w:val="24"/>
                <w:szCs w:val="24"/>
                <w:lang w:eastAsia="zh-CN" w:bidi="ar-SA"/>
              </w:rPr>
              <w:t>五</w:t>
            </w:r>
            <w:r>
              <w:rPr>
                <w:rFonts w:hint="eastAsia" w:ascii="仿宋_GB2312" w:eastAsia="仿宋_GB2312" w:cs="仿宋_GB2312"/>
                <w:b/>
                <w:sz w:val="24"/>
                <w:szCs w:val="24"/>
                <w:lang w:bidi="ar-SA"/>
              </w:rPr>
              <w:t>）疑似患者的转运</w:t>
            </w: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1.是否对新冠疑似患者做好登记，按要求上报指定部门，由指定部门负责联系120或专用车辆，做好转诊记录</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restart"/>
            <w:noWrap w:val="0"/>
            <w:tcMar>
              <w:top w:w="15" w:type="dxa"/>
              <w:left w:w="15" w:type="dxa"/>
              <w:right w:w="15" w:type="dxa"/>
            </w:tcMar>
            <w:vAlign w:val="center"/>
          </w:tcPr>
          <w:p>
            <w:pPr>
              <w:spacing w:line="360" w:lineRule="exact"/>
              <w:ind w:left="105" w:leftChars="50" w:right="105" w:rightChars="50"/>
              <w:rPr>
                <w:rFonts w:hint="eastAsia" w:ascii="仿宋_GB2312" w:eastAsia="仿宋_GB2312" w:cs="仿宋_GB2312"/>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2.有重症高危因素或病情进展迅速的患者，是否及时转至有条件的医院进一步治疗</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3.转诊后，由诊室医务人员对诊室及相关区域进行终末消毒</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950" w:type="dxa"/>
            <w:vMerge w:val="continue"/>
            <w:noWrap w:val="0"/>
            <w:tcMar>
              <w:top w:w="15" w:type="dxa"/>
              <w:left w:w="15" w:type="dxa"/>
              <w:right w:w="15" w:type="dxa"/>
            </w:tcMar>
            <w:vAlign w:val="center"/>
          </w:tcPr>
          <w:p/>
        </w:tc>
        <w:tc>
          <w:tcPr>
            <w:tcW w:w="10080" w:type="dxa"/>
            <w:noWrap w:val="0"/>
            <w:tcMar>
              <w:top w:w="15" w:type="dxa"/>
              <w:left w:w="15" w:type="dxa"/>
              <w:right w:w="15" w:type="dxa"/>
            </w:tcMar>
            <w:vAlign w:val="center"/>
          </w:tcPr>
          <w:p>
            <w:pPr>
              <w:widowControl/>
              <w:spacing w:line="360" w:lineRule="exact"/>
              <w:ind w:left="105" w:leftChars="50" w:right="105" w:rightChars="50"/>
              <w:jc w:val="left"/>
              <w:textAlignment w:val="center"/>
              <w:rPr>
                <w:rFonts w:hint="eastAsia" w:ascii="仿宋_GB2312" w:eastAsia="仿宋_GB2312" w:cs="仿宋_GB2312"/>
                <w:sz w:val="24"/>
                <w:szCs w:val="24"/>
                <w:lang w:bidi="ar-SA"/>
              </w:rPr>
            </w:pPr>
            <w:r>
              <w:rPr>
                <w:rFonts w:hint="eastAsia" w:ascii="仿宋_GB2312" w:eastAsia="仿宋_GB2312" w:cs="仿宋_GB2312"/>
                <w:sz w:val="24"/>
                <w:szCs w:val="24"/>
                <w:lang w:bidi="ar-SA"/>
              </w:rPr>
              <w:t>4.与上级医疗机构保持联动，进行信息反馈。</w:t>
            </w:r>
          </w:p>
        </w:tc>
        <w:tc>
          <w:tcPr>
            <w:tcW w:w="2880" w:type="dxa"/>
            <w:noWrap w:val="0"/>
            <w:tcMar>
              <w:top w:w="15" w:type="dxa"/>
              <w:left w:w="15" w:type="dxa"/>
              <w:right w:w="15" w:type="dxa"/>
            </w:tcMar>
            <w:vAlign w:val="center"/>
          </w:tcPr>
          <w:p>
            <w:pPr>
              <w:widowControl/>
              <w:spacing w:line="360" w:lineRule="exact"/>
              <w:ind w:left="105" w:leftChars="50" w:right="105" w:rightChars="50"/>
              <w:textAlignment w:val="center"/>
              <w:rPr>
                <w:rFonts w:hint="eastAsia" w:ascii="仿宋_GB2312" w:eastAsia="仿宋_GB2312" w:cs="仿宋_GB2312"/>
                <w:kern w:val="0"/>
                <w:sz w:val="24"/>
                <w:szCs w:val="24"/>
                <w:lang w:bidi="ar-SA"/>
              </w:rPr>
            </w:pPr>
            <w:r>
              <w:rPr>
                <w:rFonts w:hint="eastAsia" w:ascii="仿宋_GB2312" w:eastAsia="仿宋_GB2312" w:cs="仿宋_GB2312"/>
                <w:kern w:val="0"/>
                <w:sz w:val="24"/>
                <w:szCs w:val="24"/>
                <w:lang w:bidi="ar-SA"/>
              </w:rPr>
              <w:t>是□  否□</w:t>
            </w:r>
          </w:p>
        </w:tc>
        <w:tc>
          <w:tcPr>
            <w:tcW w:w="1050" w:type="dxa"/>
            <w:vMerge w:val="continue"/>
            <w:noWrap w:val="0"/>
            <w:tcMar>
              <w:top w:w="15" w:type="dxa"/>
              <w:left w:w="15" w:type="dxa"/>
              <w:right w:w="15" w:type="dxa"/>
            </w:tcMar>
            <w:vAlign w:val="center"/>
          </w:tcPr>
          <w:p/>
        </w:tc>
      </w:tr>
    </w:tbl>
    <w:p>
      <w:pPr>
        <w:spacing w:line="600" w:lineRule="exact"/>
        <w:ind w:left="105" w:leftChars="50" w:right="105" w:rightChars="50"/>
        <w:rPr>
          <w:rFonts w:hint="eastAsia" w:ascii="仿宋_GB2312" w:eastAsia="仿宋_GB2312" w:cs="仿宋_GB2312"/>
          <w:sz w:val="24"/>
          <w:szCs w:val="24"/>
          <w:lang w:bidi="ar-SA"/>
        </w:rPr>
      </w:pPr>
      <w:r>
        <w:rPr>
          <w:rFonts w:hint="eastAsia" w:ascii="仿宋_GB2312" w:eastAsia="仿宋_GB2312" w:cs="仿宋_GB2312"/>
          <w:sz w:val="24"/>
          <w:szCs w:val="24"/>
          <w:lang w:bidi="ar-SA"/>
        </w:rPr>
        <w:t>陪同检查人（职务）：                         检查人：                          检查日期：      年   月   日</w:t>
      </w:r>
    </w:p>
    <w:p>
      <w:pPr>
        <w:keepNext w:val="0"/>
        <w:keepLines w:val="0"/>
        <w:pageBreakBefore w:val="0"/>
        <w:widowControl/>
        <w:kinsoku/>
        <w:wordWrap/>
        <w:overflowPunct/>
        <w:topLinePunct w:val="0"/>
        <w:autoSpaceDE/>
        <w:autoSpaceDN/>
        <w:bidi w:val="0"/>
        <w:adjustRightInd/>
        <w:snapToGrid/>
        <w:spacing w:line="360" w:lineRule="exact"/>
        <w:ind w:left="105" w:leftChars="50" w:right="105" w:rightChars="50"/>
        <w:textAlignment w:val="auto"/>
        <w:outlineLvl w:val="9"/>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说明：1.未设置发热门诊（发热哨点诊室）、</w:t>
      </w:r>
      <w:r>
        <w:rPr>
          <w:rFonts w:hint="eastAsia" w:ascii="仿宋_GB2312" w:eastAsia="仿宋_GB2312" w:cs="仿宋_GB2312"/>
          <w:kern w:val="0"/>
          <w:sz w:val="24"/>
          <w:szCs w:val="24"/>
          <w:lang w:eastAsia="zh-CN" w:bidi="ar-SA"/>
        </w:rPr>
        <w:t>无住院部、</w:t>
      </w:r>
      <w:r>
        <w:rPr>
          <w:rFonts w:hint="eastAsia" w:ascii="仿宋_GB2312" w:eastAsia="仿宋_GB2312" w:cs="仿宋_GB2312"/>
          <w:kern w:val="0"/>
          <w:sz w:val="24"/>
          <w:szCs w:val="24"/>
          <w:lang w:bidi="ar-SA"/>
        </w:rPr>
        <w:t>未开展核酸检测、CT检查项目的检查内容可合理缺项。</w:t>
      </w:r>
    </w:p>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方正小标宋简体" w:eastAsia="方正小标宋简体" w:cs="宋体"/>
          <w:sz w:val="36"/>
          <w:szCs w:val="36"/>
          <w:lang w:bidi="ar-SA"/>
        </w:rPr>
      </w:pPr>
      <w:r>
        <w:rPr>
          <w:rFonts w:hint="eastAsia" w:ascii="方正小标宋简体" w:eastAsia="方正小标宋简体" w:cs="宋体"/>
          <w:sz w:val="36"/>
          <w:szCs w:val="36"/>
          <w:lang w:bidi="ar-SA"/>
        </w:rPr>
        <w:t xml:space="preserve">    </w:t>
      </w:r>
      <w:r>
        <w:rPr>
          <w:rFonts w:hint="eastAsia" w:ascii="仿宋_GB2312" w:eastAsia="仿宋_GB2312" w:cs="仿宋_GB2312"/>
          <w:kern w:val="0"/>
          <w:sz w:val="24"/>
          <w:szCs w:val="24"/>
          <w:lang w:bidi="ar-SA"/>
        </w:rPr>
        <w:t xml:space="preserve"> 2.各地可结合实际增加监督检查内容。</w:t>
      </w:r>
    </w:p>
    <w:p>
      <w:pPr>
        <w:keepNext w:val="0"/>
        <w:keepLines w:val="0"/>
        <w:pageBreakBefore w:val="0"/>
        <w:kinsoku/>
        <w:wordWrap/>
        <w:overflowPunct/>
        <w:topLinePunct w:val="0"/>
        <w:autoSpaceDE/>
        <w:autoSpaceDN/>
        <w:bidi w:val="0"/>
        <w:adjustRightInd/>
        <w:snapToGrid/>
        <w:spacing w:line="360" w:lineRule="exact"/>
        <w:ind w:right="160"/>
        <w:textAlignment w:val="auto"/>
        <w:outlineLvl w:val="9"/>
        <w:rPr>
          <w:rFonts w:hint="eastAsia" w:ascii="方正小标宋简体" w:eastAsia="方正小标宋简体" w:cs="宋体"/>
          <w:sz w:val="36"/>
          <w:szCs w:val="36"/>
          <w:lang w:bidi="ar-SA"/>
        </w:rPr>
        <w:sectPr>
          <w:pgSz w:w="16838" w:h="11905" w:orient="landscape"/>
          <w:pgMar w:top="1701" w:right="1417" w:bottom="1417" w:left="1417" w:header="851" w:footer="992" w:gutter="0"/>
          <w:pgNumType w:fmt="decimal"/>
          <w:cols w:space="720" w:num="1"/>
          <w:rtlGutter w:val="0"/>
          <w:docGrid w:type="lines" w:linePitch="325" w:charSpace="0"/>
        </w:sectPr>
      </w:pPr>
    </w:p>
    <w:p>
      <w:pPr>
        <w:keepNext w:val="0"/>
        <w:keepLines w:val="0"/>
        <w:pageBreakBefore w:val="0"/>
        <w:widowControl/>
        <w:kinsoku/>
        <w:wordWrap/>
        <w:overflowPunct/>
        <w:topLinePunct w:val="0"/>
        <w:autoSpaceDE/>
        <w:autoSpaceDN/>
        <w:bidi w:val="0"/>
        <w:adjustRightInd/>
        <w:snapToGrid/>
        <w:spacing w:line="500" w:lineRule="exact"/>
        <w:jc w:val="left"/>
        <w:textAlignment w:val="center"/>
        <w:outlineLvl w:val="9"/>
        <w:rPr>
          <w:rFonts w:hint="eastAsia" w:ascii="黑体" w:eastAsia="黑体" w:cs="黑体"/>
          <w:kern w:val="0"/>
          <w:sz w:val="32"/>
          <w:szCs w:val="32"/>
          <w:lang w:val="en-US" w:eastAsia="zh-CN" w:bidi="ar-SA"/>
        </w:rPr>
      </w:pPr>
      <w:r>
        <w:rPr>
          <w:rFonts w:hint="eastAsia" w:ascii="黑体" w:eastAsia="黑体" w:cs="黑体"/>
          <w:kern w:val="0"/>
          <w:sz w:val="32"/>
          <w:szCs w:val="32"/>
          <w:lang w:eastAsia="zh-CN" w:bidi="ar-SA"/>
        </w:rPr>
        <w:t>附件</w:t>
      </w:r>
      <w:r>
        <w:rPr>
          <w:rFonts w:hint="eastAsia" w:ascii="黑体" w:eastAsia="黑体" w:cs="黑体"/>
          <w:kern w:val="0"/>
          <w:sz w:val="32"/>
          <w:szCs w:val="32"/>
          <w:lang w:val="en-US" w:eastAsia="zh-CN" w:bidi="ar-SA"/>
        </w:rPr>
        <w:t>2</w:t>
      </w:r>
    </w:p>
    <w:p>
      <w:pPr>
        <w:keepNext w:val="0"/>
        <w:keepLines w:val="0"/>
        <w:pageBreakBefore w:val="0"/>
        <w:widowControl/>
        <w:kinsoku/>
        <w:wordWrap/>
        <w:overflowPunct/>
        <w:topLinePunct w:val="0"/>
        <w:autoSpaceDE/>
        <w:autoSpaceDN/>
        <w:bidi w:val="0"/>
        <w:adjustRightInd/>
        <w:snapToGrid/>
        <w:spacing w:line="500" w:lineRule="exact"/>
        <w:jc w:val="center"/>
        <w:textAlignment w:val="center"/>
        <w:outlineLvl w:val="9"/>
        <w:rPr>
          <w:rFonts w:hint="eastAsia" w:ascii="方正小标宋简体" w:eastAsia="方正小标宋简体" w:cs="方正小标宋简体"/>
          <w:kern w:val="0"/>
          <w:sz w:val="44"/>
          <w:szCs w:val="44"/>
          <w:lang w:val="en-US" w:eastAsia="zh-CN" w:bidi="ar-SA"/>
        </w:rPr>
      </w:pPr>
      <w:r>
        <w:rPr>
          <w:rFonts w:hint="eastAsia" w:ascii="方正小标宋简体" w:eastAsia="方正小标宋简体" w:cs="方正小标宋简体"/>
          <w:kern w:val="0"/>
          <w:sz w:val="44"/>
          <w:szCs w:val="44"/>
          <w:lang w:bidi="ar-SA"/>
        </w:rPr>
        <w:t>常态化疫情防控专项</w:t>
      </w:r>
      <w:r>
        <w:rPr>
          <w:rFonts w:hint="eastAsia" w:ascii="方正小标宋简体" w:eastAsia="方正小标宋简体" w:cs="方正小标宋简体"/>
          <w:kern w:val="0"/>
          <w:sz w:val="44"/>
          <w:szCs w:val="44"/>
          <w:lang w:eastAsia="zh-CN" w:bidi="ar-SA"/>
        </w:rPr>
        <w:t>执法行动检查</w:t>
      </w:r>
      <w:r>
        <w:rPr>
          <w:rFonts w:hint="eastAsia" w:ascii="方正小标宋简体" w:eastAsia="方正小标宋简体" w:cs="方正小标宋简体"/>
          <w:kern w:val="0"/>
          <w:sz w:val="44"/>
          <w:szCs w:val="44"/>
          <w:lang w:bidi="ar-SA"/>
        </w:rPr>
        <w:t>表</w:t>
      </w:r>
      <w:r>
        <w:rPr>
          <w:rFonts w:hint="eastAsia" w:ascii="方正小标宋简体" w:eastAsia="方正小标宋简体" w:cs="方正小标宋简体"/>
          <w:kern w:val="0"/>
          <w:sz w:val="44"/>
          <w:szCs w:val="44"/>
          <w:lang w:val="en-US" w:eastAsia="zh-CN" w:bidi="ar-SA"/>
        </w:rPr>
        <w:t>2</w:t>
      </w:r>
    </w:p>
    <w:p>
      <w:pPr>
        <w:pStyle w:val="2"/>
        <w:keepNext w:val="0"/>
        <w:keepLines w:val="0"/>
        <w:pageBreakBefore w:val="0"/>
        <w:kinsoku/>
        <w:wordWrap/>
        <w:overflowPunct/>
        <w:topLinePunct w:val="0"/>
        <w:autoSpaceDE/>
        <w:autoSpaceDN/>
        <w:bidi w:val="0"/>
        <w:adjustRightInd/>
        <w:snapToGrid/>
        <w:spacing w:line="500" w:lineRule="exact"/>
        <w:outlineLvl w:val="9"/>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bidi="ar-SA"/>
        </w:rPr>
        <w:t>村卫生室</w:t>
      </w:r>
      <w:r>
        <w:rPr>
          <w:rFonts w:hint="eastAsia" w:ascii="仿宋_GB2312" w:eastAsia="仿宋_GB2312" w:cs="仿宋_GB2312"/>
          <w:sz w:val="32"/>
          <w:szCs w:val="32"/>
          <w:lang w:eastAsia="zh-CN" w:bidi="ar-SA"/>
        </w:rPr>
        <w:t>、诊所和门诊部</w:t>
      </w:r>
      <w:r>
        <w:rPr>
          <w:rFonts w:hint="eastAsia" w:ascii="仿宋_GB2312" w:eastAsia="仿宋_GB2312" w:cs="仿宋_GB231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00" w:lineRule="exact"/>
        <w:ind w:left="105" w:leftChars="50" w:right="105" w:rightChars="50"/>
        <w:outlineLvl w:val="9"/>
        <w:rPr>
          <w:rFonts w:hint="eastAsia" w:ascii="仿宋_GB2312" w:eastAsia="仿宋_GB2312" w:cs="仿宋_GB2312"/>
          <w:sz w:val="24"/>
          <w:szCs w:val="24"/>
          <w:lang w:bidi="ar-SA"/>
        </w:rPr>
      </w:pPr>
      <w:r>
        <w:rPr>
          <w:rFonts w:hint="eastAsia" w:ascii="仿宋_GB2312" w:eastAsia="仿宋_GB2312" w:cs="仿宋_GB2312"/>
          <w:sz w:val="24"/>
          <w:szCs w:val="24"/>
          <w:lang w:bidi="ar-SA"/>
        </w:rPr>
        <w:t xml:space="preserve">医疗机构名称：                  地址：                        </w:t>
      </w:r>
      <w:r>
        <w:rPr>
          <w:rFonts w:hint="eastAsia" w:ascii="仿宋_GB2312" w:eastAsia="仿宋_GB2312" w:cs="仿宋_GB2312"/>
          <w:kern w:val="0"/>
          <w:sz w:val="24"/>
          <w:szCs w:val="24"/>
          <w:lang w:bidi="ar-SA"/>
        </w:rPr>
        <w:t xml:space="preserve">联系人：                </w:t>
      </w:r>
      <w:r>
        <w:rPr>
          <w:rFonts w:hint="eastAsia" w:ascii="仿宋_GB2312" w:eastAsia="仿宋_GB2312" w:cs="仿宋_GB2312"/>
          <w:sz w:val="24"/>
          <w:szCs w:val="24"/>
          <w:lang w:bidi="ar-SA"/>
        </w:rPr>
        <w:t>联系电话：</w:t>
      </w:r>
    </w:p>
    <w:tbl>
      <w:tblPr>
        <w:tblStyle w:val="4"/>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47"/>
        <w:gridCol w:w="2820"/>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blHeader/>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center"/>
              <w:outlineLvl w:val="9"/>
              <w:rPr>
                <w:rFonts w:hint="eastAsia" w:ascii="黑体" w:eastAsia="黑体" w:cs="黑体"/>
                <w:bCs/>
                <w:sz w:val="24"/>
                <w:szCs w:val="24"/>
                <w:lang w:bidi="ar-SA"/>
              </w:rPr>
            </w:pPr>
            <w:r>
              <w:rPr>
                <w:rFonts w:hint="eastAsia" w:ascii="黑体" w:eastAsia="黑体" w:cs="黑体"/>
                <w:bCs/>
                <w:kern w:val="0"/>
                <w:sz w:val="24"/>
                <w:szCs w:val="24"/>
                <w:lang w:bidi="ar-SA"/>
              </w:rPr>
              <w:t>检查内容</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center"/>
              <w:outlineLvl w:val="9"/>
              <w:rPr>
                <w:rFonts w:hint="eastAsia" w:ascii="黑体" w:eastAsia="黑体" w:cs="黑体"/>
                <w:bCs/>
                <w:sz w:val="24"/>
                <w:szCs w:val="24"/>
                <w:lang w:bidi="ar-SA"/>
              </w:rPr>
            </w:pPr>
            <w:r>
              <w:rPr>
                <w:rFonts w:hint="eastAsia" w:ascii="黑体" w:eastAsia="黑体" w:cs="黑体"/>
                <w:bCs/>
                <w:kern w:val="0"/>
                <w:sz w:val="24"/>
                <w:szCs w:val="24"/>
                <w:lang w:bidi="ar-SA"/>
              </w:rPr>
              <w:t>检查结果</w:t>
            </w:r>
          </w:p>
        </w:tc>
        <w:tc>
          <w:tcPr>
            <w:tcW w:w="1453"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center"/>
              <w:outlineLvl w:val="9"/>
              <w:rPr>
                <w:rFonts w:hint="eastAsia" w:ascii="黑体" w:eastAsia="黑体" w:cs="黑体"/>
                <w:bCs/>
                <w:sz w:val="24"/>
                <w:szCs w:val="24"/>
                <w:lang w:bidi="ar-SA"/>
              </w:rPr>
            </w:pPr>
            <w:r>
              <w:rPr>
                <w:rFonts w:hint="eastAsia" w:ascii="黑体" w:eastAsia="黑体" w:cs="黑体"/>
                <w:bCs/>
                <w:kern w:val="0"/>
                <w:sz w:val="24"/>
                <w:szCs w:val="24"/>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bidi="ar-SA"/>
              </w:rPr>
              <w:t>1</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在醒目位置张贴不接诊发热病人的温馨提示</w:t>
            </w:r>
            <w:r>
              <w:rPr>
                <w:rFonts w:hint="eastAsia" w:ascii="仿宋_GB2312" w:eastAsia="仿宋_GB2312" w:cs="仿宋_GB2312"/>
                <w:color w:val="auto"/>
                <w:kern w:val="0"/>
                <w:sz w:val="24"/>
                <w:lang w:eastAsia="zh-CN" w:bidi="ar-SA"/>
              </w:rPr>
              <w:t>。</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2"/>
                <w:sz w:val="24"/>
                <w:szCs w:val="22"/>
                <w:lang w:val="en-US" w:eastAsia="zh-CN" w:bidi="ar-SA"/>
              </w:rPr>
            </w:pPr>
            <w:r>
              <w:rPr>
                <w:rFonts w:hint="eastAsia" w:ascii="仿宋_GB2312" w:eastAsia="仿宋_GB2312" w:cs="仿宋_GB2312"/>
                <w:kern w:val="0"/>
                <w:sz w:val="24"/>
                <w:lang w:bidi="ar-SA"/>
              </w:rPr>
              <w:t xml:space="preserve">是□ </w:t>
            </w:r>
            <w:r>
              <w:rPr>
                <w:rFonts w:hint="eastAsia" w:ascii="仿宋_GB2312" w:eastAsia="仿宋_GB2312" w:cs="仿宋_GB2312"/>
                <w:kern w:val="0"/>
                <w:sz w:val="24"/>
                <w:lang w:val="en-US" w:eastAsia="zh-CN" w:bidi="ar-SA"/>
              </w:rPr>
              <w:t xml:space="preserve"> </w:t>
            </w:r>
            <w:r>
              <w:rPr>
                <w:rFonts w:hint="eastAsia" w:ascii="仿宋_GB2312" w:eastAsia="仿宋_GB2312" w:cs="仿宋_GB2312"/>
                <w:kern w:val="0"/>
                <w:sz w:val="24"/>
                <w:lang w:bidi="ar-SA"/>
              </w:rPr>
              <w:t xml:space="preserve">否□ </w:t>
            </w:r>
          </w:p>
        </w:tc>
        <w:tc>
          <w:tcPr>
            <w:tcW w:w="1453" w:type="dxa"/>
            <w:vMerge w:val="restart"/>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exac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bidi="ar-SA"/>
              </w:rPr>
              <w:t>2</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是否违规接诊发热病人</w:t>
            </w:r>
            <w:r>
              <w:rPr>
                <w:rFonts w:hint="eastAsia" w:ascii="仿宋_GB2312" w:eastAsia="仿宋_GB2312" w:cs="仿宋_GB2312"/>
                <w:color w:val="auto"/>
                <w:kern w:val="0"/>
                <w:sz w:val="24"/>
                <w:lang w:eastAsia="zh-CN" w:bidi="ar-SA"/>
              </w:rPr>
              <w:t>。</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2"/>
                <w:sz w:val="24"/>
                <w:szCs w:val="22"/>
                <w:lang w:val="en-US" w:eastAsia="zh-CN" w:bidi="ar-SA"/>
              </w:rPr>
            </w:pPr>
            <w:r>
              <w:rPr>
                <w:rFonts w:hint="eastAsia" w:ascii="仿宋_GB2312" w:eastAsia="仿宋_GB2312" w:cs="仿宋_GB2312"/>
                <w:kern w:val="0"/>
                <w:sz w:val="24"/>
                <w:lang w:bidi="ar-SA"/>
              </w:rPr>
              <w:t xml:space="preserve">是□  否□ </w:t>
            </w:r>
          </w:p>
        </w:tc>
        <w:tc>
          <w:tcPr>
            <w:tcW w:w="145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exac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val="en-US" w:eastAsia="zh-CN" w:bidi="ar-SA"/>
              </w:rPr>
              <w:t>3.是否落实新冠肺炎相关症状患者的首诊责任制度，及时做好信息登记，报告主管卫生健康行政部门，按规定的流程转诊病人到设置发热门诊的医疗机构。</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0"/>
                <w:sz w:val="24"/>
                <w:lang w:val="en-US" w:eastAsia="zh-CN" w:bidi="ar-SA"/>
              </w:rPr>
            </w:pPr>
            <w:r>
              <w:rPr>
                <w:rFonts w:hint="eastAsia" w:ascii="仿宋_GB2312" w:eastAsia="仿宋_GB2312" w:cs="仿宋_GB2312"/>
                <w:kern w:val="0"/>
                <w:sz w:val="24"/>
                <w:lang w:bidi="ar-SA"/>
              </w:rPr>
              <w:t>是□  否□</w:t>
            </w:r>
            <w:r>
              <w:rPr>
                <w:rFonts w:hint="eastAsia" w:ascii="仿宋_GB2312" w:eastAsia="仿宋_GB2312" w:cs="仿宋_GB2312"/>
                <w:kern w:val="0"/>
                <w:sz w:val="24"/>
                <w:lang w:val="en-US" w:eastAsia="zh-CN" w:bidi="ar-SA"/>
              </w:rPr>
              <w:t xml:space="preserve"> </w:t>
            </w:r>
            <w:r>
              <w:rPr>
                <w:rFonts w:hint="eastAsia" w:ascii="仿宋_GB2312" w:eastAsia="仿宋_GB2312" w:cs="仿宋_GB2312"/>
                <w:kern w:val="0"/>
                <w:sz w:val="24"/>
                <w:lang w:bidi="ar-SA"/>
              </w:rPr>
              <w:t>合理缺项□</w:t>
            </w:r>
          </w:p>
        </w:tc>
        <w:tc>
          <w:tcPr>
            <w:tcW w:w="145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exac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val="en-US" w:eastAsia="zh-CN" w:bidi="ar-SA"/>
              </w:rPr>
              <w:t>4.</w:t>
            </w:r>
            <w:r>
              <w:rPr>
                <w:rFonts w:hint="eastAsia" w:ascii="仿宋_GB2312" w:eastAsia="仿宋_GB2312" w:cs="仿宋_GB2312"/>
                <w:color w:val="auto"/>
                <w:kern w:val="0"/>
                <w:sz w:val="24"/>
                <w:lang w:bidi="ar-SA"/>
              </w:rPr>
              <w:t>对所有就医患者测体温、核健康码，监督其佩戴口罩</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lang w:bidi="ar-SA"/>
              </w:rPr>
              <w:t>是□  否□</w:t>
            </w:r>
          </w:p>
        </w:tc>
        <w:tc>
          <w:tcPr>
            <w:tcW w:w="145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exac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bidi="ar-SA"/>
              </w:rPr>
              <w:t>5</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开展诊疗活动期间，医务人员防护符合相关要求。一级防护为穿工作服，戴工作帽、医用外科口罩，必要时戴一次性手套。做好手卫生。</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lang w:bidi="ar-SA"/>
              </w:rPr>
              <w:t>是□  否□</w:t>
            </w:r>
          </w:p>
        </w:tc>
        <w:tc>
          <w:tcPr>
            <w:tcW w:w="145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exact"/>
        </w:trPr>
        <w:tc>
          <w:tcPr>
            <w:tcW w:w="105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bidi="ar-SA"/>
              </w:rPr>
            </w:pPr>
            <w:r>
              <w:rPr>
                <w:rFonts w:hint="eastAsia" w:ascii="仿宋_GB2312" w:eastAsia="仿宋_GB2312" w:cs="仿宋_GB2312"/>
                <w:color w:val="auto"/>
                <w:kern w:val="0"/>
                <w:sz w:val="24"/>
                <w:lang w:bidi="ar-SA"/>
              </w:rPr>
              <w:t>6</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建立发热病人转诊登记本、无健康码患者登记本、环境和物品消毒登记本。</w:t>
            </w:r>
          </w:p>
        </w:tc>
        <w:tc>
          <w:tcPr>
            <w:tcW w:w="28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0"/>
                <w:sz w:val="24"/>
                <w:szCs w:val="24"/>
                <w:lang w:bidi="ar-SA"/>
              </w:rPr>
            </w:pPr>
            <w:r>
              <w:rPr>
                <w:rFonts w:hint="eastAsia" w:ascii="仿宋_GB2312" w:eastAsia="仿宋_GB2312" w:cs="仿宋_GB2312"/>
                <w:kern w:val="0"/>
                <w:sz w:val="24"/>
                <w:lang w:bidi="ar-SA"/>
              </w:rPr>
              <w:t>是□  否□</w:t>
            </w:r>
          </w:p>
        </w:tc>
        <w:tc>
          <w:tcPr>
            <w:tcW w:w="145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exact"/>
        </w:trPr>
        <w:tc>
          <w:tcPr>
            <w:tcW w:w="105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bidi="ar-SA"/>
              </w:rPr>
              <w:t>7</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定期做好诊疗环境、医疗器械、患者用物的清洁消毒。</w:t>
            </w:r>
          </w:p>
        </w:tc>
        <w:tc>
          <w:tcPr>
            <w:tcW w:w="28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0"/>
                <w:sz w:val="24"/>
                <w:szCs w:val="24"/>
                <w:lang w:val="en-US" w:eastAsia="zh-CN" w:bidi="ar-SA"/>
              </w:rPr>
            </w:pPr>
            <w:r>
              <w:rPr>
                <w:rFonts w:hint="eastAsia" w:ascii="仿宋_GB2312" w:eastAsia="仿宋_GB2312" w:cs="仿宋_GB2312"/>
                <w:kern w:val="0"/>
                <w:sz w:val="24"/>
                <w:lang w:bidi="ar-SA"/>
              </w:rPr>
              <w:t>是□  否□</w:t>
            </w:r>
          </w:p>
        </w:tc>
        <w:tc>
          <w:tcPr>
            <w:tcW w:w="145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exact"/>
        </w:trPr>
        <w:tc>
          <w:tcPr>
            <w:tcW w:w="105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bidi="ar-SA"/>
              </w:rPr>
            </w:pPr>
            <w:r>
              <w:rPr>
                <w:rFonts w:hint="eastAsia" w:ascii="仿宋_GB2312" w:eastAsia="仿宋_GB2312" w:cs="仿宋_GB2312"/>
                <w:color w:val="auto"/>
                <w:kern w:val="0"/>
                <w:sz w:val="24"/>
                <w:lang w:bidi="ar-SA"/>
              </w:rPr>
              <w:t>8</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医疗废物分类处置符合相关规定。</w:t>
            </w:r>
          </w:p>
        </w:tc>
        <w:tc>
          <w:tcPr>
            <w:tcW w:w="28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0"/>
                <w:sz w:val="24"/>
                <w:szCs w:val="24"/>
                <w:lang w:bidi="ar-SA"/>
              </w:rPr>
            </w:pPr>
            <w:r>
              <w:rPr>
                <w:rFonts w:hint="eastAsia" w:ascii="仿宋_GB2312" w:eastAsia="仿宋_GB2312" w:cs="仿宋_GB2312"/>
                <w:kern w:val="0"/>
                <w:sz w:val="24"/>
                <w:lang w:bidi="ar-SA"/>
              </w:rPr>
              <w:t>是□  否□</w:t>
            </w:r>
          </w:p>
        </w:tc>
        <w:tc>
          <w:tcPr>
            <w:tcW w:w="145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exact"/>
        </w:trPr>
        <w:tc>
          <w:tcPr>
            <w:tcW w:w="105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bidi="ar-SA"/>
              </w:rPr>
              <w:t>9</w:t>
            </w:r>
            <w:r>
              <w:rPr>
                <w:rFonts w:hint="eastAsia" w:ascii="仿宋_GB2312" w:eastAsia="仿宋_GB2312" w:cs="仿宋_GB2312"/>
                <w:color w:val="auto"/>
                <w:kern w:val="0"/>
                <w:sz w:val="24"/>
                <w:lang w:eastAsia="zh-CN" w:bidi="ar-SA"/>
              </w:rPr>
              <w:t>.</w:t>
            </w:r>
            <w:r>
              <w:rPr>
                <w:rFonts w:hint="eastAsia" w:ascii="仿宋_GB2312" w:eastAsia="仿宋_GB2312" w:cs="仿宋_GB2312"/>
                <w:color w:val="auto"/>
                <w:kern w:val="0"/>
                <w:sz w:val="24"/>
                <w:lang w:bidi="ar-SA"/>
              </w:rPr>
              <w:t>医务人员在规范检测、接诊转诊、传染病相关法律法规和知识技能以及院感防控等方面</w:t>
            </w:r>
            <w:r>
              <w:rPr>
                <w:rFonts w:hint="eastAsia" w:ascii="仿宋_GB2312" w:eastAsia="仿宋_GB2312" w:cs="仿宋_GB2312"/>
                <w:color w:val="auto"/>
                <w:kern w:val="0"/>
                <w:sz w:val="24"/>
                <w:lang w:eastAsia="zh-CN" w:bidi="ar-SA"/>
              </w:rPr>
              <w:t>是否接受</w:t>
            </w:r>
            <w:r>
              <w:rPr>
                <w:rFonts w:hint="eastAsia" w:ascii="仿宋_GB2312" w:eastAsia="仿宋_GB2312" w:cs="仿宋_GB2312"/>
                <w:color w:val="auto"/>
                <w:kern w:val="0"/>
                <w:sz w:val="24"/>
                <w:lang w:bidi="ar-SA"/>
              </w:rPr>
              <w:t>培训。</w:t>
            </w:r>
          </w:p>
        </w:tc>
        <w:tc>
          <w:tcPr>
            <w:tcW w:w="28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2"/>
                <w:sz w:val="24"/>
                <w:szCs w:val="24"/>
                <w:lang w:val="en-US" w:eastAsia="zh-CN" w:bidi="ar-SA"/>
              </w:rPr>
            </w:pPr>
            <w:r>
              <w:rPr>
                <w:rFonts w:hint="eastAsia" w:ascii="仿宋_GB2312" w:eastAsia="仿宋_GB2312" w:cs="仿宋_GB2312"/>
                <w:kern w:val="0"/>
                <w:sz w:val="24"/>
                <w:lang w:bidi="ar-SA"/>
              </w:rPr>
              <w:t>是□  否□</w:t>
            </w:r>
          </w:p>
        </w:tc>
        <w:tc>
          <w:tcPr>
            <w:tcW w:w="145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exact"/>
        </w:trPr>
        <w:tc>
          <w:tcPr>
            <w:tcW w:w="1054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val="en-US" w:eastAsia="zh-CN" w:bidi="ar-SA"/>
              </w:rPr>
              <w:t>10.是否超范围、超地点执业。</w:t>
            </w:r>
          </w:p>
        </w:tc>
        <w:tc>
          <w:tcPr>
            <w:tcW w:w="282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kern w:val="0"/>
                <w:sz w:val="24"/>
                <w:lang w:bidi="ar-SA"/>
              </w:rPr>
            </w:pPr>
            <w:r>
              <w:rPr>
                <w:rFonts w:hint="eastAsia" w:ascii="仿宋_GB2312" w:eastAsia="仿宋_GB2312" w:cs="仿宋_GB2312"/>
                <w:kern w:val="0"/>
                <w:sz w:val="24"/>
                <w:lang w:bidi="ar-SA"/>
              </w:rPr>
              <w:t>是□  否□</w:t>
            </w:r>
          </w:p>
        </w:tc>
        <w:tc>
          <w:tcPr>
            <w:tcW w:w="1453"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0547"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center"/>
              <w:outlineLvl w:val="9"/>
              <w:rPr>
                <w:rFonts w:hint="eastAsia" w:ascii="仿宋_GB2312" w:eastAsia="仿宋_GB2312" w:cs="仿宋_GB2312"/>
                <w:color w:val="auto"/>
                <w:kern w:val="0"/>
                <w:sz w:val="24"/>
                <w:lang w:val="en-US" w:eastAsia="zh-CN" w:bidi="ar-SA"/>
              </w:rPr>
            </w:pPr>
            <w:r>
              <w:rPr>
                <w:rFonts w:hint="eastAsia" w:ascii="仿宋_GB2312" w:eastAsia="仿宋_GB2312" w:cs="仿宋_GB2312"/>
                <w:color w:val="auto"/>
                <w:kern w:val="0"/>
                <w:sz w:val="24"/>
                <w:lang w:val="en-US" w:eastAsia="zh-CN" w:bidi="ar-SA"/>
              </w:rPr>
              <w:t>11</w:t>
            </w:r>
            <w:r>
              <w:rPr>
                <w:rFonts w:hint="eastAsia" w:ascii="仿宋_GB2312" w:eastAsia="仿宋_GB2312" w:cs="仿宋_GB2312"/>
                <w:color w:val="auto"/>
                <w:kern w:val="0"/>
                <w:sz w:val="24"/>
                <w:lang w:bidi="ar-SA"/>
              </w:rPr>
              <w:t>.乡村医生对家庭医生签约服务群众开展疫情防控知识宣传。</w:t>
            </w:r>
          </w:p>
        </w:tc>
        <w:tc>
          <w:tcPr>
            <w:tcW w:w="28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center"/>
              <w:outlineLvl w:val="9"/>
              <w:rPr>
                <w:rFonts w:hint="eastAsia" w:ascii="仿宋_GB2312" w:eastAsia="仿宋_GB2312" w:cs="仿宋_GB2312"/>
                <w:sz w:val="24"/>
                <w:szCs w:val="24"/>
                <w:lang w:bidi="ar-SA"/>
              </w:rPr>
            </w:pPr>
            <w:r>
              <w:rPr>
                <w:rFonts w:hint="eastAsia" w:ascii="仿宋_GB2312" w:eastAsia="仿宋_GB2312" w:cs="仿宋_GB2312"/>
                <w:kern w:val="0"/>
                <w:sz w:val="24"/>
                <w:szCs w:val="24"/>
                <w:lang w:bidi="ar-SA"/>
              </w:rPr>
              <w:t xml:space="preserve">是□  否□ </w:t>
            </w:r>
            <w:r>
              <w:rPr>
                <w:rFonts w:hint="eastAsia" w:ascii="仿宋_GB2312" w:eastAsia="仿宋_GB2312" w:cs="仿宋_GB2312"/>
                <w:kern w:val="0"/>
                <w:sz w:val="24"/>
                <w:lang w:bidi="ar-SA"/>
              </w:rPr>
              <w:t>合理缺项□</w:t>
            </w:r>
          </w:p>
        </w:tc>
        <w:tc>
          <w:tcPr>
            <w:tcW w:w="1453" w:type="dxa"/>
            <w:vMerge w:val="continue"/>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outlineLvl w:val="9"/>
            </w:pPr>
          </w:p>
        </w:tc>
      </w:tr>
    </w:tbl>
    <w:p>
      <w:pPr>
        <w:keepNext w:val="0"/>
        <w:keepLines w:val="0"/>
        <w:pageBreakBefore w:val="0"/>
        <w:kinsoku/>
        <w:wordWrap/>
        <w:overflowPunct/>
        <w:topLinePunct w:val="0"/>
        <w:autoSpaceDE/>
        <w:autoSpaceDN/>
        <w:bidi w:val="0"/>
        <w:adjustRightInd/>
        <w:snapToGrid/>
        <w:spacing w:line="480" w:lineRule="exact"/>
        <w:ind w:left="105" w:leftChars="50" w:right="105" w:rightChars="50"/>
        <w:textAlignment w:val="auto"/>
        <w:outlineLvl w:val="9"/>
        <w:rPr>
          <w:rFonts w:hint="eastAsia" w:ascii="仿宋_GB2312" w:eastAsia="仿宋_GB2312" w:cs="仿宋_GB2312"/>
          <w:sz w:val="24"/>
          <w:szCs w:val="24"/>
          <w:lang w:bidi="ar-SA"/>
        </w:rPr>
      </w:pPr>
      <w:r>
        <w:rPr>
          <w:rFonts w:hint="eastAsia" w:ascii="仿宋_GB2312" w:eastAsia="仿宋_GB2312" w:cs="仿宋_GB2312"/>
          <w:sz w:val="24"/>
          <w:szCs w:val="24"/>
          <w:lang w:bidi="ar-SA"/>
        </w:rPr>
        <w:t>陪同检查人（职务）：                         检查人：                          检查日期：      年   月   日</w:t>
      </w:r>
    </w:p>
    <w:p>
      <w:pPr>
        <w:keepNext w:val="0"/>
        <w:keepLines w:val="0"/>
        <w:pageBreakBefore w:val="0"/>
        <w:widowControl/>
        <w:kinsoku/>
        <w:wordWrap/>
        <w:overflowPunct/>
        <w:topLinePunct w:val="0"/>
        <w:autoSpaceDE/>
        <w:autoSpaceDN/>
        <w:bidi w:val="0"/>
        <w:adjustRightInd/>
        <w:snapToGrid/>
        <w:spacing w:line="480" w:lineRule="exact"/>
        <w:ind w:left="105" w:leftChars="50" w:right="105" w:rightChars="50"/>
        <w:textAlignment w:val="auto"/>
        <w:outlineLvl w:val="9"/>
        <w:rPr>
          <w:rFonts w:hint="eastAsia" w:ascii="方正小标宋简体" w:eastAsia="方正小标宋简体" w:cs="宋体"/>
          <w:sz w:val="36"/>
          <w:szCs w:val="36"/>
          <w:lang w:bidi="ar-SA"/>
        </w:rPr>
        <w:sectPr>
          <w:pgSz w:w="16838" w:h="11905" w:orient="landscape"/>
          <w:pgMar w:top="1701" w:right="1417" w:bottom="1417" w:left="1417" w:header="851" w:footer="992" w:gutter="0"/>
          <w:pgNumType w:fmt="decimal"/>
          <w:cols w:space="720" w:num="1"/>
          <w:rtlGutter w:val="0"/>
          <w:docGrid w:type="lines" w:linePitch="325" w:charSpace="0"/>
        </w:sectPr>
      </w:pPr>
      <w:r>
        <w:rPr>
          <w:rFonts w:hint="eastAsia" w:ascii="仿宋_GB2312" w:eastAsia="仿宋_GB2312" w:cs="仿宋_GB2312"/>
          <w:kern w:val="0"/>
          <w:sz w:val="24"/>
          <w:szCs w:val="24"/>
          <w:lang w:bidi="ar-SA"/>
        </w:rPr>
        <w:t>说明：各地可结合实际增加监督检查内容。</w:t>
      </w:r>
    </w:p>
    <w:p>
      <w:pPr>
        <w:spacing w:line="600" w:lineRule="exact"/>
        <w:ind w:right="160"/>
        <w:rPr>
          <w:rFonts w:hint="eastAsia" w:ascii="黑体" w:eastAsia="黑体"/>
          <w:sz w:val="32"/>
          <w:szCs w:val="32"/>
          <w:lang w:eastAsia="zh-CN"/>
        </w:rPr>
      </w:pPr>
      <w:r>
        <w:rPr>
          <w:rFonts w:hint="eastAsia" w:ascii="黑体" w:eastAsia="黑体"/>
          <w:sz w:val="32"/>
          <w:szCs w:val="32"/>
        </w:rPr>
        <w:t>附</w:t>
      </w:r>
      <w:r>
        <w:rPr>
          <w:rFonts w:hint="eastAsia" w:ascii="黑体" w:eastAsia="黑体"/>
          <w:sz w:val="32"/>
          <w:szCs w:val="32"/>
          <w:lang w:eastAsia="zh-CN"/>
        </w:rPr>
        <w:t>件</w:t>
      </w:r>
      <w:r>
        <w:rPr>
          <w:rFonts w:hint="eastAsia" w:ascii="黑体" w:eastAsia="黑体"/>
          <w:sz w:val="32"/>
          <w:szCs w:val="32"/>
          <w:lang w:val="en-US" w:eastAsia="zh-CN"/>
        </w:rPr>
        <w:t>3</w:t>
      </w:r>
    </w:p>
    <w:p>
      <w:pPr>
        <w:widowControl/>
        <w:spacing w:line="600" w:lineRule="exact"/>
        <w:jc w:val="center"/>
        <w:textAlignment w:val="center"/>
        <w:rPr>
          <w:rFonts w:hint="eastAsia" w:ascii="方正小标宋简体" w:eastAsia="方正小标宋简体" w:cs="宋体"/>
          <w:kern w:val="0"/>
          <w:sz w:val="44"/>
          <w:szCs w:val="44"/>
          <w:lang w:bidi="ar-SA"/>
        </w:rPr>
      </w:pPr>
      <w:r>
        <w:rPr>
          <w:rFonts w:hint="eastAsia" w:ascii="方正小标宋简体" w:eastAsia="方正小标宋简体" w:cs="方正小标宋简体"/>
          <w:kern w:val="0"/>
          <w:sz w:val="44"/>
          <w:szCs w:val="44"/>
          <w:lang w:bidi="ar-SA"/>
        </w:rPr>
        <w:t>常态化疫情防控专项</w:t>
      </w:r>
      <w:r>
        <w:rPr>
          <w:rFonts w:hint="eastAsia" w:ascii="方正小标宋简体" w:eastAsia="方正小标宋简体" w:cs="方正小标宋简体"/>
          <w:kern w:val="0"/>
          <w:sz w:val="44"/>
          <w:szCs w:val="44"/>
          <w:lang w:eastAsia="zh-CN" w:bidi="ar-SA"/>
        </w:rPr>
        <w:t>执法行动</w:t>
      </w:r>
      <w:r>
        <w:rPr>
          <w:rFonts w:hint="eastAsia" w:ascii="方正小标宋简体" w:eastAsia="方正小标宋简体" w:cs="宋体"/>
          <w:kern w:val="0"/>
          <w:sz w:val="44"/>
          <w:szCs w:val="44"/>
          <w:lang w:bidi="ar-SA"/>
        </w:rPr>
        <w:t>汇总表</w:t>
      </w:r>
    </w:p>
    <w:p>
      <w:pPr>
        <w:spacing w:line="600" w:lineRule="exact"/>
        <w:ind w:right="160"/>
        <w:rPr>
          <w:rFonts w:hint="eastAsia" w:ascii="黑体" w:eastAsia="黑体"/>
          <w:sz w:val="32"/>
          <w:szCs w:val="32"/>
        </w:rPr>
      </w:pPr>
      <w:r>
        <w:rPr>
          <w:rFonts w:hint="eastAsia" w:ascii="仿宋_GB2312" w:eastAsia="仿宋_GB2312"/>
          <w:kern w:val="0"/>
          <w:sz w:val="24"/>
          <w:szCs w:val="24"/>
        </w:rPr>
        <w:t>填报单位（盖章）：</w:t>
      </w:r>
      <w:r>
        <w:rPr>
          <w:rFonts w:ascii="宋体" w:hAnsi="宋体"/>
          <w:kern w:val="0"/>
          <w:sz w:val="24"/>
          <w:szCs w:val="24"/>
          <w:u w:val="single"/>
        </w:rPr>
        <w:t>　　　　　　　</w:t>
      </w:r>
      <w:r>
        <w:t>填报时间</w:t>
      </w:r>
      <w:r>
        <w:rPr>
          <w:rFonts w:hint="eastAsia" w:ascii="仿宋_GB2312" w:eastAsia="仿宋_GB2312"/>
          <w:kern w:val="0"/>
          <w:sz w:val="24"/>
          <w:szCs w:val="24"/>
        </w:rPr>
        <w:t>：</w:t>
      </w:r>
      <w:r>
        <w:rPr>
          <w:rFonts w:ascii="宋体" w:hAnsi="宋体"/>
          <w:kern w:val="0"/>
          <w:sz w:val="24"/>
          <w:szCs w:val="24"/>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317"/>
        <w:gridCol w:w="1832"/>
        <w:gridCol w:w="1831"/>
        <w:gridCol w:w="1444"/>
        <w:gridCol w:w="1408"/>
        <w:gridCol w:w="1292"/>
        <w:gridCol w:w="1183"/>
        <w:gridCol w:w="117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25" w:type="dxa"/>
            <w:vMerge w:val="restart"/>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w:t>
            </w:r>
          </w:p>
        </w:tc>
        <w:tc>
          <w:tcPr>
            <w:tcW w:w="1317" w:type="dxa"/>
            <w:vMerge w:val="restart"/>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检查</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（家次）</w:t>
            </w:r>
          </w:p>
        </w:tc>
        <w:tc>
          <w:tcPr>
            <w:tcW w:w="1832" w:type="dxa"/>
            <w:vMerge w:val="restart"/>
            <w:noWrap w:val="0"/>
            <w:vAlign w:val="center"/>
          </w:tcPr>
          <w:p>
            <w:pPr>
              <w:jc w:val="center"/>
              <w:rPr>
                <w:rFonts w:hint="eastAsia" w:ascii="黑体" w:eastAsia="黑体"/>
                <w:kern w:val="0"/>
                <w:sz w:val="24"/>
                <w:szCs w:val="24"/>
                <w:lang w:eastAsia="zh-CN"/>
              </w:rPr>
            </w:pPr>
            <w:r>
              <w:rPr>
                <w:rFonts w:hint="eastAsia" w:ascii="黑体" w:eastAsia="黑体"/>
                <w:kern w:val="0"/>
                <w:sz w:val="24"/>
                <w:szCs w:val="24"/>
                <w:lang w:eastAsia="zh-CN"/>
              </w:rPr>
              <w:t>发现违规</w:t>
            </w:r>
          </w:p>
          <w:p>
            <w:pPr>
              <w:jc w:val="center"/>
              <w:rPr>
                <w:rFonts w:hint="eastAsia" w:ascii="黑体" w:eastAsia="黑体"/>
                <w:kern w:val="0"/>
                <w:sz w:val="24"/>
                <w:szCs w:val="24"/>
                <w:lang w:eastAsia="zh-CN"/>
              </w:rPr>
            </w:pPr>
            <w:r>
              <w:rPr>
                <w:rFonts w:hint="eastAsia" w:ascii="黑体" w:eastAsia="黑体"/>
                <w:kern w:val="0"/>
                <w:sz w:val="24"/>
                <w:szCs w:val="24"/>
                <w:lang w:eastAsia="zh-CN"/>
              </w:rPr>
              <w:t>接诊发热病人</w:t>
            </w:r>
          </w:p>
          <w:p>
            <w:pPr>
              <w:jc w:val="center"/>
            </w:pPr>
            <w:r>
              <w:rPr>
                <w:rFonts w:hint="eastAsia" w:ascii="黑体" w:eastAsia="黑体"/>
                <w:kern w:val="0"/>
                <w:sz w:val="24"/>
                <w:szCs w:val="24"/>
                <w:lang w:eastAsia="zh-CN"/>
              </w:rPr>
              <w:t>（例）</w:t>
            </w:r>
          </w:p>
        </w:tc>
        <w:tc>
          <w:tcPr>
            <w:tcW w:w="1831" w:type="dxa"/>
            <w:vMerge w:val="restart"/>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下达监督</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意见书</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（份数）</w:t>
            </w:r>
          </w:p>
        </w:tc>
        <w:tc>
          <w:tcPr>
            <w:tcW w:w="5327" w:type="dxa"/>
            <w:gridSpan w:val="4"/>
            <w:noWrap w:val="0"/>
            <w:vAlign w:val="center"/>
          </w:tcPr>
          <w:p>
            <w:pPr>
              <w:widowControl/>
              <w:spacing w:line="360" w:lineRule="exact"/>
              <w:jc w:val="center"/>
              <w:rPr>
                <w:rFonts w:hint="eastAsia" w:ascii="黑体" w:eastAsia="黑体"/>
                <w:kern w:val="0"/>
                <w:sz w:val="24"/>
                <w:szCs w:val="24"/>
                <w:lang w:eastAsia="zh-CN"/>
              </w:rPr>
            </w:pPr>
            <w:r>
              <w:rPr>
                <w:rFonts w:hint="eastAsia" w:ascii="黑体" w:eastAsia="黑体"/>
                <w:kern w:val="0"/>
                <w:sz w:val="24"/>
                <w:szCs w:val="24"/>
                <w:lang w:eastAsia="zh-CN"/>
              </w:rPr>
              <w:t>作出行政处罚情况</w:t>
            </w:r>
          </w:p>
        </w:tc>
        <w:tc>
          <w:tcPr>
            <w:tcW w:w="1177" w:type="dxa"/>
            <w:vMerge w:val="restart"/>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出动监督</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执法人员</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（人次）</w:t>
            </w:r>
          </w:p>
        </w:tc>
        <w:tc>
          <w:tcPr>
            <w:tcW w:w="1091" w:type="dxa"/>
            <w:vMerge w:val="restart"/>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出动</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车辆</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025" w:type="dxa"/>
            <w:vMerge w:val="continue"/>
            <w:noWrap w:val="0"/>
            <w:vAlign w:val="center"/>
          </w:tcPr>
          <w:p/>
        </w:tc>
        <w:tc>
          <w:tcPr>
            <w:tcW w:w="1317" w:type="dxa"/>
            <w:vMerge w:val="continue"/>
            <w:noWrap w:val="0"/>
            <w:vAlign w:val="center"/>
          </w:tcPr>
          <w:p/>
        </w:tc>
        <w:tc>
          <w:tcPr>
            <w:tcW w:w="1832" w:type="dxa"/>
            <w:vMerge w:val="continue"/>
            <w:noWrap w:val="0"/>
            <w:vAlign w:val="center"/>
          </w:tcPr>
          <w:p/>
        </w:tc>
        <w:tc>
          <w:tcPr>
            <w:tcW w:w="1831" w:type="dxa"/>
            <w:vMerge w:val="continue"/>
            <w:noWrap w:val="0"/>
            <w:vAlign w:val="center"/>
          </w:tcPr>
          <w:p/>
        </w:tc>
        <w:tc>
          <w:tcPr>
            <w:tcW w:w="1444" w:type="dxa"/>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警告</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（家次）</w:t>
            </w:r>
          </w:p>
        </w:tc>
        <w:tc>
          <w:tcPr>
            <w:tcW w:w="1408" w:type="dxa"/>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（家次）</w:t>
            </w:r>
          </w:p>
        </w:tc>
        <w:tc>
          <w:tcPr>
            <w:tcW w:w="1292" w:type="dxa"/>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其他行政</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处罚</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单位数</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（家</w:t>
            </w:r>
            <w:r>
              <w:rPr>
                <w:rFonts w:hint="eastAsia" w:ascii="黑体" w:eastAsia="黑体"/>
                <w:kern w:val="0"/>
                <w:sz w:val="24"/>
                <w:szCs w:val="24"/>
                <w:lang w:eastAsia="zh-CN"/>
              </w:rPr>
              <w:t>次</w:t>
            </w:r>
            <w:r>
              <w:rPr>
                <w:rFonts w:hint="eastAsia" w:ascii="黑体" w:eastAsia="黑体"/>
                <w:kern w:val="0"/>
                <w:sz w:val="24"/>
                <w:szCs w:val="24"/>
              </w:rPr>
              <w:t>）</w:t>
            </w:r>
          </w:p>
        </w:tc>
        <w:tc>
          <w:tcPr>
            <w:tcW w:w="1183" w:type="dxa"/>
            <w:noWrap w:val="0"/>
            <w:vAlign w:val="center"/>
          </w:tcPr>
          <w:p>
            <w:pPr>
              <w:widowControl/>
              <w:spacing w:line="360" w:lineRule="exact"/>
              <w:jc w:val="center"/>
              <w:rPr>
                <w:rFonts w:hint="eastAsia" w:ascii="黑体" w:eastAsia="黑体"/>
                <w:kern w:val="0"/>
                <w:sz w:val="24"/>
                <w:szCs w:val="24"/>
              </w:rPr>
            </w:pPr>
            <w:r>
              <w:rPr>
                <w:rFonts w:hint="eastAsia" w:ascii="黑体" w:eastAsia="黑体"/>
                <w:kern w:val="0"/>
                <w:sz w:val="24"/>
                <w:szCs w:val="24"/>
              </w:rPr>
              <w:t>罚款</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金额</w:t>
            </w:r>
          </w:p>
          <w:p>
            <w:pPr>
              <w:widowControl/>
              <w:spacing w:line="360" w:lineRule="exact"/>
              <w:jc w:val="center"/>
              <w:rPr>
                <w:rFonts w:hint="eastAsia" w:ascii="黑体" w:eastAsia="黑体"/>
                <w:kern w:val="0"/>
                <w:sz w:val="24"/>
                <w:szCs w:val="24"/>
              </w:rPr>
            </w:pPr>
            <w:r>
              <w:rPr>
                <w:rFonts w:hint="eastAsia" w:ascii="黑体" w:eastAsia="黑体"/>
                <w:kern w:val="0"/>
                <w:sz w:val="24"/>
                <w:szCs w:val="24"/>
              </w:rPr>
              <w:t>（元）</w:t>
            </w:r>
          </w:p>
        </w:tc>
        <w:tc>
          <w:tcPr>
            <w:tcW w:w="1177" w:type="dxa"/>
            <w:vMerge w:val="continue"/>
            <w:noWrap w:val="0"/>
            <w:vAlign w:val="center"/>
          </w:tcPr>
          <w:p/>
        </w:tc>
        <w:tc>
          <w:tcPr>
            <w:tcW w:w="1091"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25" w:type="dxa"/>
            <w:noWrap w:val="0"/>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市本级</w:t>
            </w:r>
          </w:p>
        </w:tc>
        <w:tc>
          <w:tcPr>
            <w:tcW w:w="1317"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832" w:type="dxa"/>
            <w:noWrap w:val="0"/>
            <w:vAlign w:val="center"/>
          </w:tcPr>
          <w:p>
            <w:pPr>
              <w:widowControl/>
              <w:spacing w:line="360" w:lineRule="exact"/>
              <w:jc w:val="left"/>
              <w:rPr>
                <w:rFonts w:hint="eastAsia" w:ascii="仿宋_GB2312" w:eastAsia="仿宋_GB2312"/>
                <w:kern w:val="0"/>
                <w:sz w:val="24"/>
                <w:szCs w:val="24"/>
              </w:rPr>
            </w:pPr>
          </w:p>
        </w:tc>
        <w:tc>
          <w:tcPr>
            <w:tcW w:w="1831"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444"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408"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292"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183" w:type="dxa"/>
            <w:noWrap w:val="0"/>
            <w:vAlign w:val="center"/>
          </w:tcPr>
          <w:p>
            <w:pPr>
              <w:widowControl/>
              <w:spacing w:line="360" w:lineRule="exact"/>
              <w:jc w:val="left"/>
              <w:rPr>
                <w:rFonts w:hint="eastAsia" w:ascii="仿宋_GB2312" w:eastAsia="仿宋_GB2312"/>
                <w:kern w:val="0"/>
                <w:sz w:val="24"/>
                <w:szCs w:val="24"/>
              </w:rPr>
            </w:pPr>
            <w:r>
              <w:rPr>
                <w:rFonts w:hint="eastAsia" w:ascii="仿宋_GB2312" w:eastAsia="仿宋_GB2312"/>
                <w:kern w:val="0"/>
                <w:sz w:val="24"/>
                <w:szCs w:val="24"/>
              </w:rPr>
              <w:t>　</w:t>
            </w:r>
          </w:p>
        </w:tc>
        <w:tc>
          <w:tcPr>
            <w:tcW w:w="1177" w:type="dxa"/>
            <w:noWrap w:val="0"/>
            <w:vAlign w:val="center"/>
          </w:tcPr>
          <w:p>
            <w:pPr>
              <w:widowControl/>
              <w:spacing w:line="360" w:lineRule="exact"/>
              <w:jc w:val="left"/>
              <w:rPr>
                <w:rFonts w:hint="eastAsia" w:ascii="仿宋_GB2312" w:eastAsia="仿宋_GB2312"/>
                <w:kern w:val="0"/>
                <w:sz w:val="24"/>
                <w:szCs w:val="24"/>
              </w:rPr>
            </w:pPr>
          </w:p>
        </w:tc>
        <w:tc>
          <w:tcPr>
            <w:tcW w:w="1091" w:type="dxa"/>
            <w:noWrap w:val="0"/>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25" w:type="dxa"/>
            <w:noWrap w:val="0"/>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XX城区</w:t>
            </w:r>
          </w:p>
        </w:tc>
        <w:tc>
          <w:tcPr>
            <w:tcW w:w="1317" w:type="dxa"/>
            <w:noWrap w:val="0"/>
            <w:vAlign w:val="center"/>
          </w:tcPr>
          <w:p>
            <w:pPr>
              <w:widowControl/>
              <w:spacing w:line="360" w:lineRule="exact"/>
              <w:jc w:val="left"/>
              <w:rPr>
                <w:rFonts w:hint="eastAsia" w:ascii="仿宋_GB2312" w:eastAsia="仿宋_GB2312"/>
                <w:kern w:val="0"/>
                <w:sz w:val="24"/>
                <w:szCs w:val="24"/>
              </w:rPr>
            </w:pPr>
          </w:p>
        </w:tc>
        <w:tc>
          <w:tcPr>
            <w:tcW w:w="1832" w:type="dxa"/>
            <w:noWrap w:val="0"/>
            <w:vAlign w:val="center"/>
          </w:tcPr>
          <w:p>
            <w:pPr>
              <w:widowControl/>
              <w:spacing w:line="360" w:lineRule="exact"/>
              <w:jc w:val="left"/>
              <w:rPr>
                <w:rFonts w:hint="eastAsia" w:ascii="仿宋_GB2312" w:eastAsia="仿宋_GB2312"/>
                <w:kern w:val="0"/>
                <w:sz w:val="24"/>
                <w:szCs w:val="24"/>
              </w:rPr>
            </w:pPr>
          </w:p>
        </w:tc>
        <w:tc>
          <w:tcPr>
            <w:tcW w:w="1831" w:type="dxa"/>
            <w:noWrap w:val="0"/>
            <w:vAlign w:val="center"/>
          </w:tcPr>
          <w:p>
            <w:pPr>
              <w:widowControl/>
              <w:spacing w:line="360" w:lineRule="exact"/>
              <w:jc w:val="left"/>
              <w:rPr>
                <w:rFonts w:hint="eastAsia" w:ascii="仿宋_GB2312" w:eastAsia="仿宋_GB2312"/>
                <w:kern w:val="0"/>
                <w:sz w:val="24"/>
                <w:szCs w:val="24"/>
              </w:rPr>
            </w:pPr>
          </w:p>
        </w:tc>
        <w:tc>
          <w:tcPr>
            <w:tcW w:w="1444" w:type="dxa"/>
            <w:noWrap w:val="0"/>
            <w:vAlign w:val="center"/>
          </w:tcPr>
          <w:p>
            <w:pPr>
              <w:widowControl/>
              <w:spacing w:line="360" w:lineRule="exact"/>
              <w:jc w:val="left"/>
              <w:rPr>
                <w:rFonts w:hint="eastAsia" w:ascii="仿宋_GB2312" w:eastAsia="仿宋_GB2312"/>
                <w:kern w:val="0"/>
                <w:sz w:val="24"/>
                <w:szCs w:val="24"/>
              </w:rPr>
            </w:pPr>
          </w:p>
        </w:tc>
        <w:tc>
          <w:tcPr>
            <w:tcW w:w="1408" w:type="dxa"/>
            <w:noWrap w:val="0"/>
            <w:vAlign w:val="center"/>
          </w:tcPr>
          <w:p>
            <w:pPr>
              <w:widowControl/>
              <w:spacing w:line="360" w:lineRule="exact"/>
              <w:jc w:val="left"/>
              <w:rPr>
                <w:rFonts w:hint="eastAsia" w:ascii="仿宋_GB2312" w:eastAsia="仿宋_GB2312"/>
                <w:kern w:val="0"/>
                <w:sz w:val="24"/>
                <w:szCs w:val="24"/>
              </w:rPr>
            </w:pPr>
          </w:p>
        </w:tc>
        <w:tc>
          <w:tcPr>
            <w:tcW w:w="1292" w:type="dxa"/>
            <w:noWrap w:val="0"/>
            <w:vAlign w:val="center"/>
          </w:tcPr>
          <w:p>
            <w:pPr>
              <w:widowControl/>
              <w:spacing w:line="360" w:lineRule="exact"/>
              <w:jc w:val="left"/>
              <w:rPr>
                <w:rFonts w:hint="eastAsia" w:ascii="仿宋_GB2312" w:eastAsia="仿宋_GB2312"/>
                <w:kern w:val="0"/>
                <w:sz w:val="24"/>
                <w:szCs w:val="24"/>
              </w:rPr>
            </w:pPr>
          </w:p>
        </w:tc>
        <w:tc>
          <w:tcPr>
            <w:tcW w:w="1183" w:type="dxa"/>
            <w:noWrap w:val="0"/>
            <w:vAlign w:val="center"/>
          </w:tcPr>
          <w:p>
            <w:pPr>
              <w:widowControl/>
              <w:spacing w:line="360" w:lineRule="exact"/>
              <w:jc w:val="left"/>
              <w:rPr>
                <w:rFonts w:hint="eastAsia" w:ascii="仿宋_GB2312" w:eastAsia="仿宋_GB2312"/>
                <w:kern w:val="0"/>
                <w:sz w:val="24"/>
                <w:szCs w:val="24"/>
              </w:rPr>
            </w:pPr>
          </w:p>
        </w:tc>
        <w:tc>
          <w:tcPr>
            <w:tcW w:w="1177" w:type="dxa"/>
            <w:noWrap w:val="0"/>
            <w:vAlign w:val="center"/>
          </w:tcPr>
          <w:p>
            <w:pPr>
              <w:widowControl/>
              <w:spacing w:line="360" w:lineRule="exact"/>
              <w:jc w:val="left"/>
              <w:rPr>
                <w:rFonts w:hint="eastAsia" w:ascii="仿宋_GB2312" w:eastAsia="仿宋_GB2312"/>
                <w:kern w:val="0"/>
                <w:sz w:val="24"/>
                <w:szCs w:val="24"/>
              </w:rPr>
            </w:pPr>
          </w:p>
        </w:tc>
        <w:tc>
          <w:tcPr>
            <w:tcW w:w="1091" w:type="dxa"/>
            <w:noWrap w:val="0"/>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025" w:type="dxa"/>
            <w:noWrap w:val="0"/>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XX县</w:t>
            </w:r>
          </w:p>
        </w:tc>
        <w:tc>
          <w:tcPr>
            <w:tcW w:w="1317" w:type="dxa"/>
            <w:noWrap w:val="0"/>
            <w:vAlign w:val="center"/>
          </w:tcPr>
          <w:p>
            <w:pPr>
              <w:widowControl/>
              <w:spacing w:line="360" w:lineRule="exact"/>
              <w:jc w:val="left"/>
              <w:rPr>
                <w:rFonts w:hint="eastAsia" w:ascii="仿宋_GB2312" w:eastAsia="仿宋_GB2312"/>
                <w:kern w:val="0"/>
                <w:sz w:val="24"/>
                <w:szCs w:val="24"/>
              </w:rPr>
            </w:pPr>
          </w:p>
        </w:tc>
        <w:tc>
          <w:tcPr>
            <w:tcW w:w="1832" w:type="dxa"/>
            <w:noWrap w:val="0"/>
            <w:vAlign w:val="center"/>
          </w:tcPr>
          <w:p>
            <w:pPr>
              <w:widowControl/>
              <w:spacing w:line="360" w:lineRule="exact"/>
              <w:jc w:val="left"/>
              <w:rPr>
                <w:rFonts w:hint="eastAsia" w:ascii="仿宋_GB2312" w:eastAsia="仿宋_GB2312"/>
                <w:kern w:val="0"/>
                <w:sz w:val="24"/>
                <w:szCs w:val="24"/>
              </w:rPr>
            </w:pPr>
          </w:p>
        </w:tc>
        <w:tc>
          <w:tcPr>
            <w:tcW w:w="1831" w:type="dxa"/>
            <w:noWrap w:val="0"/>
            <w:vAlign w:val="center"/>
          </w:tcPr>
          <w:p>
            <w:pPr>
              <w:widowControl/>
              <w:spacing w:line="360" w:lineRule="exact"/>
              <w:jc w:val="left"/>
              <w:rPr>
                <w:rFonts w:hint="eastAsia" w:ascii="仿宋_GB2312" w:eastAsia="仿宋_GB2312"/>
                <w:kern w:val="0"/>
                <w:sz w:val="24"/>
                <w:szCs w:val="24"/>
              </w:rPr>
            </w:pPr>
          </w:p>
        </w:tc>
        <w:tc>
          <w:tcPr>
            <w:tcW w:w="1444" w:type="dxa"/>
            <w:noWrap w:val="0"/>
            <w:vAlign w:val="center"/>
          </w:tcPr>
          <w:p>
            <w:pPr>
              <w:widowControl/>
              <w:spacing w:line="360" w:lineRule="exact"/>
              <w:jc w:val="left"/>
              <w:rPr>
                <w:rFonts w:hint="eastAsia" w:ascii="仿宋_GB2312" w:eastAsia="仿宋_GB2312"/>
                <w:kern w:val="0"/>
                <w:sz w:val="24"/>
                <w:szCs w:val="24"/>
              </w:rPr>
            </w:pPr>
          </w:p>
        </w:tc>
        <w:tc>
          <w:tcPr>
            <w:tcW w:w="1408" w:type="dxa"/>
            <w:noWrap w:val="0"/>
            <w:vAlign w:val="center"/>
          </w:tcPr>
          <w:p>
            <w:pPr>
              <w:widowControl/>
              <w:spacing w:line="360" w:lineRule="exact"/>
              <w:jc w:val="left"/>
              <w:rPr>
                <w:rFonts w:hint="eastAsia" w:ascii="仿宋_GB2312" w:eastAsia="仿宋_GB2312"/>
                <w:kern w:val="0"/>
                <w:sz w:val="24"/>
                <w:szCs w:val="24"/>
              </w:rPr>
            </w:pPr>
          </w:p>
        </w:tc>
        <w:tc>
          <w:tcPr>
            <w:tcW w:w="1292" w:type="dxa"/>
            <w:noWrap w:val="0"/>
            <w:vAlign w:val="center"/>
          </w:tcPr>
          <w:p>
            <w:pPr>
              <w:widowControl/>
              <w:spacing w:line="360" w:lineRule="exact"/>
              <w:jc w:val="left"/>
              <w:rPr>
                <w:rFonts w:hint="eastAsia" w:ascii="仿宋_GB2312" w:eastAsia="仿宋_GB2312"/>
                <w:kern w:val="0"/>
                <w:sz w:val="24"/>
                <w:szCs w:val="24"/>
              </w:rPr>
            </w:pPr>
          </w:p>
        </w:tc>
        <w:tc>
          <w:tcPr>
            <w:tcW w:w="1183" w:type="dxa"/>
            <w:noWrap w:val="0"/>
            <w:vAlign w:val="center"/>
          </w:tcPr>
          <w:p>
            <w:pPr>
              <w:widowControl/>
              <w:spacing w:line="360" w:lineRule="exact"/>
              <w:jc w:val="left"/>
              <w:rPr>
                <w:rFonts w:hint="eastAsia" w:ascii="仿宋_GB2312" w:eastAsia="仿宋_GB2312"/>
                <w:kern w:val="0"/>
                <w:sz w:val="24"/>
                <w:szCs w:val="24"/>
              </w:rPr>
            </w:pPr>
          </w:p>
        </w:tc>
        <w:tc>
          <w:tcPr>
            <w:tcW w:w="1177" w:type="dxa"/>
            <w:noWrap w:val="0"/>
            <w:vAlign w:val="center"/>
          </w:tcPr>
          <w:p>
            <w:pPr>
              <w:widowControl/>
              <w:spacing w:line="360" w:lineRule="exact"/>
              <w:jc w:val="left"/>
              <w:rPr>
                <w:rFonts w:hint="eastAsia" w:ascii="仿宋_GB2312" w:eastAsia="仿宋_GB2312"/>
                <w:kern w:val="0"/>
                <w:sz w:val="24"/>
                <w:szCs w:val="24"/>
              </w:rPr>
            </w:pPr>
          </w:p>
        </w:tc>
        <w:tc>
          <w:tcPr>
            <w:tcW w:w="1091" w:type="dxa"/>
            <w:noWrap w:val="0"/>
            <w:vAlign w:val="center"/>
          </w:tcPr>
          <w:p>
            <w:pPr>
              <w:widowControl/>
              <w:spacing w:line="360" w:lineRule="exact"/>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025" w:type="dxa"/>
            <w:noWrap w:val="0"/>
            <w:vAlign w:val="center"/>
          </w:tcPr>
          <w:p>
            <w:pPr>
              <w:widowControl/>
              <w:spacing w:line="360" w:lineRule="exact"/>
              <w:jc w:val="center"/>
              <w:rPr>
                <w:rFonts w:hint="eastAsia" w:ascii="仿宋_GB2312" w:eastAsia="仿宋_GB2312"/>
                <w:kern w:val="0"/>
                <w:sz w:val="24"/>
                <w:szCs w:val="24"/>
              </w:rPr>
            </w:pPr>
            <w:r>
              <w:rPr>
                <w:rFonts w:hint="eastAsia" w:ascii="仿宋_GB2312" w:eastAsia="仿宋_GB2312"/>
                <w:kern w:val="0"/>
                <w:sz w:val="24"/>
                <w:szCs w:val="24"/>
              </w:rPr>
              <w:t>合计</w:t>
            </w:r>
          </w:p>
        </w:tc>
        <w:tc>
          <w:tcPr>
            <w:tcW w:w="1317" w:type="dxa"/>
            <w:noWrap w:val="0"/>
            <w:vAlign w:val="center"/>
          </w:tcPr>
          <w:p>
            <w:pPr>
              <w:widowControl/>
              <w:spacing w:line="360" w:lineRule="exact"/>
              <w:jc w:val="left"/>
              <w:rPr>
                <w:rFonts w:hint="eastAsia" w:ascii="仿宋_GB2312" w:eastAsia="仿宋_GB2312"/>
                <w:kern w:val="0"/>
                <w:sz w:val="24"/>
                <w:szCs w:val="24"/>
              </w:rPr>
            </w:pPr>
          </w:p>
        </w:tc>
        <w:tc>
          <w:tcPr>
            <w:tcW w:w="1832" w:type="dxa"/>
            <w:noWrap w:val="0"/>
            <w:vAlign w:val="center"/>
          </w:tcPr>
          <w:p>
            <w:pPr>
              <w:widowControl/>
              <w:spacing w:line="360" w:lineRule="exact"/>
              <w:jc w:val="left"/>
              <w:rPr>
                <w:rFonts w:hint="eastAsia" w:ascii="仿宋_GB2312" w:eastAsia="仿宋_GB2312"/>
                <w:kern w:val="0"/>
                <w:sz w:val="24"/>
                <w:szCs w:val="24"/>
              </w:rPr>
            </w:pPr>
          </w:p>
        </w:tc>
        <w:tc>
          <w:tcPr>
            <w:tcW w:w="1831" w:type="dxa"/>
            <w:noWrap w:val="0"/>
            <w:vAlign w:val="center"/>
          </w:tcPr>
          <w:p>
            <w:pPr>
              <w:widowControl/>
              <w:spacing w:line="360" w:lineRule="exact"/>
              <w:jc w:val="left"/>
              <w:rPr>
                <w:rFonts w:hint="eastAsia" w:ascii="仿宋_GB2312" w:eastAsia="仿宋_GB2312"/>
                <w:kern w:val="0"/>
                <w:sz w:val="24"/>
                <w:szCs w:val="24"/>
              </w:rPr>
            </w:pPr>
          </w:p>
        </w:tc>
        <w:tc>
          <w:tcPr>
            <w:tcW w:w="1444" w:type="dxa"/>
            <w:noWrap w:val="0"/>
            <w:vAlign w:val="center"/>
          </w:tcPr>
          <w:p>
            <w:pPr>
              <w:widowControl/>
              <w:spacing w:line="360" w:lineRule="exact"/>
              <w:jc w:val="left"/>
              <w:rPr>
                <w:rFonts w:hint="eastAsia" w:ascii="仿宋_GB2312" w:eastAsia="仿宋_GB2312"/>
                <w:kern w:val="0"/>
                <w:sz w:val="24"/>
                <w:szCs w:val="24"/>
              </w:rPr>
            </w:pPr>
          </w:p>
        </w:tc>
        <w:tc>
          <w:tcPr>
            <w:tcW w:w="1408" w:type="dxa"/>
            <w:noWrap w:val="0"/>
            <w:vAlign w:val="center"/>
          </w:tcPr>
          <w:p>
            <w:pPr>
              <w:widowControl/>
              <w:spacing w:line="360" w:lineRule="exact"/>
              <w:jc w:val="left"/>
              <w:rPr>
                <w:rFonts w:hint="eastAsia" w:ascii="仿宋_GB2312" w:eastAsia="仿宋_GB2312"/>
                <w:kern w:val="0"/>
                <w:sz w:val="24"/>
                <w:szCs w:val="24"/>
              </w:rPr>
            </w:pPr>
          </w:p>
        </w:tc>
        <w:tc>
          <w:tcPr>
            <w:tcW w:w="1292" w:type="dxa"/>
            <w:noWrap w:val="0"/>
            <w:vAlign w:val="center"/>
          </w:tcPr>
          <w:p>
            <w:pPr>
              <w:widowControl/>
              <w:spacing w:line="360" w:lineRule="exact"/>
              <w:jc w:val="left"/>
              <w:rPr>
                <w:rFonts w:hint="eastAsia" w:ascii="仿宋_GB2312" w:eastAsia="仿宋_GB2312"/>
                <w:kern w:val="0"/>
                <w:sz w:val="24"/>
                <w:szCs w:val="24"/>
              </w:rPr>
            </w:pPr>
          </w:p>
        </w:tc>
        <w:tc>
          <w:tcPr>
            <w:tcW w:w="1183" w:type="dxa"/>
            <w:noWrap w:val="0"/>
            <w:vAlign w:val="center"/>
          </w:tcPr>
          <w:p>
            <w:pPr>
              <w:widowControl/>
              <w:spacing w:line="360" w:lineRule="exact"/>
              <w:jc w:val="left"/>
              <w:rPr>
                <w:rFonts w:hint="eastAsia" w:ascii="仿宋_GB2312" w:eastAsia="仿宋_GB2312"/>
                <w:kern w:val="0"/>
                <w:sz w:val="24"/>
                <w:szCs w:val="24"/>
              </w:rPr>
            </w:pPr>
          </w:p>
        </w:tc>
        <w:tc>
          <w:tcPr>
            <w:tcW w:w="1177" w:type="dxa"/>
            <w:noWrap w:val="0"/>
            <w:vAlign w:val="center"/>
          </w:tcPr>
          <w:p>
            <w:pPr>
              <w:widowControl/>
              <w:spacing w:line="360" w:lineRule="exact"/>
              <w:jc w:val="left"/>
              <w:rPr>
                <w:rFonts w:hint="eastAsia" w:ascii="仿宋_GB2312" w:eastAsia="仿宋_GB2312"/>
                <w:kern w:val="0"/>
                <w:sz w:val="24"/>
                <w:szCs w:val="24"/>
              </w:rPr>
            </w:pPr>
          </w:p>
        </w:tc>
        <w:tc>
          <w:tcPr>
            <w:tcW w:w="1091" w:type="dxa"/>
            <w:noWrap w:val="0"/>
            <w:vAlign w:val="center"/>
          </w:tcPr>
          <w:p>
            <w:pPr>
              <w:widowControl/>
              <w:spacing w:line="360" w:lineRule="exact"/>
              <w:jc w:val="left"/>
              <w:rPr>
                <w:rFonts w:hint="eastAsia" w:ascii="仿宋_GB2312" w:eastAsia="仿宋_GB2312"/>
                <w:kern w:val="0"/>
                <w:sz w:val="24"/>
                <w:szCs w:val="24"/>
              </w:rPr>
            </w:pPr>
          </w:p>
        </w:tc>
      </w:tr>
    </w:tbl>
    <w:p>
      <w:pPr>
        <w:widowControl/>
        <w:spacing w:line="600" w:lineRule="exact"/>
        <w:rPr>
          <w:rFonts w:hint="eastAsia" w:ascii="仿宋_GB2312" w:eastAsia="仿宋_GB2312" w:cs="宋体"/>
          <w:bCs/>
          <w:kern w:val="0"/>
          <w:sz w:val="28"/>
          <w:szCs w:val="28"/>
          <w:lang w:bidi="ar-SA"/>
        </w:rPr>
      </w:pPr>
      <w:r>
        <w:rPr>
          <w:rFonts w:hint="eastAsia" w:ascii="仿宋_GB2312" w:eastAsia="仿宋_GB2312" w:cs="宋体"/>
          <w:bCs/>
          <w:kern w:val="0"/>
          <w:sz w:val="28"/>
          <w:szCs w:val="28"/>
          <w:lang w:bidi="ar-SA"/>
        </w:rPr>
        <w:t>备注：该汇总表应包括上次汇总情况的累计。</w:t>
      </w:r>
    </w:p>
    <w:p>
      <w:pPr>
        <w:widowControl/>
        <w:spacing w:line="600" w:lineRule="exact"/>
        <w:rPr>
          <w:rFonts w:hint="eastAsia" w:ascii="黑体" w:eastAsia="黑体" w:cs="黑体"/>
          <w:bCs/>
          <w:kern w:val="0"/>
          <w:sz w:val="32"/>
          <w:szCs w:val="32"/>
          <w:lang w:bidi="ar-SA"/>
        </w:rPr>
      </w:pPr>
    </w:p>
    <w:p>
      <w:pPr>
        <w:widowControl/>
        <w:spacing w:line="600" w:lineRule="exact"/>
        <w:rPr>
          <w:rFonts w:hint="eastAsia" w:ascii="黑体" w:eastAsia="黑体" w:cs="黑体"/>
          <w:bCs/>
          <w:kern w:val="0"/>
          <w:sz w:val="32"/>
          <w:szCs w:val="32"/>
          <w:lang w:bidi="ar-SA"/>
        </w:rPr>
      </w:pPr>
    </w:p>
    <w:p>
      <w:pPr>
        <w:widowControl/>
        <w:spacing w:line="600" w:lineRule="exact"/>
        <w:rPr>
          <w:rFonts w:hint="eastAsia" w:ascii="方正小标宋简体" w:hAnsi="方正小标宋简体" w:eastAsia="黑体" w:cs="宋体"/>
          <w:bCs/>
          <w:kern w:val="0"/>
          <w:sz w:val="36"/>
          <w:szCs w:val="36"/>
          <w:lang w:val="en-US" w:eastAsia="zh-CN" w:bidi="ar-SA"/>
        </w:rPr>
      </w:pPr>
      <w:r>
        <w:rPr>
          <w:rFonts w:hint="eastAsia" w:ascii="黑体" w:eastAsia="黑体" w:cs="黑体"/>
          <w:bCs/>
          <w:kern w:val="0"/>
          <w:sz w:val="32"/>
          <w:szCs w:val="32"/>
          <w:lang w:bidi="ar-SA"/>
        </w:rPr>
        <w:br w:type="page"/>
      </w:r>
      <w:r>
        <w:rPr>
          <w:rFonts w:hint="eastAsia" w:ascii="黑体" w:eastAsia="黑体" w:cs="黑体"/>
          <w:bCs/>
          <w:kern w:val="0"/>
          <w:sz w:val="32"/>
          <w:szCs w:val="32"/>
          <w:lang w:bidi="ar-SA"/>
        </w:rPr>
        <w:t>附</w:t>
      </w:r>
      <w:r>
        <w:rPr>
          <w:rFonts w:hint="eastAsia" w:ascii="黑体" w:eastAsia="黑体" w:cs="黑体"/>
          <w:bCs/>
          <w:kern w:val="0"/>
          <w:sz w:val="32"/>
          <w:szCs w:val="32"/>
          <w:lang w:eastAsia="zh-CN" w:bidi="ar-SA"/>
        </w:rPr>
        <w:t>件</w:t>
      </w:r>
      <w:r>
        <w:rPr>
          <w:rFonts w:hint="eastAsia" w:ascii="黑体" w:eastAsia="黑体" w:cs="黑体"/>
          <w:bCs/>
          <w:kern w:val="0"/>
          <w:sz w:val="32"/>
          <w:szCs w:val="32"/>
          <w:lang w:val="en-US" w:eastAsia="zh-CN" w:bidi="ar-SA"/>
        </w:rPr>
        <w:t>4</w:t>
      </w:r>
    </w:p>
    <w:p>
      <w:pPr>
        <w:widowControl/>
        <w:spacing w:line="600" w:lineRule="exact"/>
        <w:jc w:val="center"/>
        <w:rPr>
          <w:rFonts w:hint="eastAsia" w:ascii="方正小标宋简体" w:eastAsia="方正小标宋简体" w:cs="宋体"/>
          <w:bCs/>
          <w:kern w:val="0"/>
          <w:sz w:val="44"/>
          <w:szCs w:val="44"/>
          <w:lang w:bidi="ar-SA"/>
        </w:rPr>
      </w:pPr>
      <w:r>
        <w:rPr>
          <w:rFonts w:hint="eastAsia" w:ascii="方正小标宋简体" w:eastAsia="方正小标宋简体" w:cs="宋体"/>
          <w:bCs/>
          <w:kern w:val="0"/>
          <w:sz w:val="44"/>
          <w:szCs w:val="44"/>
          <w:lang w:bidi="ar-SA"/>
        </w:rPr>
        <w:t>存在问题汇总表</w:t>
      </w:r>
    </w:p>
    <w:p>
      <w:pPr>
        <w:spacing w:line="600" w:lineRule="exact"/>
        <w:rPr>
          <w:rFonts w:hint="eastAsia" w:ascii="仿宋_GB2312" w:eastAsia="仿宋_GB2312"/>
          <w:sz w:val="28"/>
        </w:rPr>
      </w:pPr>
      <w:r>
        <w:rPr>
          <w:rFonts w:hint="eastAsia" w:ascii="仿宋_GB2312" w:eastAsia="仿宋_GB2312"/>
          <w:kern w:val="0"/>
          <w:sz w:val="24"/>
          <w:szCs w:val="24"/>
          <w:u w:val="single"/>
        </w:rPr>
        <w:t xml:space="preserve">　　   </w:t>
      </w:r>
      <w:r>
        <w:rPr>
          <w:rFonts w:hint="eastAsia" w:ascii="仿宋_GB2312" w:eastAsia="仿宋_GB2312"/>
          <w:kern w:val="0"/>
          <w:sz w:val="24"/>
          <w:szCs w:val="24"/>
          <w:u w:val="single"/>
          <w:lang w:val="en-US" w:eastAsia="zh-CN"/>
        </w:rPr>
        <w:t xml:space="preserve">    </w:t>
      </w:r>
      <w:r>
        <w:rPr>
          <w:rFonts w:hint="eastAsia" w:ascii="仿宋_GB2312" w:eastAsia="仿宋_GB2312"/>
          <w:kern w:val="0"/>
          <w:sz w:val="24"/>
          <w:szCs w:val="24"/>
          <w:u w:val="single"/>
        </w:rPr>
        <w:t xml:space="preserve">  　　</w:t>
      </w:r>
      <w:r>
        <w:rPr>
          <w:rFonts w:hint="eastAsia" w:ascii="仿宋_GB2312" w:eastAsia="仿宋_GB2312"/>
          <w:sz w:val="28"/>
        </w:rPr>
        <w:t xml:space="preserve">市                                    </w:t>
      </w:r>
    </w:p>
    <w:p>
      <w:pPr>
        <w:spacing w:line="600" w:lineRule="exact"/>
        <w:rPr>
          <w:rFonts w:hint="eastAsia" w:ascii="仿宋_GB2312" w:eastAsia="仿宋_GB2312"/>
          <w:sz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920"/>
        <w:gridCol w:w="4962"/>
        <w:gridCol w:w="2409"/>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0" w:type="dxa"/>
            <w:noWrap w:val="0"/>
            <w:vAlign w:val="center"/>
          </w:tcPr>
          <w:p>
            <w:pPr>
              <w:spacing w:line="600" w:lineRule="exact"/>
              <w:jc w:val="center"/>
              <w:rPr>
                <w:rFonts w:hint="eastAsia" w:ascii="黑体" w:eastAsia="黑体"/>
                <w:sz w:val="24"/>
                <w:szCs w:val="24"/>
              </w:rPr>
            </w:pPr>
            <w:r>
              <w:rPr>
                <w:rFonts w:hint="eastAsia" w:ascii="黑体" w:eastAsia="黑体"/>
                <w:sz w:val="24"/>
                <w:szCs w:val="24"/>
              </w:rPr>
              <w:t>存在问题的单位名称</w:t>
            </w:r>
          </w:p>
        </w:tc>
        <w:tc>
          <w:tcPr>
            <w:tcW w:w="920" w:type="dxa"/>
            <w:noWrap w:val="0"/>
            <w:vAlign w:val="center"/>
          </w:tcPr>
          <w:p>
            <w:pPr>
              <w:spacing w:line="600" w:lineRule="exact"/>
              <w:jc w:val="center"/>
              <w:rPr>
                <w:rFonts w:hint="eastAsia" w:ascii="黑体" w:eastAsia="黑体"/>
                <w:sz w:val="24"/>
                <w:szCs w:val="24"/>
              </w:rPr>
            </w:pPr>
            <w:r>
              <w:rPr>
                <w:rFonts w:hint="eastAsia" w:ascii="黑体" w:eastAsia="黑体"/>
                <w:sz w:val="24"/>
                <w:szCs w:val="24"/>
              </w:rPr>
              <w:t>类别</w:t>
            </w:r>
          </w:p>
        </w:tc>
        <w:tc>
          <w:tcPr>
            <w:tcW w:w="4962" w:type="dxa"/>
            <w:noWrap w:val="0"/>
            <w:vAlign w:val="center"/>
          </w:tcPr>
          <w:p>
            <w:pPr>
              <w:spacing w:line="600" w:lineRule="exact"/>
              <w:jc w:val="center"/>
              <w:rPr>
                <w:rFonts w:hint="eastAsia" w:ascii="黑体" w:eastAsia="黑体"/>
                <w:sz w:val="24"/>
                <w:szCs w:val="24"/>
              </w:rPr>
            </w:pPr>
            <w:r>
              <w:rPr>
                <w:rFonts w:hint="eastAsia" w:ascii="黑体" w:eastAsia="黑体"/>
                <w:sz w:val="24"/>
                <w:szCs w:val="24"/>
              </w:rPr>
              <w:t>具体存在问题</w:t>
            </w:r>
          </w:p>
        </w:tc>
        <w:tc>
          <w:tcPr>
            <w:tcW w:w="2409" w:type="dxa"/>
            <w:noWrap w:val="0"/>
            <w:vAlign w:val="center"/>
          </w:tcPr>
          <w:p>
            <w:pPr>
              <w:spacing w:line="600" w:lineRule="exact"/>
              <w:jc w:val="center"/>
              <w:rPr>
                <w:rFonts w:hint="eastAsia" w:ascii="黑体" w:eastAsia="黑体"/>
                <w:sz w:val="24"/>
                <w:szCs w:val="24"/>
              </w:rPr>
            </w:pPr>
            <w:r>
              <w:rPr>
                <w:rFonts w:hint="eastAsia" w:ascii="黑体" w:eastAsia="黑体"/>
                <w:sz w:val="24"/>
                <w:szCs w:val="24"/>
              </w:rPr>
              <w:t>处理结果</w:t>
            </w:r>
          </w:p>
        </w:tc>
        <w:tc>
          <w:tcPr>
            <w:tcW w:w="3741" w:type="dxa"/>
            <w:noWrap w:val="0"/>
            <w:vAlign w:val="center"/>
          </w:tcPr>
          <w:p>
            <w:pPr>
              <w:spacing w:line="600" w:lineRule="exact"/>
              <w:jc w:val="center"/>
              <w:rPr>
                <w:rFonts w:hint="eastAsia" w:ascii="黑体" w:eastAsia="黑体"/>
                <w:sz w:val="24"/>
                <w:szCs w:val="24"/>
              </w:rPr>
            </w:pPr>
            <w:r>
              <w:rPr>
                <w:rFonts w:hint="eastAsia" w:ascii="黑体" w:eastAsia="黑体"/>
                <w:sz w:val="24"/>
                <w:szCs w:val="24"/>
              </w:rPr>
              <w:t>具体整改情况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90" w:type="dxa"/>
            <w:noWrap w:val="0"/>
            <w:vAlign w:val="center"/>
          </w:tcPr>
          <w:p>
            <w:pPr>
              <w:spacing w:line="600" w:lineRule="exact"/>
              <w:jc w:val="center"/>
              <w:rPr>
                <w:rFonts w:hint="eastAsia" w:ascii="黑体" w:eastAsia="黑体"/>
                <w:sz w:val="24"/>
                <w:szCs w:val="24"/>
              </w:rPr>
            </w:pPr>
          </w:p>
        </w:tc>
        <w:tc>
          <w:tcPr>
            <w:tcW w:w="920" w:type="dxa"/>
            <w:noWrap w:val="0"/>
            <w:vAlign w:val="top"/>
          </w:tcPr>
          <w:p>
            <w:pPr>
              <w:spacing w:line="600" w:lineRule="exact"/>
              <w:jc w:val="center"/>
              <w:rPr>
                <w:rFonts w:hint="eastAsia" w:ascii="黑体" w:eastAsia="黑体"/>
                <w:sz w:val="24"/>
                <w:szCs w:val="24"/>
              </w:rPr>
            </w:pPr>
          </w:p>
        </w:tc>
        <w:tc>
          <w:tcPr>
            <w:tcW w:w="4962" w:type="dxa"/>
            <w:noWrap w:val="0"/>
            <w:vAlign w:val="center"/>
          </w:tcPr>
          <w:p>
            <w:pPr>
              <w:spacing w:line="600" w:lineRule="exact"/>
              <w:jc w:val="center"/>
              <w:rPr>
                <w:rFonts w:hint="eastAsia" w:ascii="黑体" w:eastAsia="黑体"/>
                <w:sz w:val="24"/>
                <w:szCs w:val="24"/>
              </w:rPr>
            </w:pPr>
          </w:p>
        </w:tc>
        <w:tc>
          <w:tcPr>
            <w:tcW w:w="2409" w:type="dxa"/>
            <w:noWrap w:val="0"/>
            <w:vAlign w:val="center"/>
          </w:tcPr>
          <w:p>
            <w:pPr>
              <w:spacing w:line="600" w:lineRule="exact"/>
              <w:jc w:val="center"/>
              <w:rPr>
                <w:rFonts w:hint="eastAsia" w:ascii="黑体" w:eastAsia="黑体"/>
                <w:sz w:val="24"/>
                <w:szCs w:val="24"/>
              </w:rPr>
            </w:pPr>
          </w:p>
        </w:tc>
        <w:tc>
          <w:tcPr>
            <w:tcW w:w="3741" w:type="dxa"/>
            <w:noWrap w:val="0"/>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noWrap w:val="0"/>
            <w:vAlign w:val="center"/>
          </w:tcPr>
          <w:p>
            <w:pPr>
              <w:spacing w:line="600" w:lineRule="exact"/>
              <w:jc w:val="center"/>
              <w:rPr>
                <w:rFonts w:hint="eastAsia" w:ascii="黑体" w:eastAsia="黑体"/>
                <w:sz w:val="24"/>
                <w:szCs w:val="24"/>
              </w:rPr>
            </w:pPr>
          </w:p>
        </w:tc>
        <w:tc>
          <w:tcPr>
            <w:tcW w:w="920" w:type="dxa"/>
            <w:noWrap w:val="0"/>
            <w:vAlign w:val="top"/>
          </w:tcPr>
          <w:p>
            <w:pPr>
              <w:spacing w:line="600" w:lineRule="exact"/>
              <w:jc w:val="center"/>
              <w:rPr>
                <w:rFonts w:hint="eastAsia" w:ascii="黑体" w:eastAsia="黑体"/>
                <w:sz w:val="24"/>
                <w:szCs w:val="24"/>
              </w:rPr>
            </w:pPr>
          </w:p>
        </w:tc>
        <w:tc>
          <w:tcPr>
            <w:tcW w:w="4962" w:type="dxa"/>
            <w:noWrap w:val="0"/>
            <w:vAlign w:val="center"/>
          </w:tcPr>
          <w:p>
            <w:pPr>
              <w:spacing w:line="600" w:lineRule="exact"/>
              <w:jc w:val="center"/>
              <w:rPr>
                <w:rFonts w:hint="eastAsia" w:ascii="黑体" w:eastAsia="黑体"/>
                <w:sz w:val="24"/>
                <w:szCs w:val="24"/>
              </w:rPr>
            </w:pPr>
          </w:p>
        </w:tc>
        <w:tc>
          <w:tcPr>
            <w:tcW w:w="2409" w:type="dxa"/>
            <w:noWrap w:val="0"/>
            <w:vAlign w:val="center"/>
          </w:tcPr>
          <w:p>
            <w:pPr>
              <w:spacing w:line="600" w:lineRule="exact"/>
              <w:jc w:val="center"/>
              <w:rPr>
                <w:rFonts w:hint="eastAsia" w:ascii="黑体" w:eastAsia="黑体"/>
                <w:sz w:val="24"/>
                <w:szCs w:val="24"/>
              </w:rPr>
            </w:pPr>
          </w:p>
        </w:tc>
        <w:tc>
          <w:tcPr>
            <w:tcW w:w="3741" w:type="dxa"/>
            <w:noWrap w:val="0"/>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noWrap w:val="0"/>
            <w:vAlign w:val="center"/>
          </w:tcPr>
          <w:p>
            <w:pPr>
              <w:spacing w:line="600" w:lineRule="exact"/>
              <w:jc w:val="center"/>
              <w:rPr>
                <w:rFonts w:hint="eastAsia" w:ascii="黑体" w:eastAsia="黑体"/>
                <w:sz w:val="24"/>
                <w:szCs w:val="24"/>
              </w:rPr>
            </w:pPr>
          </w:p>
        </w:tc>
        <w:tc>
          <w:tcPr>
            <w:tcW w:w="920" w:type="dxa"/>
            <w:noWrap w:val="0"/>
            <w:vAlign w:val="top"/>
          </w:tcPr>
          <w:p>
            <w:pPr>
              <w:spacing w:line="600" w:lineRule="exact"/>
              <w:jc w:val="center"/>
              <w:rPr>
                <w:rFonts w:hint="eastAsia" w:ascii="黑体" w:eastAsia="黑体"/>
                <w:sz w:val="24"/>
                <w:szCs w:val="24"/>
              </w:rPr>
            </w:pPr>
          </w:p>
        </w:tc>
        <w:tc>
          <w:tcPr>
            <w:tcW w:w="4962" w:type="dxa"/>
            <w:noWrap w:val="0"/>
            <w:vAlign w:val="center"/>
          </w:tcPr>
          <w:p>
            <w:pPr>
              <w:spacing w:line="600" w:lineRule="exact"/>
              <w:jc w:val="center"/>
              <w:rPr>
                <w:rFonts w:hint="eastAsia" w:ascii="黑体" w:eastAsia="黑体"/>
                <w:sz w:val="24"/>
                <w:szCs w:val="24"/>
              </w:rPr>
            </w:pPr>
          </w:p>
        </w:tc>
        <w:tc>
          <w:tcPr>
            <w:tcW w:w="2409" w:type="dxa"/>
            <w:noWrap w:val="0"/>
            <w:vAlign w:val="center"/>
          </w:tcPr>
          <w:p>
            <w:pPr>
              <w:spacing w:line="600" w:lineRule="exact"/>
              <w:jc w:val="center"/>
              <w:rPr>
                <w:rFonts w:hint="eastAsia" w:ascii="黑体" w:eastAsia="黑体"/>
                <w:sz w:val="24"/>
                <w:szCs w:val="24"/>
              </w:rPr>
            </w:pPr>
          </w:p>
        </w:tc>
        <w:tc>
          <w:tcPr>
            <w:tcW w:w="3741" w:type="dxa"/>
            <w:noWrap w:val="0"/>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noWrap w:val="0"/>
            <w:vAlign w:val="center"/>
          </w:tcPr>
          <w:p>
            <w:pPr>
              <w:spacing w:line="600" w:lineRule="exact"/>
              <w:jc w:val="center"/>
              <w:rPr>
                <w:rFonts w:hint="eastAsia" w:ascii="黑体" w:eastAsia="黑体"/>
                <w:sz w:val="24"/>
                <w:szCs w:val="24"/>
              </w:rPr>
            </w:pPr>
          </w:p>
        </w:tc>
        <w:tc>
          <w:tcPr>
            <w:tcW w:w="920" w:type="dxa"/>
            <w:noWrap w:val="0"/>
            <w:vAlign w:val="top"/>
          </w:tcPr>
          <w:p>
            <w:pPr>
              <w:spacing w:line="600" w:lineRule="exact"/>
              <w:jc w:val="center"/>
              <w:rPr>
                <w:rFonts w:hint="eastAsia" w:ascii="黑体" w:eastAsia="黑体"/>
                <w:sz w:val="24"/>
                <w:szCs w:val="24"/>
              </w:rPr>
            </w:pPr>
          </w:p>
        </w:tc>
        <w:tc>
          <w:tcPr>
            <w:tcW w:w="4962" w:type="dxa"/>
            <w:noWrap w:val="0"/>
            <w:vAlign w:val="center"/>
          </w:tcPr>
          <w:p>
            <w:pPr>
              <w:spacing w:line="600" w:lineRule="exact"/>
              <w:jc w:val="center"/>
              <w:rPr>
                <w:rFonts w:hint="eastAsia" w:ascii="黑体" w:eastAsia="黑体"/>
                <w:sz w:val="24"/>
                <w:szCs w:val="24"/>
              </w:rPr>
            </w:pPr>
          </w:p>
        </w:tc>
        <w:tc>
          <w:tcPr>
            <w:tcW w:w="2409" w:type="dxa"/>
            <w:noWrap w:val="0"/>
            <w:vAlign w:val="center"/>
          </w:tcPr>
          <w:p>
            <w:pPr>
              <w:spacing w:line="600" w:lineRule="exact"/>
              <w:jc w:val="center"/>
              <w:rPr>
                <w:rFonts w:hint="eastAsia" w:ascii="黑体" w:eastAsia="黑体"/>
                <w:sz w:val="24"/>
                <w:szCs w:val="24"/>
              </w:rPr>
            </w:pPr>
          </w:p>
        </w:tc>
        <w:tc>
          <w:tcPr>
            <w:tcW w:w="3741" w:type="dxa"/>
            <w:noWrap w:val="0"/>
            <w:vAlign w:val="center"/>
          </w:tcPr>
          <w:p>
            <w:pPr>
              <w:spacing w:line="600" w:lineRule="exac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noWrap w:val="0"/>
            <w:vAlign w:val="center"/>
          </w:tcPr>
          <w:p>
            <w:pPr>
              <w:spacing w:line="600" w:lineRule="exact"/>
              <w:jc w:val="center"/>
              <w:rPr>
                <w:rFonts w:hint="eastAsia" w:ascii="仿宋" w:eastAsia="仿宋"/>
                <w:sz w:val="32"/>
                <w:szCs w:val="32"/>
              </w:rPr>
            </w:pPr>
          </w:p>
        </w:tc>
        <w:tc>
          <w:tcPr>
            <w:tcW w:w="920" w:type="dxa"/>
            <w:noWrap w:val="0"/>
            <w:vAlign w:val="top"/>
          </w:tcPr>
          <w:p>
            <w:pPr>
              <w:spacing w:line="600" w:lineRule="exact"/>
              <w:jc w:val="center"/>
              <w:rPr>
                <w:rFonts w:hint="eastAsia" w:ascii="仿宋" w:eastAsia="仿宋"/>
                <w:sz w:val="32"/>
                <w:szCs w:val="32"/>
              </w:rPr>
            </w:pPr>
          </w:p>
        </w:tc>
        <w:tc>
          <w:tcPr>
            <w:tcW w:w="4962" w:type="dxa"/>
            <w:noWrap w:val="0"/>
            <w:vAlign w:val="center"/>
          </w:tcPr>
          <w:p>
            <w:pPr>
              <w:spacing w:line="600" w:lineRule="exact"/>
              <w:jc w:val="center"/>
              <w:rPr>
                <w:rFonts w:hint="eastAsia" w:ascii="仿宋" w:eastAsia="仿宋"/>
                <w:sz w:val="32"/>
                <w:szCs w:val="32"/>
              </w:rPr>
            </w:pPr>
          </w:p>
        </w:tc>
        <w:tc>
          <w:tcPr>
            <w:tcW w:w="2409" w:type="dxa"/>
            <w:noWrap w:val="0"/>
            <w:vAlign w:val="center"/>
          </w:tcPr>
          <w:p>
            <w:pPr>
              <w:spacing w:line="600" w:lineRule="exact"/>
              <w:jc w:val="center"/>
              <w:rPr>
                <w:rFonts w:hint="eastAsia" w:ascii="仿宋" w:eastAsia="仿宋"/>
                <w:sz w:val="32"/>
                <w:szCs w:val="32"/>
              </w:rPr>
            </w:pPr>
          </w:p>
        </w:tc>
        <w:tc>
          <w:tcPr>
            <w:tcW w:w="3741" w:type="dxa"/>
            <w:noWrap w:val="0"/>
            <w:vAlign w:val="center"/>
          </w:tcPr>
          <w:p>
            <w:pPr>
              <w:spacing w:line="600" w:lineRule="exact"/>
              <w:jc w:val="center"/>
              <w:rPr>
                <w:rFonts w:hint="eastAsia" w:asci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noWrap w:val="0"/>
            <w:vAlign w:val="center"/>
          </w:tcPr>
          <w:p>
            <w:pPr>
              <w:spacing w:line="600" w:lineRule="exact"/>
              <w:jc w:val="center"/>
              <w:rPr>
                <w:rFonts w:hint="eastAsia" w:ascii="仿宋" w:eastAsia="仿宋"/>
                <w:sz w:val="32"/>
                <w:szCs w:val="32"/>
              </w:rPr>
            </w:pPr>
          </w:p>
        </w:tc>
        <w:tc>
          <w:tcPr>
            <w:tcW w:w="920" w:type="dxa"/>
            <w:noWrap w:val="0"/>
            <w:vAlign w:val="top"/>
          </w:tcPr>
          <w:p>
            <w:pPr>
              <w:spacing w:line="600" w:lineRule="exact"/>
              <w:jc w:val="center"/>
              <w:rPr>
                <w:rFonts w:hint="eastAsia" w:ascii="仿宋" w:eastAsia="仿宋"/>
                <w:sz w:val="32"/>
                <w:szCs w:val="32"/>
              </w:rPr>
            </w:pPr>
          </w:p>
        </w:tc>
        <w:tc>
          <w:tcPr>
            <w:tcW w:w="4962" w:type="dxa"/>
            <w:noWrap w:val="0"/>
            <w:vAlign w:val="center"/>
          </w:tcPr>
          <w:p>
            <w:pPr>
              <w:spacing w:line="600" w:lineRule="exact"/>
              <w:jc w:val="center"/>
              <w:rPr>
                <w:rFonts w:hint="eastAsia" w:ascii="仿宋" w:eastAsia="仿宋"/>
                <w:sz w:val="32"/>
                <w:szCs w:val="32"/>
              </w:rPr>
            </w:pPr>
          </w:p>
        </w:tc>
        <w:tc>
          <w:tcPr>
            <w:tcW w:w="2409" w:type="dxa"/>
            <w:noWrap w:val="0"/>
            <w:vAlign w:val="center"/>
          </w:tcPr>
          <w:p>
            <w:pPr>
              <w:spacing w:line="600" w:lineRule="exact"/>
              <w:jc w:val="center"/>
              <w:rPr>
                <w:rFonts w:hint="eastAsia" w:ascii="仿宋" w:eastAsia="仿宋"/>
                <w:sz w:val="32"/>
                <w:szCs w:val="32"/>
              </w:rPr>
            </w:pPr>
          </w:p>
        </w:tc>
        <w:tc>
          <w:tcPr>
            <w:tcW w:w="3741" w:type="dxa"/>
            <w:noWrap w:val="0"/>
            <w:vAlign w:val="center"/>
          </w:tcPr>
          <w:p>
            <w:pPr>
              <w:spacing w:line="600" w:lineRule="exact"/>
              <w:jc w:val="center"/>
              <w:rPr>
                <w:rFonts w:hint="eastAsia" w:ascii="仿宋" w:eastAsia="仿宋"/>
                <w:sz w:val="32"/>
                <w:szCs w:val="32"/>
              </w:rPr>
            </w:pPr>
          </w:p>
        </w:tc>
      </w:tr>
    </w:tbl>
    <w:p>
      <w:pPr>
        <w:spacing w:line="600" w:lineRule="exact"/>
        <w:ind w:left="-315" w:leftChars="-150" w:firstLine="560" w:firstLineChars="200"/>
        <w:rPr>
          <w:rFonts w:hint="eastAsia" w:ascii="仿宋_GB2312" w:eastAsia="仿宋_GB2312" w:cs="宋体"/>
          <w:bCs/>
          <w:kern w:val="0"/>
          <w:sz w:val="28"/>
          <w:szCs w:val="28"/>
          <w:lang w:bidi="ar-SA"/>
        </w:rPr>
      </w:pPr>
      <w:r>
        <w:rPr>
          <w:rFonts w:hint="eastAsia" w:ascii="仿宋_GB2312" w:eastAsia="仿宋_GB2312" w:cs="宋体"/>
          <w:bCs/>
          <w:kern w:val="0"/>
          <w:sz w:val="28"/>
          <w:szCs w:val="28"/>
          <w:lang w:bidi="ar-SA"/>
        </w:rPr>
        <w:t xml:space="preserve">注：处理结果包括下达意见书和具体行政处罚内容。   </w:t>
      </w:r>
    </w:p>
    <w:p>
      <w:pPr>
        <w:spacing w:line="600" w:lineRule="exact"/>
        <w:ind w:left="-315" w:leftChars="-150" w:firstLine="560" w:firstLineChars="200"/>
        <w:rPr>
          <w:rFonts w:hint="eastAsia" w:ascii="仿宋_GB2312" w:eastAsia="仿宋_GB2312"/>
          <w:sz w:val="28"/>
          <w:szCs w:val="28"/>
          <w:lang w:val="en-US" w:eastAsia="zh-CN"/>
        </w:rPr>
        <w:sectPr>
          <w:pgSz w:w="16838" w:h="11905" w:orient="landscape"/>
          <w:pgMar w:top="1701" w:right="1417" w:bottom="1417" w:left="1417" w:header="851" w:footer="992" w:gutter="0"/>
          <w:pgNumType w:fmt="decimal"/>
          <w:cols w:space="720" w:num="1"/>
          <w:rtlGutter w:val="0"/>
          <w:docGrid w:type="lines" w:linePitch="325" w:charSpace="0"/>
        </w:sectPr>
      </w:pPr>
      <w:r>
        <w:rPr>
          <w:rFonts w:hint="eastAsia" w:ascii="仿宋_GB2312" w:eastAsia="仿宋_GB2312"/>
          <w:sz w:val="28"/>
          <w:szCs w:val="28"/>
        </w:rPr>
        <w:t>日期：                                  填表人：                  联系电话：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34D83"/>
    <w:rsid w:val="23834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等线" w:hAnsi="Times New Roman" w:eastAsia="等线" w:cs="Arial"/>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3"/>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20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2021-12-30T10:43:00Z</dcterms:created>
  <dc:creator>xjzxxzb</dc:creator>
  <cp:lastModifiedBy>xjzxxzb</cp:lastModifiedBy>
  <dcterms:modified xsi:type="dcterms:W3CDTF">2021-12-30T10:45:48Z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48FF99E160114E7095E7C97B5EAA6AD2</vt:lpwstr>
  </property>
</Properties>
</file>