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eastAsia="黑体"/>
          <w:sz w:val="32"/>
          <w:szCs w:val="32"/>
        </w:rPr>
      </w:pPr>
      <w:r>
        <w:rPr>
          <w:rFonts w:hint="eastAsia" w:ascii="黑体" w:eastAsia="黑体"/>
          <w:sz w:val="32"/>
          <w:szCs w:val="32"/>
        </w:rPr>
        <w:t>附件3</w:t>
      </w:r>
    </w:p>
    <w:p>
      <w:pPr>
        <w:spacing w:line="560" w:lineRule="exact"/>
        <w:jc w:val="center"/>
        <w:rPr>
          <w:rFonts w:hint="eastAsia" w:ascii="方正小标宋简体" w:eastAsia="方正小标宋简体" w:cs="方正小标宋简体"/>
          <w:kern w:val="0"/>
          <w:sz w:val="44"/>
          <w:szCs w:val="44"/>
        </w:rPr>
      </w:pPr>
      <w:bookmarkStart w:id="0" w:name="_GoBack"/>
      <w:r>
        <w:rPr>
          <w:rFonts w:hint="eastAsia" w:ascii="方正小标宋简体" w:eastAsia="方正小标宋简体"/>
          <w:sz w:val="44"/>
          <w:szCs w:val="44"/>
        </w:rPr>
        <w:t>医疗服务多元化监管绩效评价指标体系</w:t>
      </w:r>
    </w:p>
    <w:bookmarkEnd w:id="0"/>
    <w:p>
      <w:pPr>
        <w:pStyle w:val="3"/>
      </w:pPr>
    </w:p>
    <w:tbl>
      <w:tblPr>
        <w:tblStyle w:val="4"/>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255"/>
        <w:gridCol w:w="5029"/>
        <w:gridCol w:w="667"/>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1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黑体" w:eastAsia="黑体" w:cs="黑体"/>
                <w:sz w:val="24"/>
              </w:rPr>
            </w:pPr>
            <w:r>
              <w:rPr>
                <w:rFonts w:hint="eastAsia" w:ascii="黑体" w:eastAsia="黑体" w:cs="黑体"/>
              </w:rPr>
              <w:t>一级指标</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黑体" w:eastAsia="黑体" w:cs="黑体"/>
              </w:rPr>
            </w:pPr>
            <w:r>
              <w:rPr>
                <w:rFonts w:hint="eastAsia" w:ascii="黑体" w:eastAsia="黑体" w:cs="黑体"/>
              </w:rPr>
              <w:t>二级指标</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黑体" w:eastAsia="黑体" w:cs="黑体"/>
                <w:sz w:val="24"/>
              </w:rPr>
            </w:pPr>
            <w:r>
              <w:rPr>
                <w:rFonts w:hint="eastAsia" w:ascii="黑体" w:eastAsia="黑体" w:cs="黑体"/>
              </w:rPr>
              <w:t>考核内容</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黑体" w:eastAsia="黑体" w:cs="黑体"/>
              </w:rPr>
            </w:pPr>
            <w:r>
              <w:rPr>
                <w:rFonts w:hint="eastAsia" w:ascii="黑体" w:eastAsia="黑体" w:cs="黑体"/>
              </w:rPr>
              <w:t>分值</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黑体" w:eastAsia="黑体" w:cs="黑体"/>
              </w:rPr>
            </w:pPr>
            <w:r>
              <w:rPr>
                <w:rFonts w:hint="eastAsia" w:ascii="黑体" w:eastAsia="黑体" w:cs="黑体"/>
              </w:rPr>
              <w:t>考核时间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121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b/>
                <w:bCs/>
                <w:sz w:val="24"/>
              </w:rPr>
            </w:pPr>
            <w:r>
              <w:rPr>
                <w:rFonts w:hint="eastAsia" w:ascii="仿宋_GB2312" w:eastAsia="仿宋_GB2312" w:cs="仿宋_GB2312"/>
                <w:b/>
                <w:bCs/>
              </w:rPr>
              <w:t>一、严格落实医疗机构依法执业主体责任</w:t>
            </w:r>
          </w:p>
        </w:tc>
        <w:tc>
          <w:tcPr>
            <w:tcW w:w="132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（一）建立健全依法执业管理体系</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1.全区二级及以上医疗机构要明确依法执业管理部门和专职管理人员。</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2.二级以下医疗机构配备专职或兼职依法执业管理人员，负责本机构依法执业日常管理与自查工作。</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（二）加强依法执业培训</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3.对本单位所有医务人员开展全员依法执业培训，每年每人培训至少8小时以上，且测试合格率达到95%。</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10</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（三）全面开展依法执业自查</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4. 医疗机构各业务科室每季度开展一次常规自查，医疗机构每年至少组织一次全面的依法执业自查，对发现的问题进行整改和“回头看”。</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color w:val="C00000"/>
                <w:szCs w:val="21"/>
              </w:rPr>
            </w:pPr>
            <w:r>
              <w:rPr>
                <w:rFonts w:hint="eastAsia" w:ascii="仿宋_GB2312" w:eastAsia="仿宋_GB2312"/>
                <w:color w:val="000000"/>
                <w:szCs w:val="21"/>
              </w:rPr>
              <w:t>5. 所有医疗机构（不包含村卫生室、诊所）按文件要求在依法执业自查信息化系统上注册并使用。</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6.医疗机构内部建立依法执业自查奖惩机制。</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10</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121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b/>
                <w:bCs/>
              </w:rPr>
            </w:pPr>
          </w:p>
        </w:tc>
        <w:tc>
          <w:tcPr>
            <w:tcW w:w="132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7.医疗机构使用依法执业自查信息平台定期开展自查并整改。</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121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topLinePunct w:val="0"/>
              <w:autoSpaceDE/>
              <w:autoSpaceDN/>
              <w:bidi w:val="0"/>
              <w:adjustRightInd/>
              <w:snapToGrid/>
              <w:spacing w:line="400" w:lineRule="exact"/>
              <w:jc w:val="center"/>
              <w:textAlignment w:val="auto"/>
              <w:rPr>
                <w:rFonts w:hint="eastAsia" w:ascii="仿宋_GB2312" w:eastAsia="仿宋_GB2312" w:cs="仿宋_GB2312"/>
                <w:b/>
                <w:bCs/>
                <w:sz w:val="24"/>
              </w:rPr>
            </w:pPr>
            <w:r>
              <w:rPr>
                <w:rFonts w:hint="eastAsia" w:ascii="仿宋_GB2312" w:eastAsia="仿宋_GB2312" w:cs="仿宋_GB2312"/>
                <w:b/>
                <w:bCs/>
              </w:rPr>
              <w:t>二、充分发挥行业自律作用</w:t>
            </w:r>
          </w:p>
        </w:tc>
        <w:tc>
          <w:tcPr>
            <w:tcW w:w="132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（四）加强行业协会指导</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8.指导辖区内卫生健康相关行业协会成立自律委员会，出台自律章程，与成员单位签订依法执业承诺书。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10</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9. 指导卫生健康相关行业组织制定、完善或落实相关行业管理规范和技术标准。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2024年末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tcBorders>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（五）持续开展行业协会依法执业培训</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10.指导行业协会开展依法执业培训计划并落实。</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21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topLinePunct w:val="0"/>
              <w:autoSpaceDE/>
              <w:autoSpaceDN/>
              <w:bidi w:val="0"/>
              <w:adjustRightInd/>
              <w:snapToGrid/>
              <w:spacing w:line="400" w:lineRule="exact"/>
              <w:jc w:val="center"/>
              <w:textAlignment w:val="auto"/>
              <w:rPr>
                <w:rFonts w:hint="eastAsia" w:ascii="仿宋_GB2312" w:eastAsia="仿宋_GB2312" w:cs="仿宋_GB2312"/>
                <w:b/>
                <w:bCs/>
                <w:sz w:val="24"/>
              </w:rPr>
            </w:pPr>
            <w:r>
              <w:rPr>
                <w:rFonts w:hint="eastAsia" w:ascii="仿宋_GB2312" w:eastAsia="仿宋_GB2312" w:cs="仿宋_GB2312"/>
                <w:b/>
                <w:bCs/>
                <w:sz w:val="24"/>
              </w:rPr>
              <w:t>三、大力创新政府监管手段</w:t>
            </w:r>
          </w:p>
        </w:tc>
        <w:tc>
          <w:tcPr>
            <w:tcW w:w="132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（六）建立完善协同监管机制</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11.卫生健康行政部门与相关部门建立信息共享机制，及时动态调整部门随机抽查事项清单和部门联合抽查事项清单。</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12.卫生健康行政部门内相关单位对医疗机构校验、等级评审、绩效考核等监管环节信息共享、综合运用监管结果。</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13.加强医疗、医药、医保三方监管联动。</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10</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restart"/>
            <w:tcBorders>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（七）加强智能化监管</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14.在广西“互联网+监管”系统上全部监管事项开展监管的覆盖率不低于70%，且联合监管事项开展监管的覆盖率不低于50%，发生监管行为要及时在系统上录入监管数据。</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15.利用自治区视频监控监测系统，实现医疗废物管理、放射卫生等方面在线监控。</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10</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2023年末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restart"/>
            <w:tcBorders>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（八）加强信用监管</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16.</w:t>
            </w:r>
            <w:r>
              <w:rPr>
                <w:rFonts w:eastAsia="仿宋_GB2312"/>
                <w:color w:val="000000"/>
                <w:szCs w:val="21"/>
              </w:rPr>
              <w:t xml:space="preserve"> </w:t>
            </w:r>
            <w:r>
              <w:rPr>
                <w:rFonts w:hint="eastAsia" w:ascii="仿宋_GB2312" w:eastAsia="仿宋_GB2312"/>
                <w:color w:val="000000"/>
                <w:szCs w:val="21"/>
              </w:rPr>
              <w:t>组织实施医疗机构综合监管考评和民营医疗机构信用评价，并根据信用评价结果分级分类管理。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10</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17.全面实施《广西壮族自治区医疗机构不良执业行为记分管理暂行办法》和《广西壮族自治区医师不良执业行为记分管理办法》。</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jc w:val="center"/>
        </w:trPr>
        <w:tc>
          <w:tcPr>
            <w:tcW w:w="121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topLinePunct w:val="0"/>
              <w:autoSpaceDE/>
              <w:autoSpaceDN/>
              <w:bidi w:val="0"/>
              <w:adjustRightInd/>
              <w:snapToGrid/>
              <w:spacing w:line="400" w:lineRule="exact"/>
              <w:jc w:val="center"/>
              <w:textAlignment w:val="auto"/>
              <w:rPr>
                <w:rFonts w:hint="eastAsia" w:ascii="仿宋_GB2312" w:eastAsia="仿宋_GB2312" w:cs="仿宋_GB2312"/>
                <w:b/>
                <w:bCs/>
                <w:sz w:val="24"/>
              </w:rPr>
            </w:pPr>
            <w:r>
              <w:rPr>
                <w:rFonts w:hint="eastAsia" w:ascii="仿宋_GB2312" w:eastAsia="仿宋_GB2312" w:cs="仿宋_GB2312"/>
                <w:b/>
                <w:bCs/>
                <w:sz w:val="24"/>
              </w:rPr>
              <w:t>四、加强社会监督。</w:t>
            </w:r>
          </w:p>
        </w:tc>
        <w:tc>
          <w:tcPr>
            <w:tcW w:w="132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（九）落实普法责任</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18.通过多种渠道对卫生健康领域法律法规进行宣传和普及。</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restart"/>
            <w:tcBorders>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（十）畅通投诉举报渠道</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19.加强医疗服务投诉举报平台建设，及时跟踪和督办投诉举报线索的转办进展，统计分析案件办理质量。</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10</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20.卫生健康行政部门监管信息和结果向社会公示情况。</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restart"/>
            <w:tcBorders>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（十一）健全信息公开机制</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21.各级各类医疗机构落实院务公开、政务公开情况。</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22.对医疗机构信息公开内容的真实性和全面性要纳入信用评价重要内容。</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2023年末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23.各级各类医疗机构按照相关规定落实院务公开、政务公开。</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restart"/>
            <w:tcBorders>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（十二）强化社会监督</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24.建立医疗服务社会监督员制度。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10</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121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25.运用第三方满意度调查等方式主动发现医疗服务中的问题和不足。</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2023年末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21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topLinePunct w:val="0"/>
              <w:autoSpaceDE/>
              <w:autoSpaceDN/>
              <w:bidi w:val="0"/>
              <w:adjustRightInd/>
              <w:snapToGrid/>
              <w:spacing w:line="400" w:lineRule="exact"/>
              <w:jc w:val="center"/>
              <w:textAlignment w:val="auto"/>
              <w:rPr>
                <w:rFonts w:hint="eastAsia" w:ascii="仿宋_GB2312" w:eastAsia="仿宋_GB2312" w:cs="仿宋_GB2312"/>
                <w:b/>
                <w:bCs/>
                <w:sz w:val="24"/>
              </w:rPr>
            </w:pPr>
            <w:r>
              <w:rPr>
                <w:rFonts w:hint="eastAsia" w:ascii="仿宋_GB2312" w:eastAsia="仿宋_GB2312" w:cs="仿宋_GB2312"/>
                <w:b/>
                <w:bCs/>
                <w:sz w:val="24"/>
              </w:rPr>
              <w:t>五、保障体系建设</w:t>
            </w:r>
          </w:p>
        </w:tc>
        <w:tc>
          <w:tcPr>
            <w:tcW w:w="132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（十三）加强组织领导</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26.各设区市出台多元化监管实施方案和配套政策。</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10</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1211"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both"/>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27.卫生健康行政部门成立医疗服务多元化监管领导小组。</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（十四）强化投入保障</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28.加强卫生健康监督体系建设。</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29.推进市、县两级卫生健康监督机构规范化建设。</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2023年末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（十五）营造良好的氛围</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30.加大医疗服务多元化监管方面的宣传报道。</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121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31.建立卫生监督员（协管员）学习培训制度，有计划、有落实。</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2022年末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121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topLinePunct w:val="0"/>
              <w:autoSpaceDE/>
              <w:autoSpaceDN/>
              <w:bidi w:val="0"/>
              <w:adjustRightInd/>
              <w:snapToGrid/>
              <w:spacing w:line="400" w:lineRule="exact"/>
              <w:jc w:val="center"/>
              <w:textAlignment w:val="auto"/>
              <w:rPr>
                <w:rFonts w:hint="eastAsia" w:ascii="仿宋_GB2312" w:eastAsia="仿宋_GB2312" w:cs="仿宋_GB2312"/>
                <w:b/>
                <w:bCs/>
                <w:sz w:val="24"/>
              </w:rPr>
            </w:pPr>
            <w:r>
              <w:rPr>
                <w:rFonts w:hint="eastAsia" w:ascii="仿宋_GB2312" w:eastAsia="仿宋_GB2312" w:cs="仿宋_GB2312"/>
                <w:b/>
                <w:bCs/>
                <w:sz w:val="24"/>
              </w:rPr>
              <w:t>六、创新加分项</w:t>
            </w:r>
          </w:p>
        </w:tc>
        <w:tc>
          <w:tcPr>
            <w:tcW w:w="132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s="仿宋_GB2312"/>
                <w:szCs w:val="21"/>
              </w:rPr>
              <w:t>（十六）创新加分项</w:t>
            </w: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32.将依法执业培训纳入医务人员继续医学教育学分管理。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2024年末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33.卫生健康相关行业组织开展信用评价工作。</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2024年末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34.利用大数据、云计算等技术手段开展“互联网+监管”，开展非现场执法探索。</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2024年末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35.建立医疗服务有奖举报制度。</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2023年末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1211"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jc w:val="center"/>
              <w:textAlignment w:val="auto"/>
            </w:pPr>
          </w:p>
        </w:tc>
        <w:tc>
          <w:tcPr>
            <w:tcW w:w="1326" w:type="dxa"/>
            <w:vMerge w:val="continue"/>
            <w:tcBorders>
              <w:left w:val="single" w:color="auto" w:sz="4" w:space="0"/>
              <w:right w:val="single" w:color="auto" w:sz="4" w:space="0"/>
            </w:tcBorders>
            <w:noWrap w:val="0"/>
            <w:vAlign w:val="center"/>
          </w:tcPr>
          <w:p>
            <w:pPr>
              <w:keepNext w:val="0"/>
              <w:keepLines w:val="0"/>
              <w:pageBreakBefore w:val="0"/>
              <w:kinsoku/>
              <w:wordWrap/>
              <w:topLinePunct w:val="0"/>
              <w:autoSpaceDE/>
              <w:autoSpaceDN/>
              <w:bidi w:val="0"/>
              <w:adjustRightInd/>
              <w:snapToGrid/>
              <w:spacing w:line="400" w:lineRule="exact"/>
              <w:textAlignment w:val="auto"/>
            </w:pPr>
          </w:p>
        </w:tc>
        <w:tc>
          <w:tcPr>
            <w:tcW w:w="5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textAlignment w:val="auto"/>
              <w:rPr>
                <w:rFonts w:hint="eastAsia" w:ascii="仿宋_GB2312" w:eastAsia="仿宋_GB2312" w:cs="仿宋_GB2312"/>
                <w:szCs w:val="21"/>
              </w:rPr>
            </w:pPr>
            <w:r>
              <w:rPr>
                <w:rFonts w:hint="eastAsia" w:ascii="仿宋_GB2312" w:eastAsia="仿宋_GB2312"/>
                <w:color w:val="000000"/>
                <w:szCs w:val="21"/>
              </w:rPr>
              <w:t>36.报送医疗服务多元化监管方面的先进典型经验材料。</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zCs w:val="21"/>
              </w:rPr>
            </w:pPr>
            <w:r>
              <w:rPr>
                <w:rFonts w:hint="eastAsia" w:ascii="仿宋_GB2312" w:eastAsia="仿宋_GB2312"/>
                <w:color w:val="000000"/>
                <w:szCs w:val="21"/>
              </w:rPr>
              <w:t>10</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s="仿宋_GB2312"/>
                <w:spacing w:val="-20"/>
                <w:szCs w:val="21"/>
              </w:rPr>
            </w:pPr>
            <w:r>
              <w:rPr>
                <w:rFonts w:hint="eastAsia" w:ascii="仿宋_GB2312" w:eastAsia="仿宋_GB2312"/>
                <w:color w:val="000000"/>
                <w:spacing w:val="-20"/>
                <w:szCs w:val="21"/>
              </w:rPr>
              <w:t>2024年末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7851" w:type="dxa"/>
            <w:gridSpan w:val="3"/>
            <w:tcBorders>
              <w:left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olor w:val="000000"/>
                <w:szCs w:val="21"/>
              </w:rPr>
            </w:pPr>
            <w:r>
              <w:rPr>
                <w:rFonts w:hint="eastAsia" w:ascii="仿宋_GB2312" w:eastAsia="仿宋_GB2312"/>
                <w:color w:val="000000"/>
                <w:szCs w:val="21"/>
              </w:rPr>
              <w:t>合计</w:t>
            </w:r>
          </w:p>
        </w:tc>
        <w:tc>
          <w:tcPr>
            <w:tcW w:w="7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olor w:val="000000"/>
                <w:szCs w:val="21"/>
              </w:rPr>
            </w:pPr>
            <w:r>
              <w:rPr>
                <w:rFonts w:hint="eastAsia" w:ascii="仿宋_GB2312" w:eastAsia="仿宋_GB2312"/>
                <w:color w:val="000000"/>
                <w:szCs w:val="21"/>
              </w:rPr>
              <w:t>300</w:t>
            </w:r>
          </w:p>
        </w:tc>
        <w:tc>
          <w:tcPr>
            <w:tcW w:w="10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autoSpaceDE/>
              <w:autoSpaceDN/>
              <w:bidi w:val="0"/>
              <w:adjustRightInd/>
              <w:snapToGrid/>
              <w:spacing w:line="400" w:lineRule="exact"/>
              <w:jc w:val="center"/>
              <w:textAlignment w:val="auto"/>
              <w:rPr>
                <w:rFonts w:hint="eastAsia" w:ascii="仿宋_GB2312" w:eastAsia="仿宋_GB2312"/>
                <w:color w:val="000000"/>
                <w:szCs w:val="21"/>
              </w:rPr>
            </w:pPr>
          </w:p>
        </w:tc>
      </w:tr>
    </w:tbl>
    <w:p>
      <w:pPr>
        <w:rPr>
          <w:rFonts w:hint="eastAsia" w:ascii="仿宋_GB2312" w:eastAsia="仿宋_GB2312"/>
          <w:color w:val="000000"/>
          <w:szCs w:val="21"/>
          <w:lang w:eastAsia="zh-CN"/>
        </w:rPr>
      </w:pPr>
      <w:r>
        <w:rPr>
          <w:rFonts w:hint="eastAsia" w:ascii="仿宋_GB2312" w:eastAsia="仿宋_GB2312"/>
          <w:color w:val="000000"/>
          <w:szCs w:val="21"/>
        </w:rPr>
        <w:t>备注：1.每年考核前会根据当年情况制定详细的考核评分标准和方案</w:t>
      </w:r>
      <w:r>
        <w:rPr>
          <w:rFonts w:hint="eastAsia" w:ascii="仿宋_GB2312" w:eastAsia="仿宋_GB2312"/>
          <w:color w:val="000000"/>
          <w:szCs w:val="21"/>
          <w:lang w:eastAsia="zh-CN"/>
        </w:rPr>
        <w:t>。</w:t>
      </w:r>
    </w:p>
    <w:p>
      <w:pPr>
        <w:ind w:left="840" w:leftChars="300" w:hanging="210" w:hangingChars="100"/>
        <w:rPr>
          <w:rFonts w:hint="eastAsia" w:ascii="仿宋_GB2312" w:eastAsia="仿宋_GB2312"/>
          <w:color w:val="000000"/>
          <w:szCs w:val="21"/>
        </w:rPr>
      </w:pPr>
      <w:r>
        <w:rPr>
          <w:rFonts w:hint="eastAsia" w:ascii="仿宋_GB2312" w:eastAsia="仿宋_GB2312"/>
          <w:color w:val="000000"/>
          <w:szCs w:val="21"/>
        </w:rPr>
        <w:t>2.2023年末考核包含2022年和2023年指标，2024年末考核包含2022年、2023和2024</w:t>
      </w:r>
      <w:r>
        <w:rPr>
          <w:rFonts w:hint="eastAsia" w:ascii="仿宋_GB2312" w:eastAsia="仿宋_GB2312"/>
          <w:color w:val="000000"/>
          <w:szCs w:val="21"/>
          <w:lang w:val="en-US" w:eastAsia="zh-CN"/>
        </w:rPr>
        <w:t xml:space="preserve">    </w:t>
      </w:r>
      <w:r>
        <w:rPr>
          <w:rFonts w:hint="eastAsia" w:ascii="仿宋_GB2312" w:eastAsia="仿宋_GB2312"/>
          <w:color w:val="000000"/>
          <w:szCs w:val="21"/>
        </w:rPr>
        <w:t>年指标。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67784"/>
    <w:rsid w:val="405677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cs="Arial"/>
      <w:sz w:val="52"/>
      <w:szCs w:val="22"/>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2021-11-02T08:55:00Z</dcterms:created>
  <dc:creator>xjzxxzb</dc:creator>
  <cp:lastModifiedBy>xjzxxzb</cp:lastModifiedBy>
  <dcterms:modified xsi:type="dcterms:W3CDTF">2021-11-02T08:55:42Z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AB5CE356AA8F4ECDB4C7B1FCC2204AEA</vt:lpwstr>
  </property>
</Properties>
</file>