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eastAsia="zh-CN"/>
        </w:rPr>
        <w:t>全区乡镇生活饮用水集中式供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  <w:t>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eastAsia="zh-CN"/>
        </w:rPr>
        <w:t>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  <w:t>质在线监测设备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eastAsia="zh-CN"/>
        </w:rPr>
        <w:t>随机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  <w:t>抽查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一、监督检查对象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抽查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辖区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10%的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乡镇生活饮用水集中式供水水质在线监测设备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抽查的设备应当为部署在不同乡镇的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水质在线监测设备。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二、监督检查内容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/>
        </w:rPr>
        <w:t>监管机构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所在县负责水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质在线监测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项目的具体实施单位基本情况。是否制定监管规章制度与监管频率；是否有比对工作流程；是否安排具体监管负责人。是否委托第三方机构对项目进行监管，核查数据是否准确。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（二）设备管理情况。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1.设备数量和布局。在线监测设备的数量和布局是否满足当地实际需求，安装位置是否合理。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设备技术性能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。在线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监测设备的技术性能、精度、稳定性等指标是否达到国家相关规定要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求；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是否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有计量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书或有资质的机构出具的检测报告。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（三）设备监测数据管理情况。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1.数据上传。是否有专人负责数据上传工作；设备数据是否能及时传输到县、市、自治区等平台；上传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数据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与监测数据是否一致；是否能保证每15分钟更新数据并上传；是否能保证每日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至少进行一次数据校验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2.数据监管。监管人员是否能查看监测数据；数据出现异常是否能即时报警，是否制定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紧急处理预案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；是否能查询12个月以上历史数据；是否能按照规定时限对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监测数据进行提交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备份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、管理和分析。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（四）设备运行维护情况。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1.运维服务。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设备制造商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名称、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中标公司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名称、提供运维服务的机构名称；运维人员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平均每人维护设备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台数、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定期维护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填写维护记录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情况；是否经过专门技术培训；是否熟练掌握设备操作，包含设备调试、比对试验、数据调出等。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2.设备运行。设备维护频率；是否能在设备报警后6个小时内排除故障；是否有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设备管理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维护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、比对、校验、维修等记录；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/>
        </w:rPr>
        <w:t>是否全面采用可远程管理的技术手段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；是否每月对每台设备开展一次全面比对校验，是否有2名卫生监督员到比对现场监督并签字。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（一）各地要高度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重视乡镇生活饮用水集中式供水质在线监测设备随机抽查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工作，结合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已下发的各项通知文件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制订本辖区的工作方案并按计划、统筹安排、分步骤组织实施。抽查过程中发现存在违法行为，要依法严肃查处，重大案件及时上报查处情况。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（二）各地要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切实加强上报数据信息的审核，保证数据信息项目齐全、质量可靠，请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于11月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日前完成抽查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任务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eastAsia="zh-CN"/>
        </w:rPr>
        <w:t>和数据填报工作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</w:rPr>
        <w:t>，并通过广西卫生监督管理执法平台报送数据。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联系人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联系电话：自治区卫生监督所监督二科吴太维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0771-5320553、0771-5317810（传真）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instrText xml:space="preserve"> HYPERLINK "mailto:gxwsjd2k@wsjkw.gxzf.gov.cn"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gxwsjd2k@wsjkw.gxzf.gov.cn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附表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水质在线监测设备现场比对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 xml:space="preserve">      2.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水质在线监测设备技术指标现场核查表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eastAsia="仿宋_GB2312" w:cs="仿宋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水质在线监测设备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运维服务情况核查表</w:t>
      </w: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水质在线监测设备现场比对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记录表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82"/>
        <w:gridCol w:w="44"/>
        <w:gridCol w:w="529"/>
        <w:gridCol w:w="709"/>
        <w:gridCol w:w="577"/>
        <w:gridCol w:w="564"/>
        <w:gridCol w:w="691"/>
        <w:gridCol w:w="429"/>
        <w:gridCol w:w="225"/>
        <w:gridCol w:w="637"/>
        <w:gridCol w:w="177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被检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品牌：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型号：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设备编号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生产厂：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国家计量证书：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检测公司：                检测机构认证号：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检测报告书名称：                  检测报告书编号：            检测日期：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运维责任人：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联系电话：        监管单位：             监管责任人：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>主要传感器    pH     浊度     余氯    二氧化氯      TDS       色度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>品牌：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1920" w:hanging="1920" w:hanging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安装地点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乡（镇），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街道（村），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门牌号， 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单位，安装具体位置：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经检定的便携式检测仪和标准物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便携式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检测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名称/品牌/型号</w:t>
            </w: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有效期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6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5.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标准物质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及浓度</w:t>
            </w: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1.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有效期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3.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</w:pPr>
          </w:p>
        </w:tc>
        <w:tc>
          <w:tcPr>
            <w:tcW w:w="4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  <w:t>比对数据及结果判断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检测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检测仪器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水质在线监测设备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检测人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1次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1次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均值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误差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判断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PH值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浑浊度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余氯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二氧化氯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DTS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色度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增加项目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现场水样比对结果误差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pH值：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±0.2pH；</w:t>
            </w:r>
          </w:p>
          <w:p>
            <w:pPr>
              <w:ind w:left="880" w:hanging="883" w:hangingChars="40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浑浊度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：±0.15NTU（实际水样的标准方法检测值≤0.3NTU时）；±0.1NTU（0.3NTU&lt;实际水样的标准方法检测值≤1NTU时）；±10%（实际水样的标准方法检测值&gt;1NTU时）；</w:t>
            </w:r>
          </w:p>
          <w:p>
            <w:pPr>
              <w:ind w:left="880" w:hanging="883" w:hangingChars="40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余氯：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±0.02mg/L（实际水样的标准方法检测值≤0.2mg/L时）；±10%（实际水样的标准方法检测值&gt;0.2mg/L时）；</w:t>
            </w:r>
          </w:p>
          <w:p>
            <w:pPr>
              <w:ind w:left="1100" w:hanging="1104" w:hangingChars="5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二氧化氯：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±0.02mg/L（实际水样的标准方法检测值≤0.1mg/L时）；±20%（实际水样的标准方法检测值&gt;0.1mg/L时）。</w:t>
            </w:r>
          </w:p>
          <w:p>
            <w:pPr>
              <w:ind w:left="880" w:hanging="964" w:hangingChars="40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  <w:t xml:space="preserve">DTS：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±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80" w:hanging="964" w:hangingChars="4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  <w:t>抽查意见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80" w:hanging="840" w:hangingChars="400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卫生监督员签名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 w:bidi="ar-S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80" w:hanging="964" w:hangingChars="4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  <w:t>在场人员签名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80" w:hanging="960" w:hangingChars="4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 w:bidi="ar-SA"/>
              </w:rPr>
              <w:t xml:space="preserve">检测人员签名：                 </w:t>
            </w:r>
          </w:p>
          <w:p>
            <w:pPr>
              <w:pStyle w:val="4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pStyle w:val="4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  <w:t xml:space="preserve">陪同人员签名：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 w:bidi="ar-SA"/>
              </w:rPr>
              <w:t>检测日期：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  <w:t>比对单位：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  <w:t>联系人：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21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  <w:t>配件供应联系人：        电话：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val="en-US" w:eastAsia="zh-CN"/>
              </w:rPr>
              <w:t>运维人员：         电话：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备注：以下为一票否决，判断为不符合要求产品：没有计量认证书或有资质的公司出具的检测报告，比对有一个项目不合格。</w:t>
      </w: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before="218" w:beforeLines="5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spacing w:before="218"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水质在线监测设备技术指标现场核查表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577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  <w:t>名 称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  <w:t>要   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  <w:t>设备一般情况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设备安装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最近2台设备距离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 w:eastAsia="zh-CN"/>
              </w:rPr>
              <w:t>千米，设备为一体式组合机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en-US"/>
              </w:rPr>
              <w:t>安装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地点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防人为干扰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en-US"/>
              </w:rPr>
              <w:t>方便操作人员使用维护和校验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，设备离地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 w:eastAsia="zh-CN"/>
              </w:rPr>
              <w:t>厘米，地面积水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设备防护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防盗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防尘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，防水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，防潮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，防虫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，防雷电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，防强电磁干扰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，开机密码锁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备用电源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lang w:eastAsia="zh-CN"/>
              </w:rPr>
              <w:t>设备功率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/>
              </w:rPr>
              <w:t>瓦，备用电池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/>
              </w:rPr>
              <w:t>mAH,电池续航时间：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0"/>
                <w:u w:val="none"/>
                <w:lang w:val="en-US" w:eastAsia="zh-CN"/>
              </w:rPr>
              <w:t>小时。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远程报警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断电报警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，断水报警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，超标报警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，非法入侵报警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，设备异常报警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自动保护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自我诊断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，市电断电继续工作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6小时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，来电自动恢复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，可校对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屏幕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，显示合理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，报警显示醒目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  <w:t>设备参数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设备功能指标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trike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在线监测设备的基本构造由现场采集终端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、信号调制电路□、无线数据传输模块□、电源模块等软硬件多参数水质一体化组成□。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具备余氯或二氧化氯□、pH值□、浑浊度□、TDS和温度的测定功能□。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具备安全登录□、权限管理及记录设备设置和数据修改等操作的功能□。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具备时间□、参数等数据显示及采集□、储存□、处理□、输出等功能□，其中数据处理功能包括报表统计□、图形曲线分析及超标和异常数据报警等功能□。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具备故障自诊断和报警功能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能进行零点和量程校正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具备周期设定和启动等功能的反控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在联机或组网使用时，数据存储容量大小满足不小于12 个月的历史数据的存储 □，可检索、可扩展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具有数据备份和加密等功能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实时数据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：当地县级实时接收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，所在市级实时接收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广西卫生监督执法管理平台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，数据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准确、完整展现，实现互联互通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数据采集内容包括采样时间、检测时间、检测结果等 □。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:lang w:eastAsia="zh-CN"/>
              </w:rPr>
              <w:t>设备参数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设备性能指标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1、余氯量程：0－5.00 mg/□L；二氧化氯量程：0.02－2mg/L□。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2、pH量程：0-14；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3、浑浊度量程：0-20 NTU；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4、TDS（溶解性总固体）量程：0～1500 mg/L。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5、水温量程：-5℃-60℃。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6、设备电源具备稳压和后备供电功能□，确保停电后仪器设备仍能正常工作 6 小时以上□。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7、设备室内防护等级达到IP55□，室外防护等级达到 IP65□，浸水部分防护等级达到IP68□。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7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水质在线监测设备运维服务情况核查表</w:t>
      </w:r>
    </w:p>
    <w:tbl>
      <w:tblPr>
        <w:tblStyle w:val="5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2"/>
        <w:gridCol w:w="1182"/>
        <w:gridCol w:w="73"/>
        <w:gridCol w:w="773"/>
        <w:gridCol w:w="591"/>
        <w:gridCol w:w="618"/>
        <w:gridCol w:w="518"/>
        <w:gridCol w:w="709"/>
        <w:gridCol w:w="700"/>
        <w:gridCol w:w="809"/>
        <w:gridCol w:w="72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生产商</w:t>
            </w: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型号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设备编号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安装地点</w:t>
            </w:r>
          </w:p>
        </w:tc>
        <w:tc>
          <w:tcPr>
            <w:tcW w:w="7896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镇（乡）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路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号门牌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单位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运维公司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公司地址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运维车牌号</w:t>
            </w:r>
          </w:p>
        </w:tc>
        <w:tc>
          <w:tcPr>
            <w:tcW w:w="192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ind w:firstLine="1320" w:firstLineChars="600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9002" w:type="dxa"/>
            <w:gridSpan w:val="13"/>
            <w:noWrap w:val="0"/>
            <w:vAlign w:val="top"/>
          </w:tcPr>
          <w:p>
            <w:pPr>
              <w:snapToGrid w:val="0"/>
              <w:spacing w:line="380" w:lineRule="atLeast"/>
              <w:ind w:firstLine="1325" w:firstLineChars="600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运维人员基本情况（核对证件原件）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运维人员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职称证名称</w:t>
            </w: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发证单位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岗前培训单位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6" w:type="dxa"/>
            <w:gridSpan w:val="12"/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运维服务内容、仪器运行状况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评判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经常检查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设备及附属设备运行状态是否正常，不小于每天1次（可采用线上和线下方式落实） □，有记录 □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每月核查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数据检查 □、现场校准 □，现场巡查□，得到项目县（市、区）卫生监督机构人员的到场确认 □。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巡查记录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运行状态□，运行环境□，管线□，电路系统□，通信系统□，数据传输□，漏水情况□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设备校验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比对设备检定有效期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，每季度设备比对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，采用有证标准物质进行校验□，数据校对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，故障修理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，零件更换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，记录完整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名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卫生监督员签名，记录上传县□、市□、区平台□，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两率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线率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％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,比对准确率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％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数据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数据存储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年，可检索□，可扩展□，有关人员可以随时查看数据□，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事故处理</w:t>
            </w: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数据异常即时在平台报警□、在有关手机报警□，出现故障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小时内排除，故障记录线上可查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□，故障报告制度□，故障监控第一责任人：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，报告监管部门第一责任人：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，通知供水管理人员：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，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/>
                <w:lang w:val="en-US" w:eastAsia="zh-CN"/>
              </w:rPr>
            </w:pP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/>
                <w:lang w:val="en-US" w:eastAsia="zh-CN"/>
              </w:rPr>
            </w:pPr>
          </w:p>
        </w:tc>
        <w:tc>
          <w:tcPr>
            <w:tcW w:w="693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2F562380"/>
    <w:rsid w:val="2F5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8">
    <w:name w:val="NormalCharacter"/>
    <w:qFormat/>
    <w:uiPriority w:val="0"/>
    <w:rPr>
      <w:rFonts w:ascii="Times New Roman" w:hAnsi="Times New Roman" w:eastAsia="华文新魏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2023-10-26T03:43:00Z</dcterms:created>
  <dc:creator>粗尾鸭</dc:creator>
  <cp:lastModifiedBy>粗尾鸭</cp:lastModifiedBy>
  <dcterms:modified xsi:type="dcterms:W3CDTF">2023-10-26T03:43:05Z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1AAB2793755D45768401FD2E275711C7_11</vt:lpwstr>
  </property>
</Properties>
</file>