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color w:val="000000"/>
          <w:highlight w:val="none"/>
          <w:lang w:val="en-US" w:eastAsia="zh-CN"/>
        </w:rPr>
      </w:pPr>
      <w:r>
        <w:rPr>
          <w:rFonts w:hint="eastAsia" w:ascii="黑体" w:hAnsi="黑体" w:eastAsia="黑体" w:cs="黑体"/>
          <w:b w:val="0"/>
          <w:bCs/>
          <w:color w:val="000000"/>
          <w:highlight w:val="none"/>
          <w:lang w:val="en-US" w:eastAsia="zh-CN"/>
        </w:rPr>
        <w:t>附件8</w:t>
      </w:r>
    </w:p>
    <w:p>
      <w:pPr>
        <w:pStyle w:val="3"/>
        <w:keepNext w:val="0"/>
        <w:keepLines w:val="0"/>
        <w:pageBreakBefore w:val="0"/>
        <w:kinsoku/>
        <w:wordWrap/>
        <w:overflowPunct/>
        <w:topLinePunct w:val="0"/>
        <w:autoSpaceDE/>
        <w:autoSpaceDN/>
        <w:bidi w:val="0"/>
        <w:adjustRightInd/>
        <w:snapToGrid/>
        <w:spacing w:after="0"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eastAsia="zh-CN"/>
        </w:rPr>
        <w:t>202</w:t>
      </w:r>
      <w:r>
        <w:rPr>
          <w:rFonts w:hint="eastAsia" w:ascii="方正小标宋简体" w:hAnsi="方正小标宋简体" w:eastAsia="方正小标宋简体" w:cs="方正小标宋简体"/>
          <w:b w:val="0"/>
          <w:bCs/>
          <w:color w:val="000000"/>
          <w:sz w:val="44"/>
          <w:szCs w:val="44"/>
          <w:highlight w:val="none"/>
          <w:lang w:val="en-US" w:eastAsia="zh-CN"/>
        </w:rPr>
        <w:t>3</w:t>
      </w:r>
      <w:r>
        <w:rPr>
          <w:rFonts w:hint="eastAsia" w:ascii="方正小标宋简体" w:hAnsi="方正小标宋简体" w:eastAsia="方正小标宋简体" w:cs="方正小标宋简体"/>
          <w:b w:val="0"/>
          <w:bCs/>
          <w:color w:val="000000"/>
          <w:sz w:val="44"/>
          <w:szCs w:val="44"/>
          <w:highlight w:val="none"/>
        </w:rPr>
        <w:t>年广西尘毒危害企业随机监督抽查计划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一、抽查对象</w:t>
      </w:r>
      <w:r>
        <w:rPr>
          <w:rFonts w:hint="eastAsia" w:ascii="楷体" w:hAnsi="楷体" w:eastAsia="楷体" w:cs="楷体"/>
          <w:color w:val="000000"/>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highlight w:val="none"/>
        </w:rPr>
      </w:pPr>
      <w:r>
        <w:rPr>
          <w:rFonts w:hint="eastAsia" w:ascii="仿宋_GB2312" w:eastAsia="仿宋_GB2312"/>
          <w:color w:val="000000"/>
          <w:kern w:val="0"/>
          <w:sz w:val="32"/>
          <w:szCs w:val="32"/>
          <w:highlight w:val="none"/>
        </w:rPr>
        <w:t>辖区内在国家职业病危害项目申报系统注册的</w:t>
      </w:r>
      <w:r>
        <w:rPr>
          <w:rFonts w:hint="eastAsia" w:ascii="仿宋_GB2312" w:eastAsia="仿宋_GB2312"/>
          <w:color w:val="000000"/>
          <w:kern w:val="0"/>
          <w:sz w:val="32"/>
          <w:szCs w:val="32"/>
          <w:highlight w:val="none"/>
          <w:lang w:val="en-US" w:eastAsia="zh-CN"/>
        </w:rPr>
        <w:t>尘毒为主要职业病危害因素的用人单位</w:t>
      </w:r>
      <w:r>
        <w:rPr>
          <w:rFonts w:hint="eastAsia" w:ascii="仿宋_GB2312" w:eastAsia="仿宋_GB2312"/>
          <w:color w:val="000000"/>
          <w:kern w:val="0"/>
          <w:sz w:val="32"/>
          <w:szCs w:val="32"/>
          <w:highlight w:val="none"/>
          <w:lang w:eastAsia="zh-CN"/>
        </w:rPr>
        <w:t>，</w:t>
      </w:r>
      <w:r>
        <w:rPr>
          <w:rFonts w:hint="eastAsia" w:ascii="仿宋_GB2312" w:eastAsia="仿宋_GB2312"/>
          <w:color w:val="000000"/>
          <w:kern w:val="0"/>
          <w:sz w:val="32"/>
          <w:szCs w:val="32"/>
          <w:highlight w:val="none"/>
          <w:lang w:val="en-US" w:eastAsia="zh-CN"/>
        </w:rPr>
        <w:t>包括</w:t>
      </w:r>
      <w:r>
        <w:rPr>
          <w:rFonts w:hint="eastAsia" w:ascii="仿宋_GB2312" w:hAnsi="仿宋_GB2312" w:eastAsia="仿宋_GB2312" w:cs="仿宋_GB2312"/>
          <w:color w:val="000000"/>
          <w:sz w:val="32"/>
          <w:highlight w:val="none"/>
        </w:rPr>
        <w:t>包括煤矿</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非煤矿山</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建材（水泥、陶瓷为主）、建筑</w:t>
      </w:r>
      <w:r>
        <w:rPr>
          <w:rFonts w:hint="eastAsia" w:ascii="仿宋_GB2312" w:eastAsia="仿宋_GB2312"/>
          <w:color w:val="000000"/>
          <w:kern w:val="0"/>
          <w:sz w:val="32"/>
          <w:szCs w:val="32"/>
          <w:highlight w:val="none"/>
        </w:rPr>
        <w:t>、化工</w:t>
      </w:r>
      <w:r>
        <w:rPr>
          <w:rFonts w:hint="eastAsia" w:ascii="仿宋_GB2312" w:hAnsi="仿宋_GB2312" w:eastAsia="仿宋_GB2312" w:cs="仿宋_GB2312"/>
          <w:color w:val="000000"/>
          <w:sz w:val="32"/>
          <w:highlight w:val="none"/>
          <w:lang w:val="en-US" w:eastAsia="zh-CN"/>
        </w:rPr>
        <w:t>等重点行业的企业，实行全覆盖</w:t>
      </w:r>
      <w:r>
        <w:rPr>
          <w:rFonts w:hint="eastAsia" w:ascii="仿宋_GB2312" w:hAnsi="仿宋_GB2312" w:eastAsia="仿宋_GB2312" w:cs="仿宋_GB2312"/>
          <w:color w:val="000000"/>
          <w:sz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二、监督检查内容</w:t>
      </w:r>
    </w:p>
    <w:p>
      <w:pPr>
        <w:keepNext w:val="0"/>
        <w:keepLines w:val="0"/>
        <w:pageBreakBefore w:val="0"/>
        <w:widowControl/>
        <w:kinsoku/>
        <w:wordWrap/>
        <w:overflowPunct/>
        <w:topLinePunct w:val="0"/>
        <w:autoSpaceDE/>
        <w:autoSpaceDN/>
        <w:bidi w:val="0"/>
        <w:adjustRightInd/>
        <w:snapToGrid/>
        <w:spacing w:line="560" w:lineRule="exact"/>
        <w:ind w:firstLine="560"/>
        <w:jc w:val="both"/>
        <w:textAlignment w:val="auto"/>
        <w:rPr>
          <w:rFonts w:hint="eastAsia"/>
          <w:color w:val="000000"/>
          <w:highlight w:val="none"/>
          <w:lang w:val="en-US" w:eastAsia="zh-CN"/>
        </w:rPr>
      </w:pPr>
      <w:r>
        <w:rPr>
          <w:rFonts w:hint="eastAsia" w:ascii="仿宋_GB2312" w:hAnsi="宋体" w:eastAsia="仿宋_GB2312" w:cs="宋体"/>
          <w:color w:val="000000"/>
          <w:kern w:val="0"/>
          <w:sz w:val="32"/>
          <w:szCs w:val="32"/>
          <w:highlight w:val="none"/>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三、工作要求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kern w:val="0"/>
          <w:sz w:val="32"/>
          <w:szCs w:val="32"/>
          <w:highlight w:val="none"/>
          <w:lang w:val="en-US" w:eastAsia="zh-CN"/>
        </w:rPr>
      </w:pPr>
      <w:r>
        <w:rPr>
          <w:rFonts w:hint="eastAsia" w:ascii="仿宋_GB2312" w:eastAsia="仿宋_GB2312"/>
          <w:color w:val="000000"/>
          <w:kern w:val="0"/>
          <w:sz w:val="32"/>
          <w:szCs w:val="32"/>
          <w:highlight w:val="none"/>
          <w:lang w:val="en-US" w:eastAsia="zh-CN"/>
        </w:rPr>
        <w:t>（一）辖区内在国家职业病危害项目申报系统注册的重点行业领域企业应查尽查。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lang w:val="en-US" w:eastAsia="zh-CN"/>
        </w:rPr>
        <w:t>（二）</w:t>
      </w:r>
      <w:r>
        <w:rPr>
          <w:rFonts w:hint="eastAsia" w:ascii="仿宋_GB2312" w:eastAsia="仿宋_GB2312"/>
          <w:color w:val="000000"/>
          <w:kern w:val="0"/>
          <w:sz w:val="32"/>
          <w:szCs w:val="32"/>
          <w:highlight w:val="none"/>
        </w:rPr>
        <w:t>各地要于</w:t>
      </w:r>
      <w:r>
        <w:rPr>
          <w:rFonts w:hint="eastAsia" w:ascii="仿宋_GB2312" w:eastAsia="仿宋_GB2312" w:cs="??_GB2312"/>
          <w:color w:val="000000"/>
          <w:kern w:val="0"/>
          <w:sz w:val="32"/>
          <w:szCs w:val="32"/>
          <w:highlight w:val="none"/>
        </w:rPr>
        <w:t>202</w:t>
      </w:r>
      <w:r>
        <w:rPr>
          <w:rFonts w:hint="eastAsia" w:ascii="仿宋_GB2312" w:eastAsia="仿宋_GB2312" w:cs="??_GB2312"/>
          <w:color w:val="000000"/>
          <w:kern w:val="0"/>
          <w:sz w:val="32"/>
          <w:szCs w:val="32"/>
          <w:highlight w:val="none"/>
          <w:lang w:val="en-US" w:eastAsia="zh-CN"/>
        </w:rPr>
        <w:t>3</w:t>
      </w:r>
      <w:r>
        <w:rPr>
          <w:rFonts w:hint="eastAsia" w:ascii="仿宋_GB2312" w:eastAsia="仿宋_GB2312"/>
          <w:color w:val="000000"/>
          <w:kern w:val="0"/>
          <w:sz w:val="32"/>
          <w:szCs w:val="32"/>
          <w:highlight w:val="none"/>
        </w:rPr>
        <w:t>年</w:t>
      </w:r>
      <w:r>
        <w:rPr>
          <w:rFonts w:hint="eastAsia" w:ascii="仿宋_GB2312" w:eastAsia="仿宋_GB2312" w:cs="??_GB2312"/>
          <w:color w:val="000000"/>
          <w:kern w:val="0"/>
          <w:sz w:val="32"/>
          <w:szCs w:val="32"/>
          <w:highlight w:val="none"/>
        </w:rPr>
        <w:t>11</w:t>
      </w:r>
      <w:r>
        <w:rPr>
          <w:rFonts w:hint="eastAsia" w:ascii="仿宋_GB2312" w:eastAsia="仿宋_GB2312"/>
          <w:color w:val="000000"/>
          <w:kern w:val="0"/>
          <w:sz w:val="32"/>
          <w:szCs w:val="32"/>
          <w:highlight w:val="none"/>
        </w:rPr>
        <w:t>月</w:t>
      </w:r>
      <w:r>
        <w:rPr>
          <w:rFonts w:hint="eastAsia" w:ascii="仿宋_GB2312" w:eastAsia="仿宋_GB2312" w:cs="??_GB2312"/>
          <w:color w:val="000000"/>
          <w:kern w:val="0"/>
          <w:sz w:val="32"/>
          <w:szCs w:val="32"/>
          <w:highlight w:val="none"/>
          <w:lang w:val="en-US" w:eastAsia="zh-CN"/>
        </w:rPr>
        <w:t>15</w:t>
      </w:r>
      <w:r>
        <w:rPr>
          <w:rFonts w:hint="eastAsia" w:ascii="仿宋_GB2312" w:eastAsia="仿宋_GB2312"/>
          <w:color w:val="000000"/>
          <w:kern w:val="0"/>
          <w:sz w:val="32"/>
          <w:szCs w:val="32"/>
          <w:highlight w:val="none"/>
        </w:rPr>
        <w:t>日前完成广西尘毒危害企业随机抽查工作，并通过广西卫生监督执法管理平台报送抽查结果，工作信息可随时报送。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kern w:val="0"/>
          <w:sz w:val="32"/>
          <w:szCs w:val="32"/>
          <w:highlight w:val="none"/>
          <w:lang w:val="en-US" w:eastAsia="zh-CN"/>
        </w:rPr>
      </w:pPr>
      <w:r>
        <w:rPr>
          <w:rFonts w:hint="eastAsia" w:ascii="仿宋_GB2312" w:eastAsia="仿宋_GB2312"/>
          <w:color w:val="000000"/>
          <w:kern w:val="0"/>
          <w:sz w:val="32"/>
          <w:szCs w:val="32"/>
          <w:highlight w:val="none"/>
          <w:lang w:val="en-US" w:eastAsia="zh-CN"/>
        </w:rPr>
        <w:t>联系人及联系电话：自治区卫生监督所监督三科蒋琳，0771-5319467。</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eastAsia="仿宋_GB2312"/>
          <w:color w:val="000000"/>
          <w:kern w:val="0"/>
          <w:sz w:val="32"/>
          <w:szCs w:val="32"/>
          <w:highlight w:val="none"/>
          <w:lang w:val="en-US" w:eastAsia="zh-CN"/>
        </w:rPr>
      </w:pPr>
      <w:r>
        <w:rPr>
          <w:rFonts w:hint="eastAsia" w:ascii="仿宋_GB2312" w:eastAsia="仿宋_GB2312"/>
          <w:color w:val="000000"/>
          <w:kern w:val="0"/>
          <w:sz w:val="32"/>
          <w:szCs w:val="32"/>
          <w:highlight w:val="none"/>
          <w:lang w:val="en-US" w:eastAsia="zh-CN"/>
        </w:rPr>
        <w:t>电子邮箱：</w:t>
      </w:r>
      <w:r>
        <w:rPr>
          <w:rFonts w:hint="default" w:ascii="Times New Roman" w:eastAsia="仿宋_GB2312"/>
          <w:color w:val="000000"/>
          <w:kern w:val="0"/>
          <w:sz w:val="32"/>
          <w:szCs w:val="32"/>
          <w:highlight w:val="none"/>
          <w:lang w:val="en-US" w:eastAsia="zh-CN"/>
        </w:rPr>
        <w:t>gxwsjd3k@</w:t>
      </w:r>
      <w:r>
        <w:rPr>
          <w:rFonts w:hint="eastAsia" w:eastAsia="仿宋_GB2312"/>
          <w:color w:val="000000"/>
          <w:kern w:val="0"/>
          <w:sz w:val="32"/>
          <w:szCs w:val="32"/>
          <w:highlight w:val="none"/>
          <w:lang w:val="en-US" w:eastAsia="zh-CN"/>
        </w:rPr>
        <w:t>wsjkw.gxzf.gov.cn。</w:t>
      </w:r>
    </w:p>
    <w:p>
      <w:pPr>
        <w:keepNext w:val="0"/>
        <w:keepLines w:val="0"/>
        <w:pageBreakBefore w:val="0"/>
        <w:widowControl/>
        <w:kinsoku/>
        <w:wordWrap/>
        <w:overflowPunct/>
        <w:topLinePunct w:val="0"/>
        <w:autoSpaceDE/>
        <w:autoSpaceDN/>
        <w:bidi w:val="0"/>
        <w:adjustRightInd/>
        <w:snapToGrid/>
        <w:spacing w:line="560" w:lineRule="exact"/>
        <w:ind w:firstLine="561"/>
        <w:textAlignment w:val="auto"/>
        <w:outlineLvl w:val="0"/>
        <w:rPr>
          <w:rFonts w:ascii="仿宋" w:hAnsi="仿宋" w:eastAsia="仿宋"/>
          <w:color w:val="000000"/>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_GB2312"/>
          <w:color w:val="000000"/>
          <w:kern w:val="0"/>
          <w:sz w:val="32"/>
          <w:szCs w:val="32"/>
          <w:highlight w:val="none"/>
          <w:lang w:val="en-US" w:eastAsia="zh-CN"/>
        </w:rPr>
      </w:pPr>
      <w:r>
        <w:rPr>
          <w:rFonts w:hint="eastAsia" w:ascii="仿宋_GB2312" w:eastAsia="仿宋_GB2312" w:cs="??_GB2312"/>
          <w:color w:val="000000"/>
          <w:kern w:val="0"/>
          <w:sz w:val="32"/>
          <w:szCs w:val="32"/>
          <w:highlight w:val="none"/>
          <w:lang w:val="en-US" w:eastAsia="zh-CN"/>
        </w:rPr>
        <w:t>附表：1.2023年广西尘毒危害企业随机监督抽查检查表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eastAsia="仿宋_GB2312" w:cs="??_GB2312"/>
          <w:color w:val="000000"/>
          <w:kern w:val="0"/>
          <w:sz w:val="32"/>
          <w:szCs w:val="32"/>
          <w:highlight w:val="none"/>
          <w:lang w:val="en-US" w:eastAsia="zh-CN"/>
        </w:rPr>
      </w:pPr>
      <w:r>
        <w:rPr>
          <w:rFonts w:hint="eastAsia" w:ascii="仿宋_GB2312" w:eastAsia="仿宋_GB2312" w:cs="??_GB2312"/>
          <w:color w:val="000000"/>
          <w:kern w:val="0"/>
          <w:sz w:val="32"/>
          <w:szCs w:val="32"/>
          <w:highlight w:val="none"/>
          <w:lang w:val="en-US" w:eastAsia="zh-CN"/>
        </w:rPr>
        <w:t>2.2023年广西尘毒危害企业随机监督抽查汇总表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_GB2312"/>
          <w:color w:val="000000"/>
          <w:kern w:val="0"/>
          <w:sz w:val="32"/>
          <w:szCs w:val="32"/>
          <w:highlight w:val="none"/>
          <w:lang w:val="en-US" w:eastAsia="zh-CN"/>
        </w:rPr>
      </w:pPr>
      <w:r>
        <w:rPr>
          <w:rFonts w:hint="eastAsia" w:ascii="仿宋_GB2312" w:eastAsia="仿宋_GB2312" w:cs="??_GB2312"/>
          <w:color w:val="000000"/>
          <w:kern w:val="0"/>
          <w:sz w:val="32"/>
          <w:szCs w:val="32"/>
          <w:highlight w:val="none"/>
          <w:lang w:val="en-US" w:eastAsia="zh-CN"/>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kern w:val="0"/>
          <w:sz w:val="32"/>
          <w:szCs w:val="32"/>
          <w:highlight w:val="none"/>
          <w:lang w:val="en-US" w:eastAsia="zh-CN"/>
        </w:rPr>
        <w:sectPr>
          <w:headerReference r:id="rId3" w:type="default"/>
          <w:footerReference r:id="rId4" w:type="default"/>
          <w:pgSz w:w="11905" w:h="16838"/>
          <w:pgMar w:top="1701" w:right="1417" w:bottom="1417" w:left="1701" w:header="850" w:footer="992" w:gutter="0"/>
          <w:pgNumType w:fmt="decimal"/>
          <w:cols w:space="720" w:num="1"/>
          <w:rtlGutter w:val="0"/>
          <w:docGrid w:type="lines" w:linePitch="325" w:charSpace="0"/>
        </w:sectPr>
      </w:pPr>
    </w:p>
    <w:p>
      <w:pPr>
        <w:jc w:val="left"/>
        <w:rPr>
          <w:rFonts w:hint="eastAsia" w:ascii="黑体" w:hAnsi="黑体" w:eastAsia="黑体"/>
          <w:color w:val="000000"/>
          <w:sz w:val="32"/>
          <w:szCs w:val="32"/>
          <w:highlight w:val="none"/>
          <w:lang w:val="en-US" w:eastAsia="zh-CN"/>
        </w:rPr>
      </w:pPr>
      <w:r>
        <w:rPr>
          <w:rFonts w:hint="eastAsia" w:ascii="黑体" w:hAnsi="黑体" w:eastAsia="黑体"/>
          <w:color w:val="000000"/>
          <w:sz w:val="32"/>
          <w:szCs w:val="32"/>
          <w:highlight w:val="none"/>
        </w:rPr>
        <w:t>附表</w:t>
      </w:r>
      <w:r>
        <w:rPr>
          <w:rFonts w:hint="eastAsia" w:ascii="黑体" w:hAnsi="黑体" w:eastAsia="黑体"/>
          <w:color w:val="000000"/>
          <w:sz w:val="32"/>
          <w:szCs w:val="32"/>
          <w:highlight w:val="none"/>
          <w:lang w:val="en-US" w:eastAsia="zh-CN"/>
        </w:rPr>
        <w:t>1</w:t>
      </w:r>
    </w:p>
    <w:p>
      <w:pPr>
        <w:widowControl/>
        <w:jc w:val="center"/>
        <w:rPr>
          <w:rFonts w:ascii="方正小标宋简体" w:hAnsi="方正小标宋简体" w:eastAsia="方正小标宋简体" w:cs="方正小标宋简体"/>
          <w:color w:val="000000"/>
          <w:spacing w:val="-11"/>
          <w:kern w:val="0"/>
          <w:sz w:val="44"/>
          <w:szCs w:val="44"/>
          <w:highlight w:val="none"/>
        </w:rPr>
      </w:pPr>
      <w:r>
        <w:rPr>
          <w:rFonts w:hint="eastAsia" w:ascii="方正小标宋简体" w:hAnsi="方正小标宋简体" w:eastAsia="方正小标宋简体" w:cs="方正小标宋简体"/>
          <w:color w:val="000000"/>
          <w:spacing w:val="-11"/>
          <w:kern w:val="0"/>
          <w:sz w:val="44"/>
          <w:szCs w:val="44"/>
          <w:highlight w:val="none"/>
          <w:lang w:eastAsia="zh-CN"/>
        </w:rPr>
        <w:t>2023</w:t>
      </w:r>
      <w:r>
        <w:rPr>
          <w:rFonts w:hint="eastAsia" w:ascii="方正小标宋简体" w:hAnsi="方正小标宋简体" w:eastAsia="方正小标宋简体" w:cs="方正小标宋简体"/>
          <w:color w:val="000000"/>
          <w:spacing w:val="-11"/>
          <w:kern w:val="0"/>
          <w:sz w:val="44"/>
          <w:szCs w:val="44"/>
          <w:highlight w:val="none"/>
        </w:rPr>
        <w:t>年</w:t>
      </w:r>
      <w:r>
        <w:rPr>
          <w:rFonts w:hint="eastAsia" w:ascii="方正小标宋简体" w:hAnsi="方正小标宋简体" w:eastAsia="方正小标宋简体" w:cs="方正小标宋简体"/>
          <w:color w:val="000000"/>
          <w:spacing w:val="-11"/>
          <w:kern w:val="0"/>
          <w:sz w:val="44"/>
          <w:szCs w:val="44"/>
          <w:highlight w:val="none"/>
          <w:lang w:val="en-US" w:eastAsia="zh-CN"/>
        </w:rPr>
        <w:t>广西</w:t>
      </w:r>
      <w:r>
        <w:rPr>
          <w:rFonts w:hint="eastAsia" w:ascii="方正小标宋简体" w:hAnsi="方正小标宋简体" w:eastAsia="方正小标宋简体" w:cs="方正小标宋简体"/>
          <w:color w:val="000000"/>
          <w:spacing w:val="-11"/>
          <w:kern w:val="0"/>
          <w:sz w:val="44"/>
          <w:szCs w:val="44"/>
          <w:highlight w:val="none"/>
          <w:lang w:eastAsia="zh-CN"/>
        </w:rPr>
        <w:t>尘毒危害企业</w:t>
      </w:r>
      <w:r>
        <w:rPr>
          <w:rFonts w:hint="eastAsia" w:ascii="方正小标宋简体" w:hAnsi="方正小标宋简体" w:eastAsia="方正小标宋简体" w:cs="方正小标宋简体"/>
          <w:color w:val="000000"/>
          <w:spacing w:val="-11"/>
          <w:kern w:val="0"/>
          <w:sz w:val="44"/>
          <w:szCs w:val="44"/>
          <w:highlight w:val="none"/>
        </w:rPr>
        <w:t>随机监督抽查检查表</w:t>
      </w:r>
    </w:p>
    <w:p>
      <w:pPr>
        <w:keepNext w:val="0"/>
        <w:keepLines w:val="0"/>
        <w:pageBreakBefore w:val="0"/>
        <w:widowControl w:val="0"/>
        <w:kinsoku/>
        <w:wordWrap/>
        <w:overflowPunct/>
        <w:topLinePunct w:val="0"/>
        <w:autoSpaceDE/>
        <w:autoSpaceDN/>
        <w:bidi w:val="0"/>
        <w:adjustRightInd/>
        <w:snapToGrid/>
        <w:spacing w:line="300" w:lineRule="exact"/>
        <w:ind w:left="105" w:right="108" w:hanging="105"/>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一、基本情况</w:t>
      </w:r>
    </w:p>
    <w:p>
      <w:pPr>
        <w:keepNext w:val="0"/>
        <w:keepLines w:val="0"/>
        <w:pageBreakBefore w:val="0"/>
        <w:widowControl w:val="0"/>
        <w:kinsoku/>
        <w:wordWrap/>
        <w:overflowPunct/>
        <w:topLinePunct w:val="0"/>
        <w:autoSpaceDE/>
        <w:autoSpaceDN/>
        <w:bidi w:val="0"/>
        <w:adjustRightInd/>
        <w:snapToGrid/>
        <w:spacing w:line="300" w:lineRule="exact"/>
        <w:ind w:right="108"/>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企业名称：</w:t>
      </w:r>
      <w:r>
        <w:rPr>
          <w:rFonts w:hint="eastAsia" w:ascii="仿宋_GB2312" w:hAnsi="仿宋_GB2312" w:eastAsia="仿宋_GB2312" w:cs="仿宋_GB2312"/>
          <w:color w:val="000000"/>
          <w:sz w:val="21"/>
          <w:szCs w:val="21"/>
          <w:highlight w:val="none"/>
          <w:u w:val="single"/>
        </w:rPr>
        <w:t xml:space="preserve">                                            </w:t>
      </w:r>
      <w:r>
        <w:rPr>
          <w:rFonts w:hint="eastAsia" w:ascii="仿宋_GB2312" w:hAnsi="仿宋_GB2312" w:eastAsia="仿宋_GB2312" w:cs="仿宋_GB2312"/>
          <w:color w:val="000000"/>
          <w:sz w:val="21"/>
          <w:szCs w:val="21"/>
          <w:highlight w:val="none"/>
        </w:rPr>
        <w:t>；地址：</w:t>
      </w:r>
      <w:r>
        <w:rPr>
          <w:rFonts w:hint="eastAsia" w:ascii="仿宋_GB2312" w:hAnsi="仿宋_GB2312" w:eastAsia="仿宋_GB2312" w:cs="仿宋_GB2312"/>
          <w:color w:val="000000"/>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108"/>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法定代表人：</w:t>
      </w:r>
      <w:r>
        <w:rPr>
          <w:rFonts w:hint="eastAsia" w:ascii="仿宋_GB2312" w:hAnsi="仿宋_GB2312" w:eastAsia="仿宋_GB2312" w:cs="仿宋_GB2312"/>
          <w:color w:val="000000"/>
          <w:sz w:val="21"/>
          <w:szCs w:val="21"/>
          <w:highlight w:val="none"/>
          <w:u w:val="single"/>
        </w:rPr>
        <w:t xml:space="preserve">                      </w:t>
      </w:r>
      <w:r>
        <w:rPr>
          <w:rFonts w:hint="eastAsia" w:ascii="仿宋_GB2312" w:hAnsi="仿宋_GB2312" w:eastAsia="仿宋_GB2312" w:cs="仿宋_GB2312"/>
          <w:color w:val="000000"/>
          <w:sz w:val="21"/>
          <w:szCs w:val="21"/>
          <w:highlight w:val="none"/>
        </w:rPr>
        <w:t xml:space="preserve">              联系人：</w:t>
      </w:r>
      <w:r>
        <w:rPr>
          <w:rFonts w:hint="eastAsia" w:ascii="仿宋_GB2312" w:hAnsi="仿宋_GB2312" w:eastAsia="仿宋_GB2312" w:cs="仿宋_GB2312"/>
          <w:color w:val="000000"/>
          <w:sz w:val="21"/>
          <w:szCs w:val="21"/>
          <w:highlight w:val="none"/>
          <w:u w:val="single"/>
        </w:rPr>
        <w:t xml:space="preserve">             </w:t>
      </w:r>
      <w:r>
        <w:rPr>
          <w:rFonts w:hint="eastAsia" w:ascii="仿宋_GB2312" w:hAnsi="仿宋_GB2312" w:eastAsia="仿宋_GB2312" w:cs="仿宋_GB2312"/>
          <w:color w:val="000000"/>
          <w:sz w:val="21"/>
          <w:szCs w:val="21"/>
          <w:highlight w:val="none"/>
        </w:rPr>
        <w:t>联系电话：</w:t>
      </w:r>
      <w:r>
        <w:rPr>
          <w:rFonts w:hint="eastAsia" w:ascii="仿宋_GB2312" w:hAnsi="仿宋_GB2312" w:eastAsia="仿宋_GB2312" w:cs="仿宋_GB2312"/>
          <w:color w:val="000000"/>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108"/>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从业人员总数：</w:t>
      </w:r>
      <w:r>
        <w:rPr>
          <w:rFonts w:hint="eastAsia" w:ascii="仿宋_GB2312" w:hAnsi="仿宋_GB2312" w:eastAsia="仿宋_GB2312" w:cs="仿宋_GB2312"/>
          <w:color w:val="000000"/>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108"/>
        <w:textAlignment w:val="auto"/>
        <w:rPr>
          <w:rFonts w:hint="eastAsia" w:ascii="仿宋_GB2312" w:hAnsi="仿宋_GB2312" w:eastAsia="仿宋_GB2312" w:cs="仿宋_GB2312"/>
          <w:color w:val="000000"/>
          <w:sz w:val="21"/>
          <w:szCs w:val="21"/>
          <w:highlight w:val="none"/>
          <w:u w:val="single"/>
        </w:rPr>
      </w:pPr>
      <w:r>
        <w:rPr>
          <w:rFonts w:hint="eastAsia" w:ascii="仿宋_GB2312" w:hAnsi="仿宋_GB2312" w:eastAsia="仿宋_GB2312" w:cs="仿宋_GB2312"/>
          <w:color w:val="000000"/>
          <w:sz w:val="21"/>
          <w:szCs w:val="21"/>
          <w:highlight w:val="none"/>
        </w:rPr>
        <w:t>所属行业：1.□煤矿   2.</w:t>
      </w:r>
      <w:r>
        <w:rPr>
          <w:rFonts w:hint="eastAsia" w:ascii="仿宋_GB2312" w:hAnsi="仿宋_GB2312" w:eastAsia="仿宋_GB2312" w:cs="仿宋_GB2312"/>
          <w:color w:val="000000"/>
          <w:sz w:val="21"/>
          <w:szCs w:val="21"/>
          <w:highlight w:val="none"/>
        </w:rPr>
        <w:sym w:font="Wingdings 2" w:char="00A3"/>
      </w:r>
      <w:r>
        <w:rPr>
          <w:rFonts w:hint="eastAsia" w:ascii="仿宋_GB2312" w:hAnsi="仿宋_GB2312" w:eastAsia="仿宋_GB2312" w:cs="仿宋_GB2312"/>
          <w:color w:val="000000"/>
          <w:sz w:val="21"/>
          <w:szCs w:val="21"/>
          <w:highlight w:val="none"/>
        </w:rPr>
        <w:t>非煤矿   3.□其他尘毒危害行业  4.□其他：</w:t>
      </w:r>
      <w:r>
        <w:rPr>
          <w:rFonts w:hint="eastAsia" w:ascii="仿宋_GB2312" w:hAnsi="仿宋_GB2312" w:eastAsia="仿宋_GB2312" w:cs="仿宋_GB2312"/>
          <w:color w:val="000000"/>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108"/>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经营状况：□正常　□关闭</w:t>
      </w:r>
    </w:p>
    <w:p>
      <w:pPr>
        <w:keepNext w:val="0"/>
        <w:keepLines w:val="0"/>
        <w:pageBreakBefore w:val="0"/>
        <w:widowControl w:val="0"/>
        <w:kinsoku/>
        <w:wordWrap/>
        <w:overflowPunct/>
        <w:topLinePunct w:val="0"/>
        <w:autoSpaceDE/>
        <w:autoSpaceDN/>
        <w:bidi w:val="0"/>
        <w:adjustRightInd/>
        <w:snapToGrid/>
        <w:spacing w:line="300" w:lineRule="exact"/>
        <w:ind w:left="105" w:right="108" w:hanging="105"/>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二、监督检查内容</w:t>
      </w:r>
    </w:p>
    <w:tbl>
      <w:tblPr>
        <w:tblStyle w:val="6"/>
        <w:tblW w:w="13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6536"/>
        <w:gridCol w:w="2680"/>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2590" w:type="dxa"/>
            <w:noWrap w:val="0"/>
            <w:vAlign w:val="center"/>
          </w:tcPr>
          <w:p>
            <w:pPr>
              <w:widowControl/>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类别</w:t>
            </w:r>
          </w:p>
        </w:tc>
        <w:tc>
          <w:tcPr>
            <w:tcW w:w="6536" w:type="dxa"/>
            <w:noWrap w:val="0"/>
            <w:vAlign w:val="center"/>
          </w:tcPr>
          <w:p>
            <w:pPr>
              <w:widowControl/>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重点检查内容</w:t>
            </w:r>
          </w:p>
        </w:tc>
        <w:tc>
          <w:tcPr>
            <w:tcW w:w="2680" w:type="dxa"/>
            <w:noWrap w:val="0"/>
            <w:vAlign w:val="center"/>
          </w:tcPr>
          <w:p>
            <w:pPr>
              <w:widowControl/>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检查结果</w:t>
            </w:r>
          </w:p>
        </w:tc>
        <w:tc>
          <w:tcPr>
            <w:tcW w:w="1943" w:type="dxa"/>
            <w:noWrap w:val="0"/>
            <w:vAlign w:val="center"/>
          </w:tcPr>
          <w:p>
            <w:pPr>
              <w:widowControl/>
              <w:jc w:val="center"/>
              <w:rPr>
                <w:rFonts w:hint="eastAsia" w:ascii="黑体" w:hAnsi="黑体" w:eastAsia="黑体" w:cs="黑体"/>
                <w:color w:val="000000"/>
                <w:kern w:val="0"/>
                <w:sz w:val="21"/>
                <w:szCs w:val="21"/>
                <w:highlight w:val="none"/>
              </w:rPr>
            </w:pPr>
            <w:r>
              <w:rPr>
                <w:rFonts w:hint="eastAsia" w:ascii="黑体" w:hAnsi="黑体" w:eastAsia="黑体" w:cs="黑体"/>
                <w:color w:val="000000"/>
                <w:kern w:val="0"/>
                <w:sz w:val="21"/>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w:t>
            </w:r>
            <w:r>
              <w:rPr>
                <w:rFonts w:hint="eastAsia" w:ascii="仿宋_GB2312" w:hAnsi="仿宋_GB2312" w:eastAsia="仿宋_GB2312" w:cs="仿宋_GB2312"/>
                <w:color w:val="000000"/>
                <w:sz w:val="21"/>
                <w:highlight w:val="none"/>
              </w:rPr>
              <w:t>职业病防治管理组织和措施</w:t>
            </w:r>
          </w:p>
        </w:tc>
        <w:tc>
          <w:tcPr>
            <w:tcW w:w="6536" w:type="dxa"/>
            <w:noWrap w:val="0"/>
            <w:vAlign w:val="center"/>
          </w:tcPr>
          <w:p>
            <w:pPr>
              <w:tabs>
                <w:tab w:val="left" w:pos="6660"/>
              </w:tabs>
              <w:adjustRightInd w:val="0"/>
              <w:snapToGrid w:val="0"/>
              <w:spacing w:line="320" w:lineRule="exact"/>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1.是否按规定设置或者指定职业卫生管理机构或者组织，配备专职或者兼职的职业卫生管理人员。</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2.是否建立、落实及公布职业卫生管理制度和操作规程。</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2.职业卫生培训</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1.主要负责人、职业卫生管理人员和劳动者是否按规定的周期接受职业卫生培训。</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2.职业卫生培训内容、时间是否符合要求。</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3.建设项目职业病防护设施“三同时”</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1.是否落实建设项目职业病防护设施“三同时”制度。</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2.是否按程序开展评审及存档、公示。</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4.职业病危害项目申报</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是否如实、及时开展工作场所职业病危害项目申报。</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5.工作场所职业卫生管理</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1.是否按规定的周期开展工作场所职业病危害因素监测、检测、评价。</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  未检测□</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2.是否进行检测结果的报告和公布。</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3.是否按规定配置职业病防护设施、应急救援设施并及时维护、保养。</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4.是否按规定发放、管理职业病防护用品并督促劳动者佩戴使用。</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6.职业病危害警示和告知</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1.是否按规定设置职业病危害警示标识。</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2.是否按规定告知职业病危害及危害后果。</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7.劳动者职业健康监护</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1.</w:t>
            </w:r>
            <w:r>
              <w:rPr>
                <w:rFonts w:hint="eastAsia" w:ascii="仿宋_GB2312" w:hAnsi="仿宋_GB2312" w:eastAsia="仿宋_GB2312" w:cs="仿宋_GB2312"/>
                <w:color w:val="000000"/>
                <w:kern w:val="0"/>
                <w:sz w:val="21"/>
                <w:szCs w:val="21"/>
                <w:highlight w:val="none"/>
              </w:rPr>
              <w:t>是否按规定开展劳动者职业健康监护</w:t>
            </w:r>
            <w:r>
              <w:rPr>
                <w:rFonts w:hint="eastAsia" w:ascii="仿宋_GB2312" w:hAnsi="仿宋_GB2312" w:eastAsia="仿宋_GB2312" w:cs="仿宋_GB2312"/>
                <w:color w:val="000000"/>
                <w:kern w:val="0"/>
                <w:sz w:val="21"/>
                <w:szCs w:val="21"/>
                <w:highlight w:val="none"/>
                <w:lang w:eastAsia="zh-CN"/>
              </w:rPr>
              <w:t>。</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2.</w:t>
            </w:r>
            <w:r>
              <w:rPr>
                <w:rFonts w:hint="eastAsia" w:ascii="仿宋_GB2312" w:hAnsi="仿宋_GB2312" w:eastAsia="仿宋_GB2312" w:cs="仿宋_GB2312"/>
                <w:color w:val="000000"/>
                <w:kern w:val="0"/>
                <w:sz w:val="21"/>
                <w:szCs w:val="21"/>
                <w:highlight w:val="none"/>
              </w:rPr>
              <w:t>是否按规定开展放射工作人员个人剂量监测。</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是□  否□  合理缺项□</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90" w:type="dxa"/>
            <w:vMerge w:val="restart"/>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8</w:t>
            </w:r>
            <w:r>
              <w:rPr>
                <w:rFonts w:hint="eastAsia" w:ascii="仿宋_GB2312" w:hAnsi="仿宋_GB2312" w:eastAsia="仿宋_GB2312" w:cs="仿宋_GB2312"/>
                <w:color w:val="000000"/>
                <w:kern w:val="0"/>
                <w:sz w:val="21"/>
                <w:szCs w:val="21"/>
                <w:highlight w:val="none"/>
              </w:rPr>
              <w:t>.职业病病人和疑似职业病病人处置</w:t>
            </w: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1.是否按规定处置职业病人、疑似职业病人。</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2590" w:type="dxa"/>
            <w:vMerge w:val="continue"/>
            <w:noWrap w:val="0"/>
            <w:vAlign w:val="center"/>
          </w:tcPr>
          <w:p>
            <w:pPr>
              <w:widowControl/>
              <w:jc w:val="left"/>
              <w:rPr>
                <w:rFonts w:hint="eastAsia" w:ascii="仿宋_GB2312" w:hAnsi="仿宋_GB2312" w:eastAsia="仿宋_GB2312" w:cs="仿宋_GB2312"/>
                <w:color w:val="000000"/>
                <w:kern w:val="0"/>
                <w:sz w:val="21"/>
                <w:szCs w:val="21"/>
                <w:highlight w:val="none"/>
              </w:rPr>
            </w:pPr>
          </w:p>
        </w:tc>
        <w:tc>
          <w:tcPr>
            <w:tcW w:w="6536"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2.是否为劳动者进行职业病诊断提供健康损害与职业史、职业病危害接触关系等相关资料。</w:t>
            </w:r>
          </w:p>
        </w:tc>
        <w:tc>
          <w:tcPr>
            <w:tcW w:w="2680" w:type="dxa"/>
            <w:noWrap w:val="0"/>
            <w:vAlign w:val="center"/>
          </w:tcPr>
          <w:p>
            <w:pPr>
              <w:widowControl/>
              <w:jc w:val="left"/>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是□  否□  </w:t>
            </w:r>
          </w:p>
        </w:tc>
        <w:tc>
          <w:tcPr>
            <w:tcW w:w="1943" w:type="dxa"/>
            <w:noWrap w:val="0"/>
            <w:vAlign w:val="center"/>
          </w:tcPr>
          <w:p>
            <w:pPr>
              <w:widowControl/>
              <w:jc w:val="center"/>
              <w:rPr>
                <w:rFonts w:hint="eastAsia" w:ascii="仿宋_GB2312" w:hAnsi="仿宋_GB2312" w:eastAsia="仿宋_GB2312" w:cs="仿宋_GB2312"/>
                <w:color w:val="000000"/>
                <w:kern w:val="0"/>
                <w:sz w:val="21"/>
                <w:szCs w:val="21"/>
                <w:highlight w:val="none"/>
              </w:rPr>
            </w:pPr>
          </w:p>
        </w:tc>
      </w:tr>
    </w:tbl>
    <w:p>
      <w:pPr>
        <w:spacing w:line="280" w:lineRule="exact"/>
        <w:ind w:right="108"/>
        <w:rPr>
          <w:rFonts w:hint="eastAsia" w:ascii="仿宋_GB2312" w:hAnsi="仿宋_GB2312" w:eastAsia="仿宋_GB2312" w:cs="仿宋_GB2312"/>
          <w:color w:val="000000"/>
          <w:sz w:val="21"/>
          <w:szCs w:val="21"/>
          <w:highlight w:val="none"/>
        </w:rPr>
      </w:pPr>
    </w:p>
    <w:p>
      <w:pPr>
        <w:spacing w:line="280" w:lineRule="exact"/>
        <w:ind w:left="105" w:right="108" w:hanging="105"/>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三、监督执法意见</w:t>
      </w:r>
    </w:p>
    <w:p>
      <w:pPr>
        <w:spacing w:line="280" w:lineRule="exact"/>
        <w:ind w:right="108"/>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sz w:val="21"/>
          <w:szCs w:val="21"/>
          <w:highlight w:val="none"/>
        </w:rPr>
        <w:t>有无制作卫生监督意见书：有</w:t>
      </w:r>
      <w:r>
        <w:rPr>
          <w:rFonts w:hint="eastAsia" w:ascii="仿宋_GB2312" w:hAnsi="仿宋_GB2312" w:eastAsia="仿宋_GB2312" w:cs="仿宋_GB2312"/>
          <w:color w:val="000000"/>
          <w:kern w:val="0"/>
          <w:sz w:val="21"/>
          <w:szCs w:val="21"/>
          <w:highlight w:val="none"/>
        </w:rPr>
        <w:t xml:space="preserve">□    无□  </w:t>
      </w:r>
    </w:p>
    <w:p>
      <w:pPr>
        <w:spacing w:line="280" w:lineRule="exact"/>
        <w:ind w:right="108"/>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xml:space="preserve">处理情况：   1.□责令限期改正 2. □行政处罚：□警告    □罚款     □责令停止作业    □提请地方人民政府予以关闭 </w:t>
      </w:r>
    </w:p>
    <w:p>
      <w:pPr>
        <w:spacing w:line="280" w:lineRule="exact"/>
        <w:ind w:right="108"/>
        <w:rPr>
          <w:rFonts w:hint="eastAsia" w:ascii="仿宋_GB2312" w:hAnsi="仿宋_GB2312" w:eastAsia="仿宋_GB2312" w:cs="仿宋_GB2312"/>
          <w:color w:val="000000"/>
          <w:kern w:val="0"/>
          <w:sz w:val="21"/>
          <w:szCs w:val="21"/>
          <w:highlight w:val="none"/>
        </w:rPr>
      </w:pPr>
    </w:p>
    <w:p>
      <w:pPr>
        <w:spacing w:line="280" w:lineRule="exact"/>
        <w:ind w:right="108" w:firstLine="315" w:firstLineChars="150"/>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检查人员：</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rPr>
        <w:t>、</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rPr>
        <w:t xml:space="preserve">                  检查日期： </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rPr>
        <w:t>年</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rPr>
        <w:t>月</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eastAsia" w:ascii="仿宋_GB2312" w:hAnsi="仿宋_GB2312" w:eastAsia="仿宋_GB2312" w:cs="仿宋_GB2312"/>
          <w:color w:val="000000"/>
          <w:kern w:val="0"/>
          <w:sz w:val="21"/>
          <w:szCs w:val="21"/>
          <w:highlight w:val="none"/>
          <w:u w:val="single"/>
        </w:rPr>
        <w:t xml:space="preserve">  </w:t>
      </w:r>
      <w:r>
        <w:rPr>
          <w:rFonts w:hint="eastAsia" w:ascii="仿宋_GB2312" w:hAnsi="仿宋_GB2312" w:eastAsia="仿宋_GB2312" w:cs="仿宋_GB2312"/>
          <w:color w:val="000000"/>
          <w:kern w:val="0"/>
          <w:sz w:val="21"/>
          <w:szCs w:val="21"/>
          <w:highlight w:val="none"/>
        </w:rPr>
        <w:t>日</w:t>
      </w:r>
    </w:p>
    <w:p>
      <w:pPr>
        <w:spacing w:line="500" w:lineRule="exact"/>
        <w:jc w:val="left"/>
        <w:rPr>
          <w:rFonts w:hint="eastAsia" w:ascii="黑体" w:hAnsi="黑体" w:eastAsia="黑体" w:cs="黑体"/>
          <w:b w:val="0"/>
          <w:bCs w:val="0"/>
          <w:color w:val="000000"/>
          <w:sz w:val="32"/>
          <w:szCs w:val="32"/>
          <w:highlight w:val="none"/>
        </w:rPr>
      </w:pPr>
    </w:p>
    <w:p>
      <w:pPr>
        <w:spacing w:line="500" w:lineRule="exact"/>
        <w:jc w:val="left"/>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br w:type="page"/>
      </w:r>
      <w:r>
        <w:rPr>
          <w:rFonts w:hint="eastAsia" w:ascii="黑体" w:hAnsi="黑体" w:eastAsia="黑体" w:cs="黑体"/>
          <w:b w:val="0"/>
          <w:bCs w:val="0"/>
          <w:color w:val="000000"/>
          <w:sz w:val="32"/>
          <w:szCs w:val="32"/>
          <w:highlight w:val="none"/>
        </w:rPr>
        <w:t>附表2</w:t>
      </w:r>
    </w:p>
    <w:p>
      <w:pPr>
        <w:spacing w:line="500"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eastAsia="zh-CN"/>
        </w:rPr>
        <w:t>2023</w:t>
      </w:r>
      <w:r>
        <w:rPr>
          <w:rFonts w:hint="eastAsia" w:ascii="方正小标宋简体" w:hAnsi="方正小标宋简体" w:eastAsia="方正小标宋简体" w:cs="方正小标宋简体"/>
          <w:b w:val="0"/>
          <w:bCs/>
          <w:color w:val="000000"/>
          <w:sz w:val="44"/>
          <w:szCs w:val="44"/>
          <w:highlight w:val="none"/>
        </w:rPr>
        <w:t>年广西尘毒危害企业随机监督抽查汇总表</w:t>
      </w:r>
    </w:p>
    <w:tbl>
      <w:tblPr>
        <w:tblStyle w:val="6"/>
        <w:tblW w:w="15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04"/>
        <w:gridCol w:w="504"/>
        <w:gridCol w:w="504"/>
        <w:gridCol w:w="683"/>
        <w:gridCol w:w="781"/>
        <w:gridCol w:w="798"/>
        <w:gridCol w:w="844"/>
        <w:gridCol w:w="829"/>
        <w:gridCol w:w="851"/>
        <w:gridCol w:w="805"/>
        <w:gridCol w:w="1003"/>
        <w:gridCol w:w="925"/>
        <w:gridCol w:w="808"/>
        <w:gridCol w:w="1104"/>
        <w:gridCol w:w="560"/>
        <w:gridCol w:w="510"/>
        <w:gridCol w:w="608"/>
        <w:gridCol w:w="670"/>
        <w:gridCol w:w="67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用人单位类别</w:t>
            </w:r>
          </w:p>
        </w:tc>
        <w:tc>
          <w:tcPr>
            <w:tcW w:w="50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辖区单位数</w:t>
            </w:r>
          </w:p>
        </w:tc>
        <w:tc>
          <w:tcPr>
            <w:tcW w:w="50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抽查单位数</w:t>
            </w:r>
          </w:p>
        </w:tc>
        <w:tc>
          <w:tcPr>
            <w:tcW w:w="50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不合格单位数</w:t>
            </w:r>
          </w:p>
        </w:tc>
        <w:tc>
          <w:tcPr>
            <w:tcW w:w="9431"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不合格情况</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责令限期改正单位数</w:t>
            </w:r>
          </w:p>
        </w:tc>
        <w:tc>
          <w:tcPr>
            <w:tcW w:w="3116" w:type="dxa"/>
            <w:gridSpan w:val="5"/>
            <w:tcBorders>
              <w:top w:val="single" w:color="auto" w:sz="4" w:space="0"/>
              <w:left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14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职业病防治管理组织和措施</w:t>
            </w:r>
          </w:p>
        </w:tc>
        <w:tc>
          <w:tcPr>
            <w:tcW w:w="7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职业卫生培训</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建设项目“三同时”</w:t>
            </w: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职业病危害项目申报</w:t>
            </w:r>
          </w:p>
        </w:tc>
        <w:tc>
          <w:tcPr>
            <w:tcW w:w="16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工作场所职业卫生管理</w:t>
            </w:r>
          </w:p>
        </w:tc>
        <w:tc>
          <w:tcPr>
            <w:tcW w:w="100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职业病危害警示和告知</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劳动者职业健康监护</w:t>
            </w:r>
          </w:p>
        </w:tc>
        <w:tc>
          <w:tcPr>
            <w:tcW w:w="191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职业病病人和疑似职业病病人处置</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3116" w:type="dxa"/>
            <w:gridSpan w:val="5"/>
            <w:tcBorders>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7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0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职业卫生管理机构或者组织不合格单位数</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职业卫生管理制度和操作规程不合格单位数</w:t>
            </w:r>
          </w:p>
        </w:tc>
        <w:tc>
          <w:tcPr>
            <w:tcW w:w="7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职业卫生培训不合格单位数</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建设项目职业病防护设施“三同时”不合格单位数</w:t>
            </w: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工作场所职业病危害项目申报不合格单位数</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工作场所职业病危害因素监测、检测、评价不合格单位数</w:t>
            </w:r>
          </w:p>
        </w:tc>
        <w:tc>
          <w:tcPr>
            <w:tcW w:w="80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职业病防护设施、应急救援设施、防护用品不合格单位数</w:t>
            </w:r>
          </w:p>
        </w:tc>
        <w:tc>
          <w:tcPr>
            <w:tcW w:w="100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职业病危害警示和告知不合格单位数</w:t>
            </w:r>
          </w:p>
        </w:tc>
        <w:tc>
          <w:tcPr>
            <w:tcW w:w="92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劳动者职业健康监护、放射工作人员个人剂量监测不合格单位数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职业病病人、疑似职业病病人处置不合格单位数</w:t>
            </w: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未为劳动者进行职业病诊断提供健康损害与职业史、职业病危害接触关系等相关资料单位数</w:t>
            </w: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行政处罚单位</w:t>
            </w:r>
          </w:p>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数</w:t>
            </w:r>
          </w:p>
        </w:tc>
        <w:tc>
          <w:tcPr>
            <w:tcW w:w="60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警告单位数</w:t>
            </w: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罚款（万元）</w:t>
            </w: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责令停止作业单位数</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黑体" w:hAnsi="黑体" w:eastAsia="黑体" w:cs="黑体"/>
                <w:color w:val="000000"/>
                <w:kern w:val="0"/>
                <w:sz w:val="21"/>
                <w:highlight w:val="none"/>
              </w:rPr>
            </w:pPr>
            <w:r>
              <w:rPr>
                <w:rFonts w:hint="eastAsia" w:ascii="黑体" w:hAnsi="黑体" w:eastAsia="黑体" w:cs="黑体"/>
                <w:color w:val="000000"/>
                <w:kern w:val="0"/>
                <w:sz w:val="21"/>
                <w:highlight w:val="none"/>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煤矿</w:t>
            </w: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5"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92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0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非煤</w:t>
            </w:r>
          </w:p>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矿山</w:t>
            </w: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5"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92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0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其他用人单位</w:t>
            </w: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5"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92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0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合计</w:t>
            </w: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79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5"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92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6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0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70"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000000"/>
                <w:kern w:val="0"/>
                <w:sz w:val="21"/>
                <w:szCs w:val="21"/>
                <w:highlight w:val="none"/>
              </w:rPr>
            </w:pPr>
          </w:p>
        </w:tc>
      </w:tr>
    </w:tbl>
    <w:p>
      <w:pPr>
        <w:spacing w:before="0" w:beforeLines="0" w:after="0" w:afterLines="0"/>
        <w:outlineLvl w:val="1"/>
        <w:rPr>
          <w:rFonts w:hint="eastAsia"/>
          <w:color w:val="000000"/>
          <w:highlight w:val="none"/>
          <w:lang w:val="en-US" w:eastAsia="zh-CN"/>
        </w:rPr>
        <w:sectPr>
          <w:footerReference r:id="rId5" w:type="default"/>
          <w:pgSz w:w="16838" w:h="11905" w:orient="landscape"/>
          <w:pgMar w:top="1701" w:right="1417" w:bottom="1417" w:left="1417" w:header="850" w:footer="992" w:gutter="0"/>
          <w:pgNumType w:fmt="decimal"/>
          <w:cols w:space="720" w:num="1"/>
          <w:rtlGutter w:val="0"/>
          <w:docGrid w:type="lines" w:linePitch="325" w:charSpace="0"/>
        </w:sectPr>
      </w:pPr>
      <w:r>
        <w:rPr>
          <w:rFonts w:hint="eastAsia" w:ascii="仿宋_GB2312" w:hAnsi="仿宋_GB2312" w:eastAsia="仿宋_GB2312" w:cs="仿宋_GB2312"/>
          <w:b w:val="0"/>
          <w:bCs/>
          <w:color w:val="000000"/>
          <w:sz w:val="21"/>
          <w:szCs w:val="21"/>
          <w:highlight w:val="none"/>
        </w:rPr>
        <w:t xml:space="preserve">填报单位：                             填报人：       </w:t>
      </w:r>
      <w:r>
        <w:rPr>
          <w:rFonts w:hint="eastAsia" w:ascii="仿宋_GB2312" w:hAnsi="仿宋_GB2312" w:eastAsia="仿宋_GB2312" w:cs="仿宋_GB2312"/>
          <w:b w:val="0"/>
          <w:bCs/>
          <w:color w:val="000000"/>
          <w:sz w:val="21"/>
          <w:szCs w:val="21"/>
          <w:highlight w:val="none"/>
          <w:lang w:val="en-US" w:eastAsia="zh-CN"/>
        </w:rPr>
        <w:t xml:space="preserve">       </w:t>
      </w:r>
      <w:r>
        <w:rPr>
          <w:rFonts w:hint="eastAsia" w:ascii="仿宋_GB2312" w:hAnsi="仿宋_GB2312" w:eastAsia="仿宋_GB2312" w:cs="仿宋_GB2312"/>
          <w:b w:val="0"/>
          <w:bCs/>
          <w:color w:val="000000"/>
          <w:sz w:val="21"/>
          <w:szCs w:val="21"/>
          <w:highlight w:val="none"/>
        </w:rPr>
        <w:t xml:space="preserve">           联系电话：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74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74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1A64269A"/>
    <w:rsid w:val="1A64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2023-10-26T03:42:00Z</dcterms:created>
  <dc:creator>粗尾鸭</dc:creator>
  <cp:lastModifiedBy>粗尾鸭</cp:lastModifiedBy>
  <dcterms:modified xsi:type="dcterms:W3CDTF">2023-10-26T03:42:27Z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F7E0A068CF44461AB0B70C263EF1FE05_11</vt:lpwstr>
  </property>
</Properties>
</file>