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hint="eastAsia" w:ascii="黑体" w:hAnsi="黑体" w:eastAsia="黑体" w:cs="黑体"/>
          <w:bCs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附件5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职业卫生初次轻微违法行为不予处罚情形</w:t>
      </w:r>
      <w:bookmarkEnd w:id="0"/>
    </w:p>
    <w:tbl>
      <w:tblPr>
        <w:tblStyle w:val="5"/>
        <w:tblW w:w="0" w:type="auto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475"/>
        <w:gridCol w:w="6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不予处罚事项名称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未按照规定制定职业病防治计划和实施方案的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未按照规定设置或者指定职业卫生管理机构或者组织，或者未配备专职或者兼职的职业卫生管理人员的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《中华人民共和国职业病防治法》第二十条第二项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《工作场所职业卫生管理规定》第四十八条第二项 用人单位有下情形之一的，责令限期改正，给予警告；逾期未改正的，处十万元以下的罚款：（二）未按照规定设置或者指定职业卫生管理机构或者组织，或者未配备专职或者兼职的职业卫生管理人员的。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未按照规定建立、健全职业卫生管理制度和操作规程的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《工作场所职业卫生管理规定》第四十八条第（三）项 用人单位有下列情形之一的，责令限期改正，给予警告；逾期未改正的，处十万元以下的罚款：（三）未按照规定建立、健全职业卫生管理制度和操作规程的。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未建立、健全工作场所职业病危害因素监测及评价制度的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《工作场所职业卫生管理规定》第四十八条第（五）项 用人单位有下列情形之一的，责令限期改正，给予警告；逾期未改正的，处十万元以下的罚款：（五）未建立、健全工作场所职业病危害因素监测及评价制度的。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未按照规定公布有关职业病防治的规章制度、操作规程、职业病危害事故应急救援措施的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《中华人民共和国职业病防治法》第七十条第（三）项 违反本法规定，有下列行为之一的，由卫生行政部门给予警告，责令限期改正；逾期不改正的，处十万元以下的罚款：（三）未按照规定公布有关职业病防治的规章制度、操作规程、职业病危害事故应急救援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《工作场所职业卫生管理规定》第四十八条第（六）项 用人单位有下列情形之一的，责令限期改正，给予警告；逾期未改正的，处十万元以下的罚款：（六）未按照规定公布有关职业病防治的规章制度、操作规程、职业病危害事故应急救援措施的。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工作场所职业病危害因素检测、评价结果没有或未按照规定上报、公布的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《中华人民共和国职业病防治法》第七十条第（一）项 违反本法规定，有下列行为之一的，由卫生行政部门给予警告，责令限期改正；逾期不改正的，处十万元以下的罚款：（一）工作场所职业病危害因素检测、评价结果没有存档、上报、公布的；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"/>
              </w:rPr>
              <w:t>《工作场所职业卫生管理规定》第四十八条第（八）项 用人单位有下列情形之一的，责令限期改正，给予警告；逾期未改正的，处十万元以下的罚款：（八）工作场所职业病危害因素检测、评价结果未按照规定存档、上报和公布的。</w:t>
            </w:r>
          </w:p>
        </w:tc>
      </w:tr>
    </w:tbl>
    <w:p>
      <w:pPr>
        <w:pStyle w:val="2"/>
        <w:ind w:firstLine="320"/>
        <w:rPr>
          <w:rFonts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662C3ECE"/>
    <w:rsid w:val="662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2023-10-26T03:30:00Z</dcterms:created>
  <dc:creator>粗尾鸭</dc:creator>
  <cp:lastModifiedBy>粗尾鸭</cp:lastModifiedBy>
  <dcterms:modified xsi:type="dcterms:W3CDTF">2023-10-26T03:30:32Z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9DF9E224EF6544F0B8A97B418438824F_11</vt:lpwstr>
  </property>
</Properties>
</file>