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1"/>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
        </w:rPr>
        <w:t>3</w:t>
      </w:r>
      <w:r>
        <w:rPr>
          <w:rFonts w:hint="eastAsia" w:ascii="黑体" w:hAnsi="黑体" w:eastAsia="黑体" w:cs="黑体"/>
          <w:bCs/>
          <w:sz w:val="32"/>
          <w:szCs w:val="32"/>
        </w:rPr>
        <w:t xml:space="preserve"> </w:t>
      </w:r>
    </w:p>
    <w:p>
      <w:pPr>
        <w:pStyle w:val="2"/>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用人单位职业病危害综合风险评估方法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_GB2312" w:cs="等线"/>
          <w:bCs/>
          <w:sz w:val="32"/>
          <w:szCs w:val="32"/>
        </w:rPr>
      </w:pPr>
      <w:r>
        <w:rPr>
          <w:rFonts w:hint="eastAsia" w:ascii="仿宋_GB2312" w:hAnsi="仿宋_GB2312" w:eastAsia="仿宋_GB2312" w:cs="仿宋_GB2312"/>
          <w:sz w:val="32"/>
          <w:szCs w:val="32"/>
        </w:rPr>
        <w:t>用人单位根据职业病危害风险分级和职业卫生管理状况分级结果评估职业病危害综合风险类别，分为甲类、乙类和丙类三类风险，其中甲类风险最低，丙类风险最高。具体方法如下：</w:t>
      </w:r>
    </w:p>
    <w:p>
      <w:pPr>
        <w:keepNext w:val="0"/>
        <w:keepLines w:val="0"/>
        <w:pageBreakBefore w:val="0"/>
        <w:widowControl w:val="0"/>
        <w:kinsoku/>
        <w:wordWrap/>
        <w:overflowPunct/>
        <w:topLinePunct w:val="0"/>
        <w:autoSpaceDE/>
        <w:autoSpaceDN/>
        <w:bidi w:val="0"/>
        <w:spacing w:line="560" w:lineRule="exact"/>
        <w:jc w:val="both"/>
        <w:textAlignment w:val="auto"/>
        <w:rPr>
          <w:rFonts w:ascii="宋体" w:hAnsi="宋体" w:cs="宋体"/>
          <w:b/>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用人单位职业病危害综合风险评估方法</w:t>
      </w:r>
    </w:p>
    <w:p>
      <w:pPr>
        <w:pStyle w:val="2"/>
        <w:ind w:firstLine="210"/>
      </w:pPr>
    </w:p>
    <w:p>
      <w:pPr>
        <w:pStyle w:val="2"/>
        <w:ind w:firstLine="210"/>
      </w:pPr>
    </w:p>
    <w:tbl>
      <w:tblPr>
        <w:tblStyle w:val="6"/>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2113"/>
        <w:gridCol w:w="1938"/>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blHeader/>
          <w:jc w:val="center"/>
        </w:trPr>
        <w:tc>
          <w:tcPr>
            <w:tcW w:w="144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职业卫生管理状况</w:t>
            </w:r>
          </w:p>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等级</w:t>
            </w:r>
          </w:p>
        </w:tc>
        <w:tc>
          <w:tcPr>
            <w:tcW w:w="3550" w:type="pct"/>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职业病危害风险等级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blHeader/>
          <w:jc w:val="center"/>
        </w:trPr>
        <w:tc>
          <w:tcPr>
            <w:tcW w:w="144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黑体" w:hAnsi="黑体" w:eastAsia="黑体" w:cs="黑体"/>
                <w:sz w:val="28"/>
                <w:szCs w:val="28"/>
              </w:rPr>
            </w:pPr>
          </w:p>
        </w:tc>
        <w:tc>
          <w:tcPr>
            <w:tcW w:w="126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Ⅰ级</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Ⅱ级</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144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A级</w:t>
            </w:r>
          </w:p>
        </w:tc>
        <w:tc>
          <w:tcPr>
            <w:tcW w:w="126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甲类</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甲类</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144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B级</w:t>
            </w:r>
          </w:p>
        </w:tc>
        <w:tc>
          <w:tcPr>
            <w:tcW w:w="126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甲类</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乙类</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44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C级</w:t>
            </w:r>
          </w:p>
        </w:tc>
        <w:tc>
          <w:tcPr>
            <w:tcW w:w="126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乙类</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丙类</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丙类</w:t>
            </w:r>
          </w:p>
        </w:tc>
      </w:tr>
    </w:tbl>
    <w:p>
      <w:bookmarkStart w:id="0" w:name="_GoBack"/>
      <w:bookmarkEnd w:id="0"/>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06CA49FC"/>
    <w:rsid w:val="06CA49FC"/>
    <w:rsid w:val="090360D7"/>
    <w:rsid w:val="2D1D7812"/>
    <w:rsid w:val="5A74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2023-10-26T03:26:00Z</dcterms:created>
  <dc:creator>粗尾鸭</dc:creator>
  <cp:lastModifiedBy>粗尾鸭</cp:lastModifiedBy>
  <dcterms:modified xsi:type="dcterms:W3CDTF">2023-10-26T03:28:15Z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14412DEF42F94EE7AECC4F8232CD388C_13</vt:lpwstr>
  </property>
</Properties>
</file>