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1"/>
        <w:rPr>
          <w:rFonts w:hint="eastAsia" w:ascii="黑体" w:hAnsi="黑体" w:eastAsia="黑体" w:cs="黑体"/>
          <w:bCs/>
          <w:sz w:val="32"/>
          <w:szCs w:val="32"/>
        </w:rPr>
      </w:pPr>
      <w:r>
        <w:rPr>
          <w:rFonts w:hint="eastAsia" w:ascii="黑体" w:hAnsi="黑体" w:eastAsia="黑体" w:cs="黑体"/>
          <w:bCs/>
          <w:sz w:val="32"/>
          <w:szCs w:val="32"/>
        </w:rPr>
        <w:t>附件1</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用人单位职业病危害风险分级方法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根据《职业病防治法》等法律法规规章制定用人单位职业病危害风险分级方法。用人单位职业病危害风险分级根据劳动者接触职业病危害因素性质、</w:t>
      </w:r>
      <w:r>
        <w:rPr>
          <w:rFonts w:hint="eastAsia" w:ascii="仿宋_GB2312" w:hAnsi="仿宋_GB2312" w:eastAsia="仿宋_GB2312" w:cs="仿宋_GB2312"/>
          <w:sz w:val="32"/>
          <w:szCs w:val="32"/>
        </w:rPr>
        <w:t>接触</w:t>
      </w:r>
      <w:r>
        <w:rPr>
          <w:rFonts w:hint="eastAsia" w:ascii="仿宋_GB2312" w:hAnsi="仿宋_GB2312" w:eastAsia="仿宋_GB2312" w:cs="仿宋_GB2312"/>
          <w:bCs/>
          <w:sz w:val="32"/>
          <w:szCs w:val="32"/>
        </w:rPr>
        <w:t>水平、接触人数等指标进行判定。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bCs/>
          <w:sz w:val="32"/>
          <w:szCs w:val="32"/>
        </w:rPr>
      </w:pPr>
      <w:r>
        <w:rPr>
          <w:rFonts w:hint="eastAsia" w:ascii="Times New Roman" w:hAnsi="Times New Roman" w:eastAsia="黑体"/>
          <w:bCs/>
          <w:sz w:val="32"/>
          <w:szCs w:val="32"/>
        </w:rPr>
        <w:t>一、指标界定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（一）职业病危害因素性质</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职业病危害因素性质分为严重和一般职业病危害因素。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bCs/>
          <w:sz w:val="32"/>
          <w:szCs w:val="32"/>
        </w:rPr>
        <w:t>1.严重</w:t>
      </w:r>
      <w:r>
        <w:rPr>
          <w:rFonts w:hint="eastAsia" w:ascii="仿宋_GB2312" w:hAnsi="仿宋_GB2312" w:eastAsia="仿宋_GB2312" w:cs="仿宋_GB2312"/>
          <w:sz w:val="32"/>
          <w:szCs w:val="32"/>
        </w:rPr>
        <w:t>职业病</w:t>
      </w:r>
      <w:r>
        <w:rPr>
          <w:rFonts w:hint="eastAsia" w:ascii="仿宋_GB2312" w:hAnsi="仿宋_GB2312" w:eastAsia="仿宋_GB2312" w:cs="仿宋_GB2312"/>
          <w:bCs/>
          <w:sz w:val="32"/>
          <w:szCs w:val="32"/>
        </w:rPr>
        <w:t>危害因素主要包括以下内容：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（1）《高毒物品目录》所列职业病危害因素；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（2）石棉纤维粉尘、游离二氧化硅含量10%以上粉尘；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（3）已确认对人致癌的化学有害因素（GBZ 2.1中标注“G1”的物质）；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（4）电离辐射（除外Ⅲ类射线装置、Ⅳ类和Ⅴ类密封源、丙级非密封源工作场所及予以豁免的实践或源）；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（5）卫生健康主管部门规定的其他应列入严重职业病危害因素范围的。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2.上述严重职业病危害因素以外的其他职业病危害因素为一般职业病危害因素。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职业病危害因素接触水平</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Cs w:val="22"/>
        </w:rPr>
      </w:pPr>
      <w:r>
        <w:rPr>
          <w:rFonts w:hint="eastAsia" w:ascii="仿宋_GB2312" w:hAnsi="仿宋_GB2312" w:eastAsia="仿宋_GB2312" w:cs="仿宋_GB2312"/>
          <w:bCs/>
          <w:sz w:val="32"/>
          <w:szCs w:val="32"/>
        </w:rPr>
        <w:t>职业病危害因素接触水平指劳动者在职业活动的特定时间段内实际接触工作场所职业病危害因素的浓度或强度。本文件中职业病危害因素接触水平分为符合和不符合。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（三）职业病危害接触人数。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职业病危害接触人数分三类，分别为接触人数9人及以下、10～49人和50人及以上。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bCs/>
          <w:sz w:val="32"/>
          <w:szCs w:val="32"/>
        </w:rPr>
      </w:pPr>
      <w:r>
        <w:rPr>
          <w:rFonts w:hint="eastAsia" w:ascii="Times New Roman" w:hAnsi="Times New Roman" w:eastAsia="黑体"/>
          <w:bCs/>
          <w:sz w:val="32"/>
          <w:szCs w:val="32"/>
        </w:rPr>
        <w:t>二、风险分级方法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按照《用人单位职业病危害风险分级方法》（见附表1-1），将用人单位职业病危害风险分Ⅰ级、Ⅱ级、Ⅲ级三个等级，Ⅰ级风险最低，Ⅲ级风险最高。</w:t>
      </w:r>
    </w:p>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附表1-1 用人单位职业病危害风险分级方法</w:t>
      </w:r>
    </w:p>
    <w:tbl>
      <w:tblPr>
        <w:tblStyle w:val="5"/>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290"/>
        <w:gridCol w:w="1861"/>
        <w:gridCol w:w="1859"/>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blHeader/>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 w:val="24"/>
                <w:szCs w:val="24"/>
                <w:lang w:bidi="ar"/>
              </w:rPr>
            </w:pPr>
            <w:r>
              <w:rPr>
                <w:rFonts w:hint="eastAsia" w:ascii="黑体" w:hAnsi="黑体" w:eastAsia="黑体" w:cs="黑体"/>
                <w:b w:val="0"/>
                <w:bCs/>
                <w:sz w:val="24"/>
                <w:szCs w:val="24"/>
                <w:lang w:bidi="ar"/>
              </w:rPr>
              <w:t>职业病危害</w:t>
            </w:r>
          </w:p>
          <w:p>
            <w:pPr>
              <w:jc w:val="center"/>
              <w:rPr>
                <w:rFonts w:hint="eastAsia" w:ascii="黑体" w:hAnsi="黑体" w:eastAsia="黑体" w:cs="黑体"/>
                <w:b w:val="0"/>
                <w:bCs/>
                <w:sz w:val="24"/>
                <w:szCs w:val="24"/>
              </w:rPr>
            </w:pPr>
            <w:r>
              <w:rPr>
                <w:rFonts w:hint="eastAsia" w:ascii="黑体" w:hAnsi="黑体" w:eastAsia="黑体" w:cs="黑体"/>
                <w:b w:val="0"/>
                <w:bCs/>
                <w:sz w:val="24"/>
                <w:szCs w:val="24"/>
                <w:lang w:bidi="ar"/>
              </w:rPr>
              <w:t>因素性质</w:t>
            </w:r>
          </w:p>
        </w:tc>
        <w:tc>
          <w:tcPr>
            <w:tcW w:w="713"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lang w:bidi="ar"/>
              </w:rPr>
              <w:t>接触水平</w:t>
            </w:r>
          </w:p>
        </w:tc>
        <w:tc>
          <w:tcPr>
            <w:tcW w:w="3196"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lang w:bidi="ar"/>
              </w:rPr>
              <w:t>接触人数（人）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cs="黑体"/>
                <w:b w:val="0"/>
                <w:bCs/>
                <w:sz w:val="24"/>
                <w:szCs w:val="24"/>
              </w:rPr>
            </w:pPr>
          </w:p>
        </w:tc>
        <w:tc>
          <w:tcPr>
            <w:tcW w:w="713"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cs="黑体"/>
                <w:b w:val="0"/>
                <w:bCs/>
                <w:sz w:val="24"/>
                <w:szCs w:val="24"/>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lang w:bidi="ar"/>
              </w:rPr>
              <w:t>≤9</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lang w:bidi="ar"/>
              </w:rPr>
              <w:t>10~49</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sz w:val="24"/>
                <w:szCs w:val="24"/>
              </w:rPr>
            </w:pPr>
            <w:r>
              <w:rPr>
                <w:rFonts w:hint="eastAsia" w:ascii="黑体" w:hAnsi="黑体" w:eastAsia="黑体" w:cs="黑体"/>
                <w:b w:val="0"/>
                <w:bCs/>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ascii="Times New Roman" w:hAnsi="Times New Roman" w:eastAsia="仿宋_GB2312"/>
                <w:b w:val="0"/>
                <w:bCs/>
                <w:sz w:val="24"/>
                <w:szCs w:val="24"/>
                <w:lang w:bidi="ar"/>
              </w:rPr>
              <w:t>一般职业病</w:t>
            </w:r>
          </w:p>
          <w:p>
            <w:pPr>
              <w:jc w:val="center"/>
              <w:rPr>
                <w:rFonts w:ascii="Times New Roman" w:hAnsi="Times New Roman" w:eastAsia="仿宋_GB2312"/>
                <w:b w:val="0"/>
                <w:bCs/>
                <w:sz w:val="24"/>
                <w:szCs w:val="24"/>
              </w:rPr>
            </w:pPr>
            <w:r>
              <w:rPr>
                <w:rFonts w:ascii="Times New Roman" w:hAnsi="Times New Roman" w:eastAsia="仿宋_GB2312"/>
                <w:b w:val="0"/>
                <w:bCs/>
                <w:sz w:val="24"/>
                <w:szCs w:val="24"/>
                <w:lang w:bidi="ar"/>
              </w:rPr>
              <w:t>危害因素</w:t>
            </w:r>
          </w:p>
        </w:tc>
        <w:tc>
          <w:tcPr>
            <w:tcW w:w="71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lang w:bidi="ar"/>
              </w:rPr>
            </w:pPr>
            <w:r>
              <w:rPr>
                <w:rFonts w:ascii="Times New Roman" w:hAnsi="Times New Roman" w:eastAsia="仿宋_GB2312"/>
                <w:b w:val="0"/>
                <w:bCs/>
                <w:sz w:val="24"/>
                <w:szCs w:val="24"/>
                <w:lang w:bidi="ar"/>
              </w:rPr>
              <w:t>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Ⅰ级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Ⅰ级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val="0"/>
                <w:bCs/>
                <w:sz w:val="24"/>
                <w:szCs w:val="24"/>
              </w:rP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lang w:bidi="ar"/>
              </w:rPr>
            </w:pPr>
            <w:r>
              <w:rPr>
                <w:rFonts w:ascii="Times New Roman" w:hAnsi="Times New Roman" w:eastAsia="仿宋_GB2312"/>
                <w:b w:val="0"/>
                <w:bCs/>
                <w:sz w:val="24"/>
                <w:szCs w:val="24"/>
                <w:lang w:bidi="ar"/>
              </w:rPr>
              <w:t>不符合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Ⅱ</w:t>
            </w:r>
            <w:r>
              <w:rPr>
                <w:rFonts w:hint="eastAsia" w:ascii="Times New Roman" w:hAnsi="Times New Roman" w:eastAsia="仿宋_GB2312"/>
                <w:b w:val="0"/>
                <w:bCs/>
                <w:sz w:val="24"/>
                <w:szCs w:val="24"/>
                <w:lang w:bidi="ar"/>
              </w:rPr>
              <w:t>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Ⅱ级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ascii="Times New Roman" w:hAnsi="Times New Roman" w:eastAsia="仿宋_GB2312"/>
                <w:b w:val="0"/>
                <w:bCs/>
                <w:sz w:val="24"/>
                <w:szCs w:val="24"/>
                <w:lang w:bidi="ar"/>
              </w:rPr>
              <w:t>严重职业病</w:t>
            </w:r>
          </w:p>
          <w:p>
            <w:pPr>
              <w:jc w:val="center"/>
              <w:rPr>
                <w:rFonts w:ascii="Times New Roman" w:hAnsi="Times New Roman" w:eastAsia="仿宋_GB2312"/>
                <w:b w:val="0"/>
                <w:bCs/>
                <w:sz w:val="24"/>
                <w:szCs w:val="24"/>
              </w:rPr>
            </w:pPr>
            <w:r>
              <w:rPr>
                <w:rFonts w:ascii="Times New Roman" w:hAnsi="Times New Roman" w:eastAsia="仿宋_GB2312"/>
                <w:b w:val="0"/>
                <w:bCs/>
                <w:sz w:val="24"/>
                <w:szCs w:val="24"/>
                <w:lang w:bidi="ar"/>
              </w:rPr>
              <w:t>危害因素</w:t>
            </w:r>
          </w:p>
        </w:tc>
        <w:tc>
          <w:tcPr>
            <w:tcW w:w="71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lang w:bidi="ar"/>
              </w:rPr>
            </w:pPr>
            <w:r>
              <w:rPr>
                <w:rFonts w:ascii="Times New Roman" w:hAnsi="Times New Roman" w:eastAsia="仿宋_GB2312"/>
                <w:b w:val="0"/>
                <w:bCs/>
                <w:sz w:val="24"/>
                <w:szCs w:val="24"/>
                <w:lang w:bidi="ar"/>
              </w:rPr>
              <w:t>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Ⅱ级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Ⅱ级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val="0"/>
                <w:bCs/>
                <w:sz w:val="24"/>
                <w:szCs w:val="24"/>
              </w:rP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lang w:bidi="ar"/>
              </w:rPr>
            </w:pPr>
            <w:r>
              <w:rPr>
                <w:rFonts w:ascii="Times New Roman" w:hAnsi="Times New Roman" w:eastAsia="仿宋_GB2312"/>
                <w:b w:val="0"/>
                <w:bCs/>
                <w:sz w:val="24"/>
                <w:szCs w:val="24"/>
                <w:lang w:bidi="ar"/>
              </w:rPr>
              <w:t>不符合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Ⅲ</w:t>
            </w:r>
            <w:r>
              <w:rPr>
                <w:rFonts w:hint="eastAsia" w:ascii="Times New Roman" w:hAnsi="Times New Roman" w:eastAsia="仿宋_GB2312"/>
                <w:b w:val="0"/>
                <w:bCs/>
                <w:sz w:val="24"/>
                <w:szCs w:val="24"/>
              </w:rPr>
              <w:t>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Ⅲ级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lang w:bidi="ar"/>
              </w:rPr>
              <w:t>Ⅲ级</w:t>
            </w:r>
          </w:p>
        </w:tc>
      </w:tr>
    </w:tbl>
    <w:p>
      <w:pPr>
        <w:pStyle w:val="3"/>
        <w:spacing w:after="0" w:line="560" w:lineRule="exact"/>
        <w:rPr>
          <w:rFonts w:ascii="Times New Roman" w:hAnsi="Times New Roman" w:eastAsia="仿宋_GB2312"/>
          <w:spacing w:val="-6"/>
          <w:sz w:val="24"/>
          <w:szCs w:val="28"/>
        </w:rPr>
      </w:pPr>
      <w:r>
        <w:rPr>
          <w:rFonts w:ascii="Times New Roman" w:hAnsi="Times New Roman" w:eastAsia="仿宋_GB2312"/>
          <w:spacing w:val="-6"/>
          <w:sz w:val="24"/>
          <w:szCs w:val="28"/>
        </w:rPr>
        <w:t>注：用人单位同时存在一般职业病危害因素和严重职业病危害因素时，依风险高者判定。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bCs/>
          <w:sz w:val="32"/>
          <w:szCs w:val="32"/>
        </w:rPr>
      </w:pPr>
      <w:r>
        <w:rPr>
          <w:rFonts w:hint="eastAsia" w:ascii="Times New Roman" w:hAnsi="Times New Roman" w:eastAsia="黑体"/>
          <w:bCs/>
          <w:sz w:val="32"/>
          <w:szCs w:val="32"/>
        </w:rPr>
        <w:t>三、风险分级步骤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根据用人单位职业病危害现状评价报告或定期检测与评价报告，</w:t>
      </w:r>
      <w:r>
        <w:rPr>
          <w:rFonts w:hint="eastAsia" w:ascii="仿宋_GB2312" w:hAnsi="仿宋_GB2312" w:eastAsia="仿宋_GB2312" w:cs="仿宋_GB2312"/>
          <w:color w:val="000000"/>
          <w:sz w:val="32"/>
          <w:szCs w:val="32"/>
          <w:shd w:val="clear" w:color="auto" w:fill="FFFFFF"/>
        </w:rPr>
        <w:t>或国家基本公共卫生服务中职业病和职业病危害因素监测项目用人单位工作场所职业病危害因素检测、评价报告和职业健康检查报告，</w:t>
      </w:r>
      <w:r>
        <w:rPr>
          <w:rFonts w:hint="eastAsia" w:ascii="仿宋_GB2312" w:hAnsi="仿宋_GB2312" w:eastAsia="仿宋_GB2312" w:cs="仿宋_GB2312"/>
          <w:bCs/>
          <w:sz w:val="32"/>
          <w:szCs w:val="32"/>
        </w:rPr>
        <w:t>开展职业病危害因素情况调查，填写附表1-2。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根据用人单位职业病危害风险分级方法进行风险等级判定，填写附表1-3。</w:t>
      </w:r>
    </w:p>
    <w:p>
      <w:pPr>
        <w:pStyle w:val="2"/>
        <w:ind w:firstLine="320"/>
        <w:sectPr>
          <w:footerReference r:id="rId3" w:type="default"/>
          <w:pgSz w:w="11906" w:h="16838"/>
          <w:pgMar w:top="1701" w:right="1417" w:bottom="1417" w:left="1701" w:header="851" w:footer="992" w:gutter="0"/>
          <w:pgNumType w:fmt="decimal"/>
          <w:cols w:space="720" w:num="1"/>
          <w:rtlGutter w:val="0"/>
          <w:docGrid w:type="lines" w:linePitch="312" w:charSpace="0"/>
        </w:sectPr>
      </w:pPr>
      <w:r>
        <w:rPr>
          <w:rFonts w:hint="eastAsia" w:ascii="仿宋_GB2312" w:hAnsi="仿宋_GB2312" w:eastAsia="仿宋_GB2312" w:cs="仿宋_GB2312"/>
          <w:color w:val="000000"/>
          <w:sz w:val="32"/>
          <w:szCs w:val="32"/>
          <w:shd w:val="clear" w:color="auto" w:fill="FFFFFF"/>
        </w:rPr>
        <w:t xml:space="preserve">  </w:t>
      </w:r>
    </w:p>
    <w:p>
      <w:pPr>
        <w:spacing w:line="5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附表1-2 用人单位职业病危害因素接触情况一览表</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1134"/>
        <w:gridCol w:w="850"/>
        <w:gridCol w:w="1134"/>
        <w:gridCol w:w="992"/>
        <w:gridCol w:w="993"/>
        <w:gridCol w:w="992"/>
        <w:gridCol w:w="1559"/>
        <w:gridCol w:w="1134"/>
        <w:gridCol w:w="1276"/>
        <w:gridCol w:w="99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序号</w:t>
            </w:r>
          </w:p>
        </w:tc>
        <w:tc>
          <w:tcPr>
            <w:tcW w:w="851" w:type="dxa"/>
            <w:vMerge w:val="restart"/>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车间</w:t>
            </w:r>
          </w:p>
        </w:tc>
        <w:tc>
          <w:tcPr>
            <w:tcW w:w="1134" w:type="dxa"/>
            <w:vMerge w:val="restart"/>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工种/岗位</w:t>
            </w:r>
          </w:p>
        </w:tc>
        <w:tc>
          <w:tcPr>
            <w:tcW w:w="850" w:type="dxa"/>
            <w:vMerge w:val="restart"/>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定员</w:t>
            </w:r>
          </w:p>
        </w:tc>
        <w:tc>
          <w:tcPr>
            <w:tcW w:w="1134" w:type="dxa"/>
            <w:vMerge w:val="restart"/>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职业病危害</w:t>
            </w:r>
          </w:p>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因素名称</w:t>
            </w:r>
          </w:p>
        </w:tc>
        <w:tc>
          <w:tcPr>
            <w:tcW w:w="6946" w:type="dxa"/>
            <w:gridSpan w:val="6"/>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职业病危害因素检测结果</w:t>
            </w:r>
          </w:p>
        </w:tc>
        <w:tc>
          <w:tcPr>
            <w:tcW w:w="992" w:type="dxa"/>
            <w:vMerge w:val="restart"/>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hint="eastAsia" w:ascii="Times New Roman" w:hAnsi="Times New Roman" w:eastAsia="仿宋_GB2312"/>
                <w:b/>
                <w:snapToGrid w:val="0"/>
                <w:kern w:val="0"/>
                <w:sz w:val="22"/>
              </w:rPr>
              <w:t>接触</w:t>
            </w:r>
            <w:r>
              <w:rPr>
                <w:rFonts w:ascii="Times New Roman" w:hAnsi="Times New Roman" w:eastAsia="仿宋_GB2312"/>
                <w:b/>
                <w:snapToGrid w:val="0"/>
                <w:kern w:val="0"/>
                <w:sz w:val="22"/>
              </w:rPr>
              <w:t>水平</w:t>
            </w:r>
          </w:p>
        </w:tc>
        <w:tc>
          <w:tcPr>
            <w:tcW w:w="1381" w:type="dxa"/>
            <w:vMerge w:val="restart"/>
            <w:noWrap w:val="0"/>
            <w:vAlign w:val="center"/>
          </w:tcPr>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职业病危害</w:t>
            </w:r>
          </w:p>
          <w:p>
            <w:pPr>
              <w:adjustRightInd w:val="0"/>
              <w:snapToGrid w:val="0"/>
              <w:ind w:left="-105" w:leftChars="-50" w:right="-105" w:rightChars="-5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因素性质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adjustRightInd w:val="0"/>
              <w:snapToGrid w:val="0"/>
              <w:jc w:val="center"/>
              <w:rPr>
                <w:rFonts w:ascii="Times New Roman" w:hAnsi="Times New Roman" w:eastAsia="仿宋_GB2312"/>
                <w:b/>
                <w:snapToGrid w:val="0"/>
                <w:kern w:val="0"/>
                <w:sz w:val="22"/>
              </w:rPr>
            </w:pPr>
          </w:p>
        </w:tc>
        <w:tc>
          <w:tcPr>
            <w:tcW w:w="851" w:type="dxa"/>
            <w:vMerge w:val="continue"/>
            <w:noWrap w:val="0"/>
            <w:vAlign w:val="top"/>
          </w:tcPr>
          <w:p>
            <w:pPr>
              <w:adjustRightInd w:val="0"/>
              <w:snapToGrid w:val="0"/>
              <w:jc w:val="center"/>
              <w:rPr>
                <w:rFonts w:ascii="Times New Roman" w:hAnsi="Times New Roman" w:eastAsia="仿宋_GB2312"/>
                <w:b/>
                <w:snapToGrid w:val="0"/>
                <w:kern w:val="0"/>
                <w:sz w:val="22"/>
              </w:rPr>
            </w:pPr>
          </w:p>
        </w:tc>
        <w:tc>
          <w:tcPr>
            <w:tcW w:w="1134" w:type="dxa"/>
            <w:vMerge w:val="continue"/>
            <w:noWrap w:val="0"/>
            <w:vAlign w:val="top"/>
          </w:tcPr>
          <w:p>
            <w:pPr>
              <w:adjustRightInd w:val="0"/>
              <w:snapToGrid w:val="0"/>
              <w:jc w:val="center"/>
              <w:rPr>
                <w:rFonts w:ascii="Times New Roman" w:hAnsi="Times New Roman" w:eastAsia="仿宋_GB2312"/>
                <w:b/>
                <w:snapToGrid w:val="0"/>
                <w:kern w:val="0"/>
                <w:sz w:val="22"/>
              </w:rPr>
            </w:pPr>
          </w:p>
        </w:tc>
        <w:tc>
          <w:tcPr>
            <w:tcW w:w="850" w:type="dxa"/>
            <w:vMerge w:val="continue"/>
            <w:noWrap w:val="0"/>
            <w:vAlign w:val="top"/>
          </w:tcPr>
          <w:p>
            <w:pPr>
              <w:adjustRightInd w:val="0"/>
              <w:snapToGrid w:val="0"/>
              <w:jc w:val="center"/>
              <w:rPr>
                <w:rFonts w:ascii="Times New Roman" w:hAnsi="Times New Roman" w:eastAsia="仿宋_GB2312"/>
                <w:b/>
                <w:snapToGrid w:val="0"/>
                <w:kern w:val="0"/>
                <w:sz w:val="22"/>
              </w:rPr>
            </w:pPr>
          </w:p>
        </w:tc>
        <w:tc>
          <w:tcPr>
            <w:tcW w:w="1134" w:type="dxa"/>
            <w:vMerge w:val="continue"/>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center"/>
          </w:tcPr>
          <w:p>
            <w:pPr>
              <w:adjustRightInd w:val="0"/>
              <w:snapToGrid w:val="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C</w:t>
            </w:r>
            <w:r>
              <w:rPr>
                <w:rFonts w:ascii="Times New Roman" w:hAnsi="Times New Roman" w:eastAsia="仿宋_GB2312"/>
                <w:b/>
                <w:snapToGrid w:val="0"/>
                <w:kern w:val="0"/>
                <w:sz w:val="22"/>
                <w:vertAlign w:val="subscript"/>
              </w:rPr>
              <w:t>TWA</w:t>
            </w:r>
          </w:p>
        </w:tc>
        <w:tc>
          <w:tcPr>
            <w:tcW w:w="993" w:type="dxa"/>
            <w:noWrap w:val="0"/>
            <w:vAlign w:val="center"/>
          </w:tcPr>
          <w:p>
            <w:pPr>
              <w:adjustRightInd w:val="0"/>
              <w:snapToGrid w:val="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C</w:t>
            </w:r>
            <w:r>
              <w:rPr>
                <w:rFonts w:ascii="Times New Roman" w:hAnsi="Times New Roman" w:eastAsia="仿宋_GB2312"/>
                <w:b/>
                <w:snapToGrid w:val="0"/>
                <w:kern w:val="0"/>
                <w:sz w:val="22"/>
                <w:vertAlign w:val="subscript"/>
              </w:rPr>
              <w:t>STE</w:t>
            </w:r>
          </w:p>
        </w:tc>
        <w:tc>
          <w:tcPr>
            <w:tcW w:w="992" w:type="dxa"/>
            <w:noWrap w:val="0"/>
            <w:vAlign w:val="center"/>
          </w:tcPr>
          <w:p>
            <w:pPr>
              <w:adjustRightInd w:val="0"/>
              <w:snapToGrid w:val="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C</w:t>
            </w:r>
            <w:r>
              <w:rPr>
                <w:rFonts w:ascii="Times New Roman" w:hAnsi="Times New Roman" w:eastAsia="仿宋_GB2312"/>
                <w:b/>
                <w:snapToGrid w:val="0"/>
                <w:kern w:val="0"/>
                <w:sz w:val="22"/>
                <w:vertAlign w:val="subscript"/>
              </w:rPr>
              <w:t>ME</w:t>
            </w:r>
          </w:p>
        </w:tc>
        <w:tc>
          <w:tcPr>
            <w:tcW w:w="1559" w:type="dxa"/>
            <w:noWrap w:val="0"/>
            <w:vAlign w:val="center"/>
          </w:tcPr>
          <w:p>
            <w:pPr>
              <w:adjustRightInd w:val="0"/>
              <w:snapToGrid w:val="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C</w:t>
            </w:r>
            <w:r>
              <w:rPr>
                <w:rFonts w:ascii="Times New Roman" w:hAnsi="Times New Roman" w:eastAsia="仿宋_GB2312"/>
                <w:b/>
                <w:snapToGrid w:val="0"/>
                <w:kern w:val="0"/>
                <w:sz w:val="22"/>
                <w:vertAlign w:val="subscript"/>
              </w:rPr>
              <w:t>PE</w:t>
            </w:r>
          </w:p>
        </w:tc>
        <w:tc>
          <w:tcPr>
            <w:tcW w:w="1134" w:type="dxa"/>
            <w:noWrap w:val="0"/>
            <w:vAlign w:val="center"/>
          </w:tcPr>
          <w:p>
            <w:pPr>
              <w:adjustRightInd w:val="0"/>
              <w:snapToGrid w:val="0"/>
              <w:jc w:val="center"/>
              <w:rPr>
                <w:rFonts w:ascii="Times New Roman" w:hAnsi="Times New Roman" w:eastAsia="仿宋_GB2312"/>
                <w:b/>
                <w:snapToGrid w:val="0"/>
                <w:kern w:val="0"/>
                <w:sz w:val="22"/>
              </w:rPr>
            </w:pPr>
            <w:r>
              <w:rPr>
                <w:rFonts w:ascii="Times New Roman" w:hAnsi="Times New Roman" w:eastAsia="仿宋_GB2312"/>
                <w:b/>
                <w:snapToGrid w:val="0"/>
                <w:kern w:val="0"/>
                <w:sz w:val="22"/>
              </w:rPr>
              <w:t>噪声等效声级</w:t>
            </w:r>
          </w:p>
        </w:tc>
        <w:tc>
          <w:tcPr>
            <w:tcW w:w="1276" w:type="dxa"/>
            <w:noWrap w:val="0"/>
            <w:vAlign w:val="center"/>
          </w:tcPr>
          <w:p>
            <w:pPr>
              <w:adjustRightInd w:val="0"/>
              <w:snapToGrid w:val="0"/>
              <w:jc w:val="center"/>
              <w:rPr>
                <w:rFonts w:ascii="Times New Roman" w:hAnsi="Times New Roman" w:eastAsia="仿宋_GB2312"/>
                <w:b/>
                <w:snapToGrid w:val="0"/>
                <w:kern w:val="0"/>
                <w:sz w:val="22"/>
              </w:rPr>
            </w:pPr>
            <w:r>
              <w:rPr>
                <w:rFonts w:hint="eastAsia" w:ascii="Times New Roman" w:hAnsi="Times New Roman" w:eastAsia="仿宋_GB2312"/>
                <w:b/>
                <w:snapToGrid w:val="0"/>
                <w:kern w:val="0"/>
                <w:sz w:val="22"/>
              </w:rPr>
              <w:t>其他因素</w:t>
            </w:r>
          </w:p>
        </w:tc>
        <w:tc>
          <w:tcPr>
            <w:tcW w:w="992" w:type="dxa"/>
            <w:vMerge w:val="continue"/>
            <w:noWrap w:val="0"/>
            <w:vAlign w:val="top"/>
          </w:tcPr>
          <w:p>
            <w:pPr>
              <w:adjustRightInd w:val="0"/>
              <w:snapToGrid w:val="0"/>
              <w:jc w:val="center"/>
              <w:rPr>
                <w:rFonts w:ascii="Times New Roman" w:hAnsi="Times New Roman" w:eastAsia="仿宋_GB2312"/>
                <w:b/>
                <w:snapToGrid w:val="0"/>
                <w:kern w:val="0"/>
                <w:sz w:val="22"/>
              </w:rPr>
            </w:pPr>
          </w:p>
        </w:tc>
        <w:tc>
          <w:tcPr>
            <w:tcW w:w="1381" w:type="dxa"/>
            <w:vMerge w:val="continue"/>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b/>
                <w:snapToGrid w:val="0"/>
                <w:kern w:val="0"/>
                <w:sz w:val="22"/>
              </w:rPr>
            </w:pPr>
          </w:p>
        </w:tc>
        <w:tc>
          <w:tcPr>
            <w:tcW w:w="851"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850"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993"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559" w:type="dxa"/>
            <w:noWrap w:val="0"/>
            <w:vAlign w:val="top"/>
          </w:tcPr>
          <w:p>
            <w:pPr>
              <w:adjustRightInd w:val="0"/>
              <w:snapToGrid w:val="0"/>
              <w:jc w:val="center"/>
              <w:rPr>
                <w:rFonts w:ascii="Times New Roman" w:hAnsi="Times New Roman" w:eastAsia="仿宋_GB2312"/>
                <w:b/>
                <w:snapToGrid w:val="0"/>
                <w:kern w:val="0"/>
                <w:sz w:val="22"/>
              </w:rPr>
            </w:pPr>
          </w:p>
        </w:tc>
        <w:tc>
          <w:tcPr>
            <w:tcW w:w="1134" w:type="dxa"/>
            <w:noWrap w:val="0"/>
            <w:vAlign w:val="top"/>
          </w:tcPr>
          <w:p>
            <w:pPr>
              <w:adjustRightInd w:val="0"/>
              <w:snapToGrid w:val="0"/>
              <w:jc w:val="center"/>
              <w:rPr>
                <w:rFonts w:ascii="Times New Roman" w:hAnsi="Times New Roman" w:eastAsia="仿宋_GB2312"/>
                <w:b/>
                <w:snapToGrid w:val="0"/>
                <w:kern w:val="0"/>
                <w:sz w:val="22"/>
              </w:rPr>
            </w:pPr>
          </w:p>
        </w:tc>
        <w:tc>
          <w:tcPr>
            <w:tcW w:w="1276" w:type="dxa"/>
            <w:noWrap w:val="0"/>
            <w:vAlign w:val="top"/>
          </w:tcPr>
          <w:p>
            <w:pPr>
              <w:adjustRightInd w:val="0"/>
              <w:snapToGrid w:val="0"/>
              <w:jc w:val="center"/>
              <w:rPr>
                <w:rFonts w:ascii="Times New Roman" w:hAnsi="Times New Roman" w:eastAsia="仿宋_GB2312"/>
                <w:b/>
                <w:snapToGrid w:val="0"/>
                <w:kern w:val="0"/>
                <w:sz w:val="22"/>
              </w:rPr>
            </w:pPr>
          </w:p>
        </w:tc>
        <w:tc>
          <w:tcPr>
            <w:tcW w:w="992" w:type="dxa"/>
            <w:noWrap w:val="0"/>
            <w:vAlign w:val="top"/>
          </w:tcPr>
          <w:p>
            <w:pPr>
              <w:adjustRightInd w:val="0"/>
              <w:snapToGrid w:val="0"/>
              <w:jc w:val="center"/>
              <w:rPr>
                <w:rFonts w:ascii="Times New Roman" w:hAnsi="Times New Roman" w:eastAsia="仿宋_GB2312"/>
                <w:b/>
                <w:snapToGrid w:val="0"/>
                <w:kern w:val="0"/>
                <w:sz w:val="22"/>
              </w:rPr>
            </w:pPr>
          </w:p>
        </w:tc>
        <w:tc>
          <w:tcPr>
            <w:tcW w:w="1381" w:type="dxa"/>
            <w:noWrap w:val="0"/>
            <w:vAlign w:val="top"/>
          </w:tcPr>
          <w:p>
            <w:pPr>
              <w:adjustRightInd w:val="0"/>
              <w:snapToGrid w:val="0"/>
              <w:jc w:val="center"/>
              <w:rPr>
                <w:rFonts w:ascii="Times New Roman" w:hAnsi="Times New Roman" w:eastAsia="仿宋_GB2312"/>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3992" w:type="dxa"/>
            <w:gridSpan w:val="13"/>
            <w:noWrap w:val="0"/>
            <w:vAlign w:val="center"/>
          </w:tcPr>
          <w:p>
            <w:pPr>
              <w:adjustRightInd w:val="0"/>
              <w:snapToGrid w:val="0"/>
            </w:pPr>
            <w:r>
              <w:t>注：</w:t>
            </w:r>
            <w:r>
              <w:rPr>
                <w:rFonts w:hint="eastAsia"/>
              </w:rPr>
              <w:t>①</w:t>
            </w:r>
            <w:r>
              <w:t>职业病危害因素名称和检测结果根据有效期内的</w:t>
            </w:r>
            <w:r>
              <w:rPr>
                <w:rFonts w:hint="eastAsia"/>
              </w:rPr>
              <w:t>用人单位职业病危害现状评价报告或</w:t>
            </w:r>
            <w:r>
              <w:t>定期检测</w:t>
            </w:r>
            <w:r>
              <w:rPr>
                <w:rFonts w:hint="eastAsia"/>
              </w:rPr>
              <w:t>与评价</w:t>
            </w:r>
            <w:r>
              <w:t>报告填写。</w:t>
            </w:r>
          </w:p>
          <w:p>
            <w:pPr>
              <w:adjustRightInd w:val="0"/>
              <w:snapToGrid w:val="0"/>
              <w:ind w:firstLine="420"/>
            </w:pPr>
            <w:r>
              <w:rPr>
                <w:rFonts w:hint="eastAsia"/>
              </w:rPr>
              <w:t>②</w:t>
            </w:r>
            <w:r>
              <w:t>C</w:t>
            </w:r>
            <w:r>
              <w:rPr>
                <w:vertAlign w:val="subscript"/>
              </w:rPr>
              <w:t>TWA</w:t>
            </w:r>
            <w:r>
              <w:t>为时间加权平均</w:t>
            </w:r>
            <w:r>
              <w:rPr>
                <w:rFonts w:hint="eastAsia"/>
              </w:rPr>
              <w:t>接触</w:t>
            </w:r>
            <w:r>
              <w:t>浓度；C</w:t>
            </w:r>
            <w:r>
              <w:rPr>
                <w:vertAlign w:val="subscript"/>
              </w:rPr>
              <w:t>STE</w:t>
            </w:r>
            <w:r>
              <w:t>为短时间接触浓度；C</w:t>
            </w:r>
            <w:r>
              <w:rPr>
                <w:vertAlign w:val="subscript"/>
              </w:rPr>
              <w:t>ME</w:t>
            </w:r>
            <w:r>
              <w:t>为最高浓度；C</w:t>
            </w:r>
            <w:r>
              <w:rPr>
                <w:vertAlign w:val="subscript"/>
              </w:rPr>
              <w:t>PE</w:t>
            </w:r>
            <w:r>
              <w:t>为峰</w:t>
            </w:r>
            <w:r>
              <w:rPr>
                <w:rFonts w:hint="eastAsia"/>
              </w:rPr>
              <w:t>接触</w:t>
            </w:r>
            <w:r>
              <w:t>浓度。</w:t>
            </w:r>
          </w:p>
          <w:p>
            <w:pPr>
              <w:pStyle w:val="3"/>
              <w:ind w:firstLine="420"/>
            </w:pPr>
            <w:r>
              <w:rPr>
                <w:rFonts w:hint="eastAsia"/>
              </w:rPr>
              <w:t>当同一岗位或地点具有多个检测结果时，应填报最高值。</w:t>
            </w:r>
          </w:p>
        </w:tc>
      </w:tr>
    </w:tbl>
    <w:p>
      <w:pPr>
        <w:pStyle w:val="3"/>
      </w:pPr>
    </w:p>
    <w:p>
      <w:pPr>
        <w:spacing w:line="540" w:lineRule="exact"/>
        <w:jc w:val="center"/>
        <w:rPr>
          <w:rFonts w:ascii="Times New Roman" w:hAnsi="Times New Roman" w:eastAsia="仿宋_GB2312"/>
          <w:b/>
          <w:bCs/>
          <w:sz w:val="28"/>
          <w:szCs w:val="28"/>
        </w:rPr>
        <w:sectPr>
          <w:pgSz w:w="16838" w:h="11906" w:orient="landscape"/>
          <w:pgMar w:top="1701" w:right="1417" w:bottom="1417" w:left="1417" w:header="851" w:footer="992" w:gutter="0"/>
          <w:pgNumType w:fmt="decimal"/>
          <w:cols w:space="720" w:num="1"/>
          <w:rtlGutter w:val="0"/>
          <w:docGrid w:type="lines" w:linePitch="312" w:charSpace="0"/>
        </w:sectPr>
      </w:pPr>
    </w:p>
    <w:p>
      <w:pPr>
        <w:spacing w:line="5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附表1-3用人单位职业病危害风险等级判定表</w:t>
      </w:r>
    </w:p>
    <w:tbl>
      <w:tblPr>
        <w:tblStyle w:val="6"/>
        <w:tblpPr w:leftFromText="180" w:rightFromText="180" w:vertAnchor="text" w:horzAnchor="page" w:tblpXSpec="center" w:tblpY="546"/>
        <w:tblOverlap w:val="never"/>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1848"/>
        <w:gridCol w:w="1599"/>
        <w:gridCol w:w="1598"/>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1293" w:type="pct"/>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职业病危害因素</w:t>
            </w:r>
          </w:p>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性质</w:t>
            </w:r>
          </w:p>
        </w:tc>
        <w:tc>
          <w:tcPr>
            <w:tcW w:w="1046" w:type="pct"/>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接触水平</w:t>
            </w:r>
          </w:p>
        </w:tc>
        <w:tc>
          <w:tcPr>
            <w:tcW w:w="905" w:type="pct"/>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接触人数</w:t>
            </w:r>
          </w:p>
        </w:tc>
        <w:tc>
          <w:tcPr>
            <w:tcW w:w="904" w:type="pct"/>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风险等级</w:t>
            </w:r>
          </w:p>
        </w:tc>
        <w:tc>
          <w:tcPr>
            <w:tcW w:w="851" w:type="pct"/>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风险等级</w:t>
            </w:r>
          </w:p>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293" w:type="pct"/>
            <w:vMerge w:val="restart"/>
            <w:noWrap w:val="0"/>
            <w:vAlign w:val="center"/>
          </w:tcPr>
          <w:p>
            <w:pPr>
              <w:adjustRightInd w:val="0"/>
              <w:snapToGrid w:val="0"/>
              <w:jc w:val="center"/>
              <w:rPr>
                <w:rFonts w:ascii="Times New Roman" w:hAnsi="Times New Roman" w:eastAsia="仿宋_GB2312"/>
                <w:bCs/>
                <w:snapToGrid w:val="0"/>
                <w:kern w:val="0"/>
                <w:sz w:val="28"/>
                <w:szCs w:val="28"/>
              </w:rPr>
            </w:pPr>
            <w:r>
              <w:rPr>
                <w:rFonts w:ascii="Times New Roman" w:hAnsi="Times New Roman" w:eastAsia="仿宋_GB2312"/>
                <w:bCs/>
                <w:snapToGrid w:val="0"/>
                <w:kern w:val="0"/>
                <w:sz w:val="28"/>
                <w:szCs w:val="28"/>
              </w:rPr>
              <w:t>一般</w:t>
            </w:r>
          </w:p>
        </w:tc>
        <w:tc>
          <w:tcPr>
            <w:tcW w:w="1046" w:type="pct"/>
            <w:noWrap w:val="0"/>
            <w:vAlign w:val="center"/>
          </w:tcPr>
          <w:p>
            <w:pPr>
              <w:adjustRightInd w:val="0"/>
              <w:snapToGrid w:val="0"/>
              <w:jc w:val="center"/>
              <w:rPr>
                <w:rFonts w:ascii="Times New Roman" w:hAnsi="Times New Roman" w:eastAsia="仿宋_GB2312"/>
                <w:bCs/>
                <w:snapToGrid w:val="0"/>
                <w:kern w:val="0"/>
                <w:sz w:val="28"/>
                <w:szCs w:val="28"/>
              </w:rPr>
            </w:pPr>
            <w:r>
              <w:rPr>
                <w:rFonts w:hint="eastAsia" w:ascii="Times New Roman" w:hAnsi="Times New Roman" w:eastAsia="仿宋_GB2312"/>
                <w:bCs/>
                <w:snapToGrid w:val="0"/>
                <w:kern w:val="0"/>
                <w:sz w:val="28"/>
                <w:szCs w:val="28"/>
              </w:rPr>
              <w:t>符合</w:t>
            </w:r>
          </w:p>
        </w:tc>
        <w:tc>
          <w:tcPr>
            <w:tcW w:w="905"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904"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851" w:type="pct"/>
            <w:vMerge w:val="restart"/>
            <w:noWrap w:val="0"/>
            <w:vAlign w:val="center"/>
          </w:tcPr>
          <w:p>
            <w:pPr>
              <w:adjustRightInd w:val="0"/>
              <w:snapToGrid w:val="0"/>
              <w:jc w:val="center"/>
              <w:rPr>
                <w:rFonts w:ascii="Times New Roman" w:hAnsi="Times New Roman" w:eastAsia="仿宋_GB2312"/>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293" w:type="pct"/>
            <w:vMerge w:val="continue"/>
            <w:noWrap w:val="0"/>
            <w:vAlign w:val="center"/>
          </w:tcPr>
          <w:p>
            <w:pPr>
              <w:adjustRightInd w:val="0"/>
              <w:snapToGrid w:val="0"/>
              <w:jc w:val="center"/>
              <w:rPr>
                <w:rFonts w:ascii="Times New Roman" w:hAnsi="Times New Roman" w:eastAsia="仿宋_GB2312"/>
                <w:bCs/>
                <w:snapToGrid w:val="0"/>
                <w:kern w:val="0"/>
                <w:sz w:val="28"/>
                <w:szCs w:val="28"/>
              </w:rPr>
            </w:pPr>
          </w:p>
        </w:tc>
        <w:tc>
          <w:tcPr>
            <w:tcW w:w="1046" w:type="pct"/>
            <w:noWrap w:val="0"/>
            <w:vAlign w:val="center"/>
          </w:tcPr>
          <w:p>
            <w:pPr>
              <w:adjustRightInd w:val="0"/>
              <w:snapToGrid w:val="0"/>
              <w:jc w:val="center"/>
              <w:rPr>
                <w:rFonts w:ascii="Times New Roman" w:hAnsi="Times New Roman" w:eastAsia="仿宋_GB2312"/>
                <w:bCs/>
                <w:snapToGrid w:val="0"/>
                <w:kern w:val="0"/>
                <w:sz w:val="28"/>
                <w:szCs w:val="28"/>
              </w:rPr>
            </w:pPr>
            <w:r>
              <w:rPr>
                <w:rFonts w:hint="eastAsia" w:ascii="Times New Roman" w:hAnsi="Times New Roman" w:eastAsia="仿宋_GB2312"/>
                <w:bCs/>
                <w:snapToGrid w:val="0"/>
                <w:kern w:val="0"/>
                <w:sz w:val="28"/>
                <w:szCs w:val="28"/>
              </w:rPr>
              <w:t>不符合</w:t>
            </w:r>
          </w:p>
        </w:tc>
        <w:tc>
          <w:tcPr>
            <w:tcW w:w="905"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904"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851" w:type="pct"/>
            <w:vMerge w:val="continue"/>
            <w:noWrap w:val="0"/>
            <w:vAlign w:val="top"/>
          </w:tcPr>
          <w:p>
            <w:pPr>
              <w:adjustRightInd w:val="0"/>
              <w:snapToGrid w:val="0"/>
              <w:jc w:val="center"/>
              <w:rPr>
                <w:rFonts w:ascii="Times New Roman" w:hAnsi="Times New Roman" w:eastAsia="仿宋_GB2312"/>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293" w:type="pct"/>
            <w:vMerge w:val="restart"/>
            <w:noWrap w:val="0"/>
            <w:vAlign w:val="center"/>
          </w:tcPr>
          <w:p>
            <w:pPr>
              <w:adjustRightInd w:val="0"/>
              <w:snapToGrid w:val="0"/>
              <w:jc w:val="center"/>
              <w:rPr>
                <w:rFonts w:ascii="Times New Roman" w:hAnsi="Times New Roman" w:eastAsia="仿宋_GB2312"/>
                <w:bCs/>
                <w:snapToGrid w:val="0"/>
                <w:kern w:val="0"/>
                <w:sz w:val="28"/>
                <w:szCs w:val="28"/>
              </w:rPr>
            </w:pPr>
            <w:r>
              <w:rPr>
                <w:rFonts w:ascii="Times New Roman" w:hAnsi="Times New Roman" w:eastAsia="仿宋_GB2312"/>
                <w:bCs/>
                <w:snapToGrid w:val="0"/>
                <w:kern w:val="0"/>
                <w:sz w:val="28"/>
                <w:szCs w:val="28"/>
              </w:rPr>
              <w:t>严重</w:t>
            </w:r>
          </w:p>
        </w:tc>
        <w:tc>
          <w:tcPr>
            <w:tcW w:w="1046" w:type="pct"/>
            <w:noWrap w:val="0"/>
            <w:vAlign w:val="center"/>
          </w:tcPr>
          <w:p>
            <w:pPr>
              <w:adjustRightInd w:val="0"/>
              <w:snapToGrid w:val="0"/>
              <w:jc w:val="center"/>
              <w:rPr>
                <w:rFonts w:ascii="Times New Roman" w:hAnsi="Times New Roman" w:eastAsia="仿宋_GB2312"/>
                <w:bCs/>
                <w:snapToGrid w:val="0"/>
                <w:kern w:val="0"/>
                <w:sz w:val="28"/>
                <w:szCs w:val="28"/>
              </w:rPr>
            </w:pPr>
            <w:r>
              <w:rPr>
                <w:rFonts w:hint="eastAsia" w:ascii="Times New Roman" w:hAnsi="Times New Roman" w:eastAsia="仿宋_GB2312"/>
                <w:bCs/>
                <w:snapToGrid w:val="0"/>
                <w:kern w:val="0"/>
                <w:sz w:val="28"/>
                <w:szCs w:val="28"/>
              </w:rPr>
              <w:t>符合</w:t>
            </w:r>
          </w:p>
        </w:tc>
        <w:tc>
          <w:tcPr>
            <w:tcW w:w="905"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904"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851" w:type="pct"/>
            <w:vMerge w:val="continue"/>
            <w:noWrap w:val="0"/>
            <w:vAlign w:val="top"/>
          </w:tcPr>
          <w:p>
            <w:pPr>
              <w:adjustRightInd w:val="0"/>
              <w:snapToGrid w:val="0"/>
              <w:jc w:val="center"/>
              <w:rPr>
                <w:rFonts w:ascii="Times New Roman" w:hAnsi="Times New Roman" w:eastAsia="仿宋_GB2312"/>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93" w:type="pct"/>
            <w:vMerge w:val="continue"/>
            <w:noWrap w:val="0"/>
            <w:vAlign w:val="top"/>
          </w:tcPr>
          <w:p>
            <w:pPr>
              <w:adjustRightInd w:val="0"/>
              <w:snapToGrid w:val="0"/>
              <w:jc w:val="center"/>
              <w:rPr>
                <w:rFonts w:ascii="Times New Roman" w:hAnsi="Times New Roman" w:eastAsia="仿宋_GB2312"/>
                <w:bCs/>
                <w:snapToGrid w:val="0"/>
                <w:kern w:val="0"/>
                <w:sz w:val="28"/>
                <w:szCs w:val="28"/>
              </w:rPr>
            </w:pPr>
          </w:p>
        </w:tc>
        <w:tc>
          <w:tcPr>
            <w:tcW w:w="1046" w:type="pct"/>
            <w:noWrap w:val="0"/>
            <w:vAlign w:val="center"/>
          </w:tcPr>
          <w:p>
            <w:pPr>
              <w:adjustRightInd w:val="0"/>
              <w:snapToGrid w:val="0"/>
              <w:jc w:val="center"/>
              <w:rPr>
                <w:rFonts w:ascii="Times New Roman" w:hAnsi="Times New Roman" w:eastAsia="仿宋_GB2312"/>
                <w:bCs/>
                <w:snapToGrid w:val="0"/>
                <w:kern w:val="0"/>
                <w:sz w:val="28"/>
                <w:szCs w:val="28"/>
              </w:rPr>
            </w:pPr>
            <w:r>
              <w:rPr>
                <w:rFonts w:hint="eastAsia" w:ascii="Times New Roman" w:hAnsi="Times New Roman" w:eastAsia="仿宋_GB2312"/>
                <w:bCs/>
                <w:snapToGrid w:val="0"/>
                <w:kern w:val="0"/>
                <w:sz w:val="28"/>
                <w:szCs w:val="28"/>
              </w:rPr>
              <w:t>不符合</w:t>
            </w:r>
          </w:p>
        </w:tc>
        <w:tc>
          <w:tcPr>
            <w:tcW w:w="905"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904" w:type="pct"/>
            <w:noWrap w:val="0"/>
            <w:vAlign w:val="top"/>
          </w:tcPr>
          <w:p>
            <w:pPr>
              <w:adjustRightInd w:val="0"/>
              <w:snapToGrid w:val="0"/>
              <w:jc w:val="center"/>
              <w:rPr>
                <w:rFonts w:ascii="Times New Roman" w:hAnsi="Times New Roman" w:eastAsia="仿宋_GB2312"/>
                <w:b/>
                <w:snapToGrid w:val="0"/>
                <w:kern w:val="0"/>
                <w:sz w:val="28"/>
                <w:szCs w:val="28"/>
              </w:rPr>
            </w:pPr>
          </w:p>
        </w:tc>
        <w:tc>
          <w:tcPr>
            <w:tcW w:w="851" w:type="pct"/>
            <w:vMerge w:val="continue"/>
            <w:noWrap w:val="0"/>
            <w:vAlign w:val="top"/>
          </w:tcPr>
          <w:p>
            <w:pPr>
              <w:adjustRightInd w:val="0"/>
              <w:snapToGrid w:val="0"/>
              <w:jc w:val="center"/>
              <w:rPr>
                <w:rFonts w:ascii="Times New Roman" w:hAnsi="Times New Roman" w:eastAsia="仿宋_GB2312"/>
                <w:b/>
                <w:snapToGrid w:val="0"/>
                <w:kern w:val="0"/>
                <w:sz w:val="28"/>
                <w:szCs w:val="28"/>
              </w:rPr>
            </w:pPr>
          </w:p>
        </w:tc>
      </w:tr>
    </w:tbl>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pPr>
        <w:pStyle w:val="2"/>
        <w:ind w:firstLine="320"/>
        <w:rPr>
          <w:rFonts w:ascii="仿宋_GB2312" w:hAnsi="仿宋_GB2312" w:eastAsia="仿宋_GB2312" w:cs="仿宋_GB2312"/>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06CA49FC"/>
    <w:rsid w:val="06CA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2023-10-26T03:26:00Z</dcterms:created>
  <dc:creator>粗尾鸭</dc:creator>
  <cp:lastModifiedBy>粗尾鸭</cp:lastModifiedBy>
  <dcterms:modified xsi:type="dcterms:W3CDTF">2023-10-26T03:26:41Z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453CA7F15F274A729AB32FA0CC024CA4_11</vt:lpwstr>
  </property>
</Properties>
</file>