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自治区卫生健康委办公室关于征集2022年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广西地方卫生标准计划项目的通知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各市卫生健康委，委机关各处（室、局），区直各卫生健康单位，</w:t>
      </w:r>
      <w:r>
        <w:rPr>
          <w:rFonts w:hint="eastAsia" w:ascii="仿宋_GB2312" w:hAnsi="仿宋_GB2312" w:eastAsia="仿宋_GB2312" w:cs="仿宋_GB2312"/>
          <w:sz w:val="32"/>
          <w:szCs w:val="32"/>
          <w:lang w:eastAsia="zh-CN"/>
        </w:rPr>
        <w:t>自治区卫生标准化技术委员会各专业委员会：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国家标准化发展纲要》，立足新发展阶段，完整、准确、全面贯彻新发展理念，构建新发展格局，推动我区高质量发展，着眼满足经济社会发展的标准需求，根据《自治区市场监管局关于征集2022年地方标准制修订计划项目的函》（桂市监函〔2021〕3080号）要求，从即日起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日，面向全区公开征集2022年广西地方卫生标准计划项目，现就有关事项通知如下。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为满足地方自然条件、风俗习惯等特殊技术要求，可以制定地方标准。地方标准属于推荐性标准。一般性工业产品标准、检验检测方法标准以及有机、绿色、无公害农产品标准等原则上不予申报。符合市场竞争和创新发展的需要，可以由市场主体制定的，一般不制定地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（二）申报单位应在充分调研论证的基础上提出报送项目；为项目提供必要的组织、人力和经费等保障，确保项目的必要性、先进性和顺利进行。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（三）项目下达后，无正当理由不得变更项目名称、起草单位和进度安排等，项目制定周期原则上不超过15个月。因客观情况变化确需变更的，需提交书面申请，经批准同意后方可调整。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二、重点领域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（一）服务业相关标准。包括医疗卫生、托育、养老、健康生活等领域。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（二）社会治理相关标准。包括安全生产、应急管理、防灾减灾救灾、物资储备、劳动防护等领域。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（三）国际合作相关标准。包括推动国际化，共享高质量发展，促进双边多边经贸持续高速发展等领域。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（一）本次征集的项目为20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年度广西地方标准制修订计划项目。各市卫生健康委，区直各卫生健康单位，自治区卫生标准化技术委员会各专业委员会负责组织项目申报。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（二）结合本地区、本系统的实际，充分发挥产学研等各方力量，认真分析标准研制需求，突出重点，做好地方卫生标准的规划与项目申报工作。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（三）对报送的项目要从立项的必要性、可行性等方面作出充分论证，确保申报项目的科学性和有效性。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（四）精心组织，确保项目申报材料全面。申报材料包括：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《广西地方标准制修订计划立项申报书》（一式五份，见附件1）；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《2022年广西地方标准制修订计划项目汇总表》（附件2）；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标准草案（按照《GB/T 1.1—2020标准化工作导则 第1部分：标准化文件的结构和起草规则》编写，详细列出标准的范围和主要技术内容；修订标准的，需说明拟修订的内容；一式五份）；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申报单位的营业执照（法人登记证）复印件；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查新报告（一式五份）。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（五）原则上有尚未按立项计划完成项目的单位，不接受其申报。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（六）请各项目申报单位于202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日前将申请材料纸质文本加盖公章报送我委法规处(审批办)，并将申请材料电子版（包含WORD、加盖公章扫描PDF版）发送至</w:t>
      </w:r>
      <w:r>
        <w:rPr>
          <w:rFonts w:hint="default" w:ascii="Times New Roman" w:hAnsi="Times New Roman" w:eastAsia="仿宋_GB2312" w:cs="Times New Roman"/>
          <w:sz w:val="32"/>
          <w:szCs w:val="32"/>
          <w:lang w:eastAsia="zh-CN"/>
        </w:rPr>
        <w:t>fgc@wsjkw.gxzf.gov.cn</w:t>
      </w:r>
      <w:r>
        <w:rPr>
          <w:rFonts w:hint="eastAsia" w:ascii="仿宋_GB2312" w:hAnsi="仿宋_GB2312" w:eastAsia="仿宋_GB2312" w:cs="仿宋_GB2312"/>
          <w:sz w:val="32"/>
          <w:szCs w:val="32"/>
          <w:lang w:eastAsia="zh-CN"/>
        </w:rPr>
        <w:t>，逾期不予受理。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联系人及电话：温健文，</w:t>
      </w:r>
      <w:r>
        <w:rPr>
          <w:rFonts w:hint="eastAsia" w:ascii="仿宋_GB2312" w:hAnsi="仿宋_GB2312" w:eastAsia="仿宋_GB2312" w:cs="仿宋_GB2312"/>
          <w:sz w:val="32"/>
          <w:szCs w:val="32"/>
          <w:lang w:val="en-US" w:eastAsia="zh-CN"/>
        </w:rPr>
        <w:t>0771-2819306。</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附件：1.广西地方标准制修订计划立项申报书</w:t>
      </w:r>
    </w:p>
    <w:p>
      <w:pPr>
        <w:keepNext w:val="0"/>
        <w:keepLines w:val="0"/>
        <w:pageBreakBefore w:val="0"/>
        <w:widowControl w:val="0"/>
        <w:kinsoku/>
        <w:wordWrap/>
        <w:overflowPunct/>
        <w:topLinePunct w:val="0"/>
        <w:autoSpaceDE/>
        <w:autoSpaceDN/>
        <w:bidi w:val="0"/>
        <w:adjustRightInd/>
        <w:snapToGrid/>
        <w:spacing w:line="560" w:lineRule="exact"/>
        <w:ind w:left="1895" w:leftChars="75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2.2022年广西地方标准制修订计划项目汇总表</w:t>
      </w:r>
    </w:p>
    <w:p>
      <w:pPr>
        <w:keepNext w:val="0"/>
        <w:keepLines w:val="0"/>
        <w:pageBreakBefore w:val="0"/>
        <w:widowControl w:val="0"/>
        <w:kinsoku/>
        <w:wordWrap/>
        <w:overflowPunct/>
        <w:topLinePunct w:val="0"/>
        <w:autoSpaceDE/>
        <w:autoSpaceDN/>
        <w:bidi w:val="0"/>
        <w:adjustRightInd/>
        <w:snapToGrid/>
        <w:spacing w:line="560" w:lineRule="exact"/>
        <w:ind w:left="1895" w:leftChars="75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3.有关法律法规对标准的约束性规定（供参考）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广西壮族自治区卫生健康委员会办公室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2022年1月10日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（信息公开形式：主动公开）</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widowControl w:val="0"/>
        <w:suppressLineNumbers w:val="0"/>
        <w:suppressAutoHyphens/>
        <w:bidi w:val="0"/>
        <w:spacing w:before="0" w:beforeAutospacing="0" w:after="0" w:afterAutospacing="0"/>
        <w:ind w:left="0" w:right="0"/>
        <w:jc w:val="both"/>
        <w:rPr>
          <w:rFonts w:hint="eastAsia" w:ascii="黑体" w:hAnsi="黑体" w:eastAsia="黑体" w:cs="黑体"/>
          <w:color w:val="auto"/>
          <w:sz w:val="32"/>
          <w:szCs w:val="32"/>
          <w:shd w:val="clear" w:color="auto" w:fill="FFFFFF"/>
          <w:lang w:val="en-US"/>
        </w:rPr>
      </w:pPr>
      <w:r>
        <w:rPr>
          <w:rFonts w:hint="eastAsia" w:ascii="黑体" w:hAnsi="黑体" w:eastAsia="黑体" w:cs="黑体"/>
          <w:color w:val="auto"/>
          <w:kern w:val="2"/>
          <w:sz w:val="32"/>
          <w:szCs w:val="32"/>
          <w:shd w:val="clear" w:color="auto" w:fill="FFFFFF"/>
          <w:lang w:val="en-US" w:eastAsia="zh-CN" w:bidi="ar"/>
        </w:rPr>
        <w:t>附件1</w:t>
      </w:r>
    </w:p>
    <w:p>
      <w:pPr>
        <w:keepNext w:val="0"/>
        <w:keepLines w:val="0"/>
        <w:widowControl w:val="0"/>
        <w:suppressLineNumbers w:val="0"/>
        <w:suppressAutoHyphens/>
        <w:bidi w:val="0"/>
        <w:spacing w:before="0" w:beforeAutospacing="0" w:after="0" w:afterAutospacing="0" w:line="240" w:lineRule="exact"/>
        <w:ind w:left="0" w:right="0"/>
        <w:jc w:val="both"/>
        <w:rPr>
          <w:rFonts w:hint="default" w:ascii="Times New Roman" w:hAnsi="Times New Roman" w:eastAsia="仿宋_GB2312" w:cs="Times New Roman"/>
          <w:color w:val="auto"/>
          <w:sz w:val="32"/>
          <w:szCs w:val="32"/>
          <w:shd w:val="clear" w:color="auto" w:fill="FFFFFF"/>
          <w:lang w:val="en-US"/>
        </w:rPr>
      </w:pPr>
    </w:p>
    <w:p>
      <w:pPr>
        <w:keepNext w:val="0"/>
        <w:keepLines w:val="0"/>
        <w:widowControl w:val="0"/>
        <w:suppressLineNumbers w:val="0"/>
        <w:suppressAutoHyphens/>
        <w:bidi w:val="0"/>
        <w:spacing w:before="0" w:beforeAutospacing="0" w:after="0" w:afterAutospacing="0" w:line="640" w:lineRule="exact"/>
        <w:ind w:left="0" w:right="0"/>
        <w:jc w:val="center"/>
        <w:rPr>
          <w:rFonts w:hint="default" w:ascii="Times New Roman" w:hAnsi="Times New Roman" w:eastAsia="宋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广西地方标准制修订计划立项申报书</w:t>
      </w:r>
    </w:p>
    <w:p>
      <w:pPr>
        <w:keepNext w:val="0"/>
        <w:keepLines w:val="0"/>
        <w:widowControl w:val="0"/>
        <w:suppressLineNumbers w:val="0"/>
        <w:suppressAutoHyphens/>
        <w:bidi w:val="0"/>
        <w:spacing w:before="0" w:beforeAutospacing="0" w:after="0" w:afterAutospacing="0" w:line="40" w:lineRule="exact"/>
        <w:ind w:left="0" w:right="0"/>
        <w:jc w:val="both"/>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 xml:space="preserve"> </w:t>
      </w:r>
    </w:p>
    <w:tbl>
      <w:tblPr>
        <w:tblStyle w:val="9"/>
        <w:tblW w:w="905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7"/>
        <w:gridCol w:w="529"/>
        <w:gridCol w:w="1445"/>
        <w:gridCol w:w="306"/>
        <w:gridCol w:w="105"/>
        <w:gridCol w:w="406"/>
        <w:gridCol w:w="43"/>
        <w:gridCol w:w="982"/>
        <w:gridCol w:w="699"/>
        <w:gridCol w:w="331"/>
        <w:gridCol w:w="143"/>
        <w:gridCol w:w="596"/>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项目名称</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制定或修订</w:t>
            </w:r>
          </w:p>
        </w:tc>
        <w:tc>
          <w:tcPr>
            <w:tcW w:w="2262" w:type="dxa"/>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eastAsia" w:ascii="仿宋_GB2312" w:hAnsi="仿宋_GB2312" w:eastAsia="仿宋_GB2312" w:cs="仿宋_GB2312"/>
                <w:bCs/>
                <w:color w:val="auto"/>
                <w:kern w:val="2"/>
                <w:sz w:val="24"/>
                <w:szCs w:val="24"/>
                <w:lang w:val="en-US" w:eastAsia="zh-CN" w:bidi="ar"/>
              </w:rPr>
              <w:t>□</w:t>
            </w:r>
            <w:r>
              <w:rPr>
                <w:rFonts w:hint="default" w:ascii="Times New Roman" w:hAnsi="Times New Roman" w:eastAsia="仿宋_GB2312" w:cs="Times New Roman"/>
                <w:color w:val="auto"/>
                <w:kern w:val="2"/>
                <w:sz w:val="24"/>
                <w:szCs w:val="24"/>
                <w:lang w:val="en-US" w:eastAsia="zh-CN" w:bidi="ar"/>
              </w:rPr>
              <w:t xml:space="preserve">制定  </w:t>
            </w:r>
            <w:r>
              <w:rPr>
                <w:rFonts w:hint="eastAsia" w:ascii="仿宋_GB2312" w:hAnsi="仿宋_GB2312" w:eastAsia="仿宋_GB2312" w:cs="仿宋_GB2312"/>
                <w:bCs/>
                <w:color w:val="auto"/>
                <w:kern w:val="2"/>
                <w:sz w:val="24"/>
                <w:szCs w:val="24"/>
                <w:lang w:val="en-US" w:eastAsia="zh-CN" w:bidi="ar"/>
              </w:rPr>
              <w:t>□</w:t>
            </w:r>
            <w:r>
              <w:rPr>
                <w:rFonts w:hint="default" w:ascii="Times New Roman" w:hAnsi="Times New Roman" w:eastAsia="仿宋_GB2312" w:cs="Times New Roman"/>
                <w:color w:val="auto"/>
                <w:kern w:val="2"/>
                <w:sz w:val="24"/>
                <w:szCs w:val="24"/>
                <w:lang w:val="en-US" w:eastAsia="zh-CN" w:bidi="ar"/>
              </w:rPr>
              <w:t>修订</w:t>
            </w:r>
          </w:p>
        </w:tc>
        <w:tc>
          <w:tcPr>
            <w:tcW w:w="2055" w:type="dxa"/>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被修订标准号</w:t>
            </w:r>
          </w:p>
        </w:tc>
        <w:tc>
          <w:tcPr>
            <w:tcW w:w="2813" w:type="dxa"/>
            <w:gridSpan w:val="3"/>
            <w:tcBorders>
              <w:top w:val="single" w:color="auto" w:sz="4" w:space="0"/>
              <w:left w:val="nil"/>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起止时间</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________年____月____日 至 ________年____月____日，____年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专业领域</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line="560" w:lineRule="exact"/>
              <w:ind w:left="0" w:right="0"/>
              <w:jc w:val="both"/>
              <w:rPr>
                <w:rFonts w:hint="eastAsia" w:ascii="仿宋_GB2312" w:hAnsi="仿宋_GB2312" w:eastAsia="仿宋_GB2312" w:cs="仿宋_GB2312"/>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w:t>
            </w:r>
            <w:r>
              <w:rPr>
                <w:rFonts w:hint="eastAsia" w:ascii="仿宋_GB2312" w:hAnsi="仿宋_GB2312" w:eastAsia="仿宋_GB2312" w:cs="仿宋_GB2312"/>
                <w:bCs/>
                <w:color w:val="auto"/>
                <w:kern w:val="2"/>
                <w:sz w:val="24"/>
                <w:szCs w:val="24"/>
                <w:lang w:val="en-US" w:eastAsia="zh-CN" w:bidi="ar"/>
              </w:rPr>
              <w:t>1）农业农村</w:t>
            </w:r>
            <w:r>
              <w:rPr>
                <w:rFonts w:hint="eastAsia" w:ascii="仿宋_GB2312" w:hAnsi="仿宋_GB2312" w:eastAsia="仿宋_GB2312" w:cs="仿宋_GB2312"/>
                <w:bCs/>
                <w:color w:val="auto"/>
                <w:kern w:val="2"/>
                <w:sz w:val="24"/>
                <w:szCs w:val="24"/>
                <w:lang w:val="en-US" w:eastAsia="zh-CN" w:bidi="ar"/>
              </w:rPr>
              <w:t>□</w:t>
            </w:r>
            <w:r>
              <w:rPr>
                <w:rFonts w:hint="eastAsia" w:ascii="仿宋_GB2312" w:hAnsi="仿宋_GB2312" w:eastAsia="仿宋_GB2312" w:cs="仿宋_GB2312"/>
                <w:bCs/>
                <w:color w:val="auto"/>
                <w:kern w:val="2"/>
                <w:sz w:val="24"/>
                <w:szCs w:val="24"/>
                <w:lang w:val="en-US" w:eastAsia="zh-CN" w:bidi="ar"/>
              </w:rPr>
              <w:t>；（2）工业和信息化</w:t>
            </w:r>
            <w:r>
              <w:rPr>
                <w:rFonts w:hint="eastAsia" w:ascii="仿宋_GB2312" w:hAnsi="仿宋_GB2312" w:eastAsia="仿宋_GB2312" w:cs="仿宋_GB2312"/>
                <w:bCs/>
                <w:color w:val="auto"/>
                <w:kern w:val="2"/>
                <w:sz w:val="24"/>
                <w:szCs w:val="24"/>
                <w:lang w:val="en-US" w:eastAsia="zh-CN" w:bidi="ar"/>
              </w:rPr>
              <w:t>□</w:t>
            </w:r>
          </w:p>
          <w:p>
            <w:pPr>
              <w:keepNext w:val="0"/>
              <w:keepLines w:val="0"/>
              <w:widowControl w:val="0"/>
              <w:suppressLineNumbers w:val="0"/>
              <w:suppressAutoHyphens/>
              <w:bidi w:val="0"/>
              <w:spacing w:before="0" w:beforeAutospacing="0" w:after="0" w:afterAutospacing="0" w:line="560" w:lineRule="exact"/>
              <w:ind w:left="0" w:right="0"/>
              <w:jc w:val="both"/>
              <w:rPr>
                <w:rFonts w:hint="eastAsia" w:ascii="仿宋_GB2312" w:hAnsi="仿宋_GB2312" w:eastAsia="仿宋_GB2312" w:cs="仿宋_GB2312"/>
                <w:bCs/>
                <w:color w:val="auto"/>
                <w:sz w:val="24"/>
                <w:szCs w:val="24"/>
                <w:lang w:val="en-US"/>
              </w:rPr>
            </w:pPr>
            <w:r>
              <w:rPr>
                <w:rFonts w:hint="eastAsia" w:ascii="仿宋_GB2312" w:hAnsi="仿宋_GB2312" w:eastAsia="仿宋_GB2312" w:cs="仿宋_GB2312"/>
                <w:bCs/>
                <w:color w:val="auto"/>
                <w:kern w:val="2"/>
                <w:sz w:val="24"/>
                <w:szCs w:val="24"/>
                <w:lang w:val="en-US" w:eastAsia="zh-CN" w:bidi="ar"/>
              </w:rPr>
              <w:t>（3）服务业</w:t>
            </w:r>
            <w:r>
              <w:rPr>
                <w:rFonts w:hint="eastAsia" w:ascii="仿宋_GB2312" w:hAnsi="仿宋_GB2312" w:eastAsia="仿宋_GB2312" w:cs="仿宋_GB2312"/>
                <w:bCs/>
                <w:color w:val="auto"/>
                <w:kern w:val="2"/>
                <w:sz w:val="24"/>
                <w:szCs w:val="24"/>
                <w:lang w:val="en-US" w:eastAsia="zh-CN" w:bidi="ar"/>
              </w:rPr>
              <w:t>□</w:t>
            </w:r>
            <w:r>
              <w:rPr>
                <w:rFonts w:hint="eastAsia" w:ascii="仿宋_GB2312" w:hAnsi="仿宋_GB2312" w:eastAsia="仿宋_GB2312" w:cs="仿宋_GB2312"/>
                <w:bCs/>
                <w:color w:val="auto"/>
                <w:kern w:val="2"/>
                <w:sz w:val="24"/>
                <w:szCs w:val="24"/>
                <w:lang w:val="en-US" w:eastAsia="zh-CN" w:bidi="ar"/>
              </w:rPr>
              <w:t>；（4）生态文明</w:t>
            </w:r>
            <w:r>
              <w:rPr>
                <w:rFonts w:hint="eastAsia" w:ascii="仿宋_GB2312" w:hAnsi="仿宋_GB2312" w:eastAsia="仿宋_GB2312" w:cs="仿宋_GB2312"/>
                <w:bCs/>
                <w:color w:val="auto"/>
                <w:kern w:val="2"/>
                <w:sz w:val="24"/>
                <w:szCs w:val="24"/>
                <w:lang w:val="en-US" w:eastAsia="zh-CN" w:bidi="ar"/>
              </w:rPr>
              <w:t>□</w:t>
            </w:r>
            <w:r>
              <w:rPr>
                <w:rFonts w:hint="eastAsia" w:ascii="仿宋_GB2312" w:hAnsi="仿宋_GB2312" w:eastAsia="仿宋_GB2312" w:cs="仿宋_GB2312"/>
                <w:bCs/>
                <w:color w:val="auto"/>
                <w:kern w:val="2"/>
                <w:sz w:val="24"/>
                <w:szCs w:val="24"/>
                <w:lang w:val="en-US" w:eastAsia="zh-CN" w:bidi="ar"/>
              </w:rPr>
              <w:t xml:space="preserve">  </w:t>
            </w:r>
          </w:p>
          <w:p>
            <w:pPr>
              <w:keepNext w:val="0"/>
              <w:keepLines w:val="0"/>
              <w:widowControl w:val="0"/>
              <w:suppressLineNumbers w:val="0"/>
              <w:suppressAutoHyphens/>
              <w:bidi w:val="0"/>
              <w:spacing w:before="0" w:beforeAutospacing="0" w:after="0" w:afterAutospacing="0" w:line="560" w:lineRule="exact"/>
              <w:ind w:left="0" w:right="0"/>
              <w:jc w:val="both"/>
              <w:rPr>
                <w:rFonts w:hint="eastAsia" w:ascii="仿宋_GB2312" w:hAnsi="仿宋_GB2312" w:eastAsia="仿宋_GB2312" w:cs="仿宋_GB2312"/>
                <w:bCs/>
                <w:color w:val="auto"/>
                <w:sz w:val="24"/>
                <w:szCs w:val="24"/>
                <w:lang w:val="en-US"/>
              </w:rPr>
            </w:pPr>
            <w:r>
              <w:rPr>
                <w:rFonts w:hint="eastAsia" w:ascii="仿宋_GB2312" w:hAnsi="仿宋_GB2312" w:eastAsia="仿宋_GB2312" w:cs="仿宋_GB2312"/>
                <w:bCs/>
                <w:color w:val="auto"/>
                <w:kern w:val="2"/>
                <w:sz w:val="24"/>
                <w:szCs w:val="24"/>
                <w:lang w:val="en-US" w:eastAsia="zh-CN" w:bidi="ar"/>
              </w:rPr>
              <w:t>（5）社会治理□；（6）国际合作□</w:t>
            </w:r>
          </w:p>
          <w:p>
            <w:pPr>
              <w:keepNext w:val="0"/>
              <w:keepLines w:val="0"/>
              <w:widowControl w:val="0"/>
              <w:suppressLineNumbers w:val="0"/>
              <w:suppressAutoHyphens/>
              <w:bidi w:val="0"/>
              <w:spacing w:before="0" w:beforeAutospacing="0" w:after="0" w:afterAutospacing="0" w:line="560" w:lineRule="exact"/>
              <w:ind w:left="0" w:right="0"/>
              <w:jc w:val="both"/>
              <w:rPr>
                <w:rFonts w:hint="eastAsia" w:ascii="仿宋_GB2312" w:hAnsi="仿宋_GB2312" w:eastAsia="仿宋_GB2312" w:cs="仿宋_GB2312"/>
                <w:color w:val="auto"/>
                <w:sz w:val="24"/>
                <w:lang w:val="en-US"/>
              </w:rPr>
            </w:pPr>
            <w:r>
              <w:rPr>
                <w:rFonts w:hint="eastAsia" w:ascii="仿宋_GB2312" w:hAnsi="仿宋_GB2312" w:eastAsia="仿宋_GB2312" w:cs="仿宋_GB2312"/>
                <w:bCs/>
                <w:color w:val="auto"/>
                <w:kern w:val="2"/>
                <w:sz w:val="24"/>
                <w:szCs w:val="24"/>
                <w:lang w:val="en-US" w:eastAsia="zh-CN" w:bidi="ar"/>
              </w:rPr>
              <w:t>（7）其他□</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240" w:right="0" w:hanging="240" w:hangingChars="1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主导单位</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7"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参与单位</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7"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标准归口</w:t>
            </w: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自治区行政</w:t>
            </w: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主管部门</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联系人</w:t>
            </w:r>
          </w:p>
        </w:tc>
        <w:tc>
          <w:tcPr>
            <w:tcW w:w="1751"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c>
          <w:tcPr>
            <w:tcW w:w="2235" w:type="dxa"/>
            <w:gridSpan w:val="5"/>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电  话</w:t>
            </w:r>
          </w:p>
        </w:tc>
        <w:tc>
          <w:tcPr>
            <w:tcW w:w="3144" w:type="dxa"/>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传   真</w:t>
            </w:r>
          </w:p>
        </w:tc>
        <w:tc>
          <w:tcPr>
            <w:tcW w:w="1751"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c>
          <w:tcPr>
            <w:tcW w:w="2235" w:type="dxa"/>
            <w:gridSpan w:val="5"/>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邮  箱</w:t>
            </w:r>
          </w:p>
        </w:tc>
        <w:tc>
          <w:tcPr>
            <w:tcW w:w="3144" w:type="dxa"/>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5"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单位地址（邮编）</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73"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项目来源</w:t>
            </w:r>
          </w:p>
        </w:tc>
        <w:tc>
          <w:tcPr>
            <w:tcW w:w="7130" w:type="dxa"/>
            <w:gridSpan w:val="11"/>
            <w:tcBorders>
              <w:top w:val="single" w:color="auto" w:sz="4" w:space="0"/>
              <w:left w:val="nil"/>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u w:val="single"/>
                <w:lang w:val="en-US"/>
              </w:rPr>
            </w:pPr>
            <w:r>
              <w:rPr>
                <w:rFonts w:hint="eastAsia" w:ascii="仿宋_GB2312" w:hAnsi="仿宋_GB2312" w:eastAsia="仿宋_GB2312" w:cs="仿宋_GB2312"/>
                <w:color w:val="auto"/>
                <w:kern w:val="2"/>
                <w:sz w:val="24"/>
                <w:szCs w:val="24"/>
                <w:lang w:val="en-US" w:eastAsia="zh-CN" w:bidi="ar"/>
              </w:rPr>
              <w:t>□科研项目</w:t>
            </w:r>
            <w:r>
              <w:rPr>
                <w:rFonts w:hint="eastAsia" w:ascii="仿宋_GB2312" w:hAnsi="仿宋_GB2312" w:eastAsia="仿宋_GB2312" w:cs="仿宋_GB2312"/>
                <w:color w:val="auto"/>
                <w:kern w:val="2"/>
                <w:sz w:val="24"/>
                <w:szCs w:val="24"/>
                <w:u w:val="single"/>
                <w:lang w:val="en-US" w:eastAsia="zh-CN" w:bidi="ar"/>
              </w:rPr>
              <w:t xml:space="preserve">                                         </w:t>
            </w:r>
          </w:p>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u w:val="single"/>
                <w:lang w:val="en-US"/>
              </w:rPr>
            </w:pPr>
            <w:r>
              <w:rPr>
                <w:rFonts w:hint="eastAsia" w:ascii="仿宋_GB2312" w:hAnsi="仿宋_GB2312" w:eastAsia="仿宋_GB2312" w:cs="仿宋_GB2312"/>
                <w:color w:val="auto"/>
                <w:kern w:val="2"/>
                <w:sz w:val="24"/>
                <w:szCs w:val="24"/>
                <w:lang w:val="en-US" w:eastAsia="zh-CN" w:bidi="ar"/>
              </w:rPr>
              <w:t>□法律法规</w:t>
            </w:r>
            <w:r>
              <w:rPr>
                <w:rFonts w:hint="eastAsia" w:ascii="仿宋_GB2312" w:hAnsi="仿宋_GB2312" w:eastAsia="仿宋_GB2312" w:cs="仿宋_GB2312"/>
                <w:color w:val="auto"/>
                <w:kern w:val="2"/>
                <w:sz w:val="24"/>
                <w:szCs w:val="24"/>
                <w:u w:val="single"/>
                <w:lang w:val="en-US" w:eastAsia="zh-CN" w:bidi="ar"/>
              </w:rPr>
              <w:t xml:space="preserve">                                         </w:t>
            </w:r>
          </w:p>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u w:val="single"/>
                <w:lang w:val="en-US"/>
              </w:rPr>
            </w:pPr>
            <w:r>
              <w:rPr>
                <w:rFonts w:hint="eastAsia" w:ascii="仿宋_GB2312" w:hAnsi="仿宋_GB2312" w:eastAsia="仿宋_GB2312" w:cs="仿宋_GB2312"/>
                <w:color w:val="auto"/>
                <w:kern w:val="2"/>
                <w:sz w:val="24"/>
                <w:szCs w:val="24"/>
                <w:lang w:val="en-US" w:eastAsia="zh-CN" w:bidi="ar"/>
              </w:rPr>
              <w:t>□采用国际标准或国外先进标准</w:t>
            </w:r>
            <w:r>
              <w:rPr>
                <w:rFonts w:hint="eastAsia" w:ascii="仿宋_GB2312" w:hAnsi="仿宋_GB2312" w:eastAsia="仿宋_GB2312" w:cs="仿宋_GB2312"/>
                <w:color w:val="auto"/>
                <w:kern w:val="2"/>
                <w:sz w:val="24"/>
                <w:szCs w:val="24"/>
                <w:u w:val="single"/>
                <w:lang w:val="en-US" w:eastAsia="zh-CN" w:bidi="ar"/>
              </w:rPr>
              <w:t xml:space="preserve">                       </w:t>
            </w:r>
          </w:p>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u w:val="single"/>
                <w:lang w:val="en-US"/>
              </w:rPr>
            </w:pPr>
            <w:r>
              <w:rPr>
                <w:rFonts w:hint="eastAsia" w:ascii="仿宋_GB2312" w:hAnsi="仿宋_GB2312" w:eastAsia="仿宋_GB2312" w:cs="仿宋_GB2312"/>
                <w:color w:val="auto"/>
                <w:kern w:val="2"/>
                <w:sz w:val="24"/>
                <w:szCs w:val="24"/>
                <w:lang w:val="en-US" w:eastAsia="zh-CN" w:bidi="ar"/>
              </w:rPr>
              <w:t>□其它</w:t>
            </w:r>
            <w:r>
              <w:rPr>
                <w:rFonts w:hint="eastAsia" w:ascii="仿宋_GB2312" w:hAnsi="仿宋_GB2312" w:eastAsia="仿宋_GB2312" w:cs="仿宋_GB2312"/>
                <w:color w:val="auto"/>
                <w:kern w:val="2"/>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1"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查新情况</w:t>
            </w:r>
          </w:p>
        </w:tc>
        <w:tc>
          <w:tcPr>
            <w:tcW w:w="7130" w:type="dxa"/>
            <w:gridSpan w:val="11"/>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2"/>
                <w:sz w:val="24"/>
                <w:szCs w:val="24"/>
                <w:lang w:val="en-US" w:eastAsia="zh-CN" w:bidi="ar"/>
              </w:rPr>
              <w:t>国家标准、行业标准                      □有  □无</w:t>
            </w:r>
          </w:p>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2"/>
                <w:sz w:val="24"/>
                <w:szCs w:val="24"/>
                <w:lang w:val="en-US" w:eastAsia="zh-CN" w:bidi="ar"/>
              </w:rPr>
              <w:t>国家标准制修订计划、行业标准制修订计划  □有  □无</w:t>
            </w:r>
          </w:p>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2"/>
                <w:sz w:val="24"/>
                <w:szCs w:val="24"/>
                <w:lang w:val="en-US" w:eastAsia="zh-CN" w:bidi="ar"/>
              </w:rPr>
              <w:t>标准查新报告                            □有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1926" w:type="dxa"/>
            <w:gridSpan w:val="2"/>
            <w:tcBorders>
              <w:top w:val="single" w:color="auto" w:sz="4" w:space="0"/>
              <w:left w:val="single" w:color="auto" w:sz="4" w:space="0"/>
              <w:bottom w:val="single" w:color="auto" w:sz="4" w:space="0"/>
              <w:right w:val="single" w:color="auto" w:sz="4" w:space="0"/>
            </w:tcBorders>
            <w:vAlign w:val="center"/>
          </w:tcPr>
          <w:p>
            <w:pPr>
              <w:pStyle w:val="7"/>
              <w:widowControl/>
              <w:suppressAutoHyphens/>
              <w:bidi w:val="0"/>
              <w:spacing w:line="300" w:lineRule="atLeast"/>
              <w:jc w:val="center"/>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是否涉及专利</w:t>
            </w:r>
          </w:p>
        </w:tc>
        <w:tc>
          <w:tcPr>
            <w:tcW w:w="1856" w:type="dxa"/>
            <w:gridSpan w:val="3"/>
            <w:tcBorders>
              <w:top w:val="single" w:color="auto" w:sz="4" w:space="0"/>
              <w:left w:val="nil"/>
              <w:bottom w:val="single" w:color="auto" w:sz="4" w:space="0"/>
              <w:right w:val="single" w:color="auto" w:sz="4" w:space="0"/>
            </w:tcBorders>
            <w:vAlign w:val="center"/>
          </w:tcPr>
          <w:p>
            <w:pPr>
              <w:pStyle w:val="7"/>
              <w:widowControl/>
              <w:suppressAutoHyphens/>
              <w:bidi w:val="0"/>
              <w:spacing w:line="300" w:lineRule="atLeast"/>
              <w:ind w:left="0" w:firstLine="120"/>
              <w:textAlignment w:val="top"/>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rPr>
              <w:t>是□</w:t>
            </w:r>
            <w:r>
              <w:rPr>
                <w:rFonts w:hint="eastAsia" w:ascii="仿宋_GB2312" w:hAnsi="仿宋_GB2312" w:eastAsia="仿宋_GB2312" w:cs="仿宋_GB2312"/>
                <w:color w:val="auto"/>
                <w:lang w:val="en-US"/>
              </w:rPr>
              <w:t xml:space="preserve">     </w:t>
            </w:r>
            <w:r>
              <w:rPr>
                <w:rFonts w:hint="eastAsia" w:ascii="仿宋_GB2312" w:hAnsi="仿宋_GB2312" w:eastAsia="仿宋_GB2312" w:cs="仿宋_GB2312"/>
                <w:color w:val="auto"/>
              </w:rPr>
              <w:t>否□</w:t>
            </w:r>
          </w:p>
        </w:tc>
        <w:tc>
          <w:tcPr>
            <w:tcW w:w="2604" w:type="dxa"/>
            <w:gridSpan w:val="6"/>
            <w:tcBorders>
              <w:top w:val="single" w:color="auto" w:sz="4" w:space="0"/>
              <w:left w:val="single" w:color="auto" w:sz="4" w:space="0"/>
              <w:bottom w:val="single" w:color="auto" w:sz="4" w:space="0"/>
              <w:right w:val="single" w:color="auto" w:sz="4" w:space="0"/>
            </w:tcBorders>
            <w:vAlign w:val="center"/>
          </w:tcPr>
          <w:p>
            <w:pPr>
              <w:pStyle w:val="7"/>
              <w:widowControl/>
              <w:suppressAutoHyphens/>
              <w:bidi w:val="0"/>
              <w:spacing w:line="300" w:lineRule="atLeast"/>
              <w:jc w:val="center"/>
              <w:textAlignment w:val="top"/>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rPr>
              <w:t>专利号及名称</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eastAsia" w:ascii="仿宋_GB2312" w:hAnsi="仿宋_GB2312" w:eastAsia="仿宋_GB2312" w:cs="仿宋_GB2312"/>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5"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一、必要性、目的及意义（包含政策依据，研究背景、可行性分析等）：</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3"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二、范围和主要内容（标准的适用范围，涉及的主要技术内容等）：</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33"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top"/>
          </w:tcPr>
          <w:p>
            <w:pPr>
              <w:pStyle w:val="7"/>
              <w:widowControl/>
              <w:suppressAutoHyphens/>
              <w:bidi w:val="0"/>
              <w:spacing w:line="300" w:lineRule="atLeast"/>
              <w:jc w:val="both"/>
              <w:textAlignment w:val="top"/>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rPr>
              <w:t>三、前期研究情况（包括实践经验、实验数据和技术成果等）：</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8"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四、国内外情况说明（国内外发展趋势、标准情况、技术状况等）：</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6"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五、相关标准及法律法规（是否违反相关法律法规及强制性标准，是否存在国家标准、行业标准，与相关标准的内容异同，参考和引用标准的标准号和标准名称，法律法规依据及与之关系等）：</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33"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六、申报单位标准化工作基础及项目经费、人才保障：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13"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七、标准宣贯实施的工作计划：</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3"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八、主要起草人员简介（包括姓名、所从事工作，</w:t>
            </w:r>
            <w:r>
              <w:rPr>
                <w:rFonts w:hint="default" w:ascii="Times New Roman" w:hAnsi="Times New Roman" w:eastAsia="仿宋_GB2312" w:cs="Times New Roman"/>
                <w:bCs/>
                <w:color w:val="auto"/>
                <w:kern w:val="2"/>
                <w:sz w:val="24"/>
                <w:szCs w:val="24"/>
                <w:lang w:val="en-US" w:eastAsia="zh-CN" w:bidi="ar"/>
              </w:rPr>
              <w:t>参与编制有关标准、承担科研项目等情况</w:t>
            </w:r>
            <w:r>
              <w:rPr>
                <w:rFonts w:hint="default" w:ascii="Times New Roman" w:hAnsi="Times New Roman" w:eastAsia="仿宋_GB2312" w:cs="Times New Roman"/>
                <w:color w:val="auto"/>
                <w:kern w:val="2"/>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00"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九、参与标准起草人员情况：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6"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姓  名</w:t>
            </w:r>
          </w:p>
        </w:tc>
        <w:tc>
          <w:tcPr>
            <w:tcW w:w="19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身份证号</w:t>
            </w:r>
          </w:p>
        </w:tc>
        <w:tc>
          <w:tcPr>
            <w:tcW w:w="8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职称</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专业</w:t>
            </w:r>
          </w:p>
        </w:tc>
        <w:tc>
          <w:tcPr>
            <w:tcW w:w="17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工作单位</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主要负责工作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70" w:hRule="atLeast"/>
          <w:jc w:val="center"/>
        </w:trPr>
        <w:tc>
          <w:tcPr>
            <w:tcW w:w="139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9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86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8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769"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207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17" w:hRule="atLeast"/>
          <w:jc w:val="center"/>
        </w:trPr>
        <w:tc>
          <w:tcPr>
            <w:tcW w:w="139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9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86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8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769"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207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17" w:hRule="atLeast"/>
          <w:jc w:val="center"/>
        </w:trPr>
        <w:tc>
          <w:tcPr>
            <w:tcW w:w="139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9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86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8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769"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207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17" w:hRule="atLeast"/>
          <w:jc w:val="center"/>
        </w:trPr>
        <w:tc>
          <w:tcPr>
            <w:tcW w:w="139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9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86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8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769"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207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17" w:hRule="atLeast"/>
          <w:jc w:val="center"/>
        </w:trPr>
        <w:tc>
          <w:tcPr>
            <w:tcW w:w="139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w:t>
            </w:r>
          </w:p>
        </w:tc>
        <w:tc>
          <w:tcPr>
            <w:tcW w:w="19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86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8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769"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207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41"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十、申报主导单位意见：</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wordWrap w:val="0"/>
              <w:bidi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（盖  章）   </w:t>
            </w:r>
          </w:p>
          <w:p>
            <w:pPr>
              <w:keepNext w:val="0"/>
              <w:keepLines w:val="0"/>
              <w:widowControl w:val="0"/>
              <w:suppressLineNumbers w:val="0"/>
              <w:suppressAutoHyphens/>
              <w:bidi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5"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十一、申报参与单位意见：</w:t>
            </w: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wordWrap w:val="0"/>
              <w:bidi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（盖  章）   </w:t>
            </w:r>
          </w:p>
          <w:p>
            <w:pPr>
              <w:keepNext w:val="0"/>
              <w:keepLines w:val="0"/>
              <w:widowControl w:val="0"/>
              <w:suppressLineNumbers w:val="0"/>
              <w:suppressAutoHyphens/>
              <w:bidi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1" w:hRule="atLeast"/>
          <w:jc w:val="center"/>
        </w:trPr>
        <w:tc>
          <w:tcPr>
            <w:tcW w:w="905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十二、自治区行业主管部门意见：</w:t>
            </w: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bidi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uppressAutoHyphens/>
              <w:wordWrap w:val="0"/>
              <w:bidi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（盖  章）</w:t>
            </w:r>
          </w:p>
          <w:p>
            <w:pPr>
              <w:keepNext w:val="0"/>
              <w:keepLines w:val="0"/>
              <w:widowControl w:val="0"/>
              <w:suppressLineNumbers w:val="0"/>
              <w:suppressAutoHyphens/>
              <w:bidi w:val="0"/>
              <w:spacing w:before="0" w:beforeAutospacing="0" w:after="0" w:afterAutospacing="0"/>
              <w:ind w:left="0" w:right="0" w:firstLine="6201" w:firstLineChars="2584"/>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年   月    日</w:t>
            </w:r>
          </w:p>
        </w:tc>
      </w:tr>
    </w:tbl>
    <w:p>
      <w:pPr>
        <w:keepNext w:val="0"/>
        <w:keepLines w:val="0"/>
        <w:widowControl w:val="0"/>
        <w:suppressLineNumbers w:val="0"/>
        <w:suppressAutoHyphens/>
        <w:bidi w:val="0"/>
        <w:spacing w:before="0" w:beforeAutospacing="0" w:after="0" w:afterAutospacing="0"/>
        <w:ind w:left="0" w:right="0"/>
        <w:jc w:val="both"/>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2"/>
          <w:sz w:val="32"/>
          <w:szCs w:val="32"/>
          <w:shd w:val="clear" w:color="auto" w:fill="FFFFFF"/>
          <w:lang w:val="en-US" w:eastAsia="zh-CN" w:bidi="ar"/>
        </w:rPr>
        <w:t>注：</w:t>
      </w:r>
    </w:p>
    <w:p>
      <w:pPr>
        <w:keepNext w:val="0"/>
        <w:keepLines w:val="0"/>
        <w:widowControl w:val="0"/>
        <w:suppressLineNumbers w:val="0"/>
        <w:suppressAutoHyphens/>
        <w:bidi w:val="0"/>
        <w:spacing w:before="0" w:beforeAutospacing="0" w:after="0" w:afterAutospacing="0"/>
        <w:ind w:left="0" w:right="0" w:firstLine="0" w:firstLineChars="0"/>
        <w:jc w:val="both"/>
        <w:rPr>
          <w:rFonts w:hint="default" w:ascii="Times New Roman" w:hAnsi="Times New Roman" w:eastAsia="仿宋_GB2312" w:cs="Times New Roman"/>
          <w:color w:val="auto"/>
          <w:sz w:val="28"/>
          <w:szCs w:val="28"/>
          <w:shd w:val="clear" w:color="auto" w:fill="FFFFFF"/>
          <w:lang w:val="en-US" w:bidi="ar"/>
        </w:rPr>
      </w:pPr>
      <w:r>
        <w:rPr>
          <w:rFonts w:hint="eastAsia" w:ascii="Times New Roman" w:hAnsi="Times New Roman" w:eastAsia="仿宋_GB2312" w:cs="Times New Roman"/>
          <w:color w:val="auto"/>
          <w:kern w:val="2"/>
          <w:sz w:val="28"/>
          <w:szCs w:val="28"/>
          <w:shd w:val="clear" w:color="auto" w:fill="FFFFFF"/>
          <w:lang w:val="en-US" w:eastAsia="zh-CN" w:bidi="ar"/>
        </w:rPr>
        <w:t>　</w:t>
      </w:r>
      <w:r>
        <w:rPr>
          <w:rFonts w:hint="default" w:ascii="Times New Roman" w:hAnsi="Times New Roman" w:eastAsia="仿宋_GB2312" w:cs="Times New Roman"/>
          <w:color w:val="auto"/>
          <w:kern w:val="2"/>
          <w:sz w:val="28"/>
          <w:szCs w:val="28"/>
          <w:shd w:val="clear" w:color="auto" w:fill="FFFFFF"/>
          <w:lang w:val="en-US" w:eastAsia="zh-CN" w:bidi="ar"/>
        </w:rPr>
        <w:t>1.申报主导单位是指：申报排名第一的单位。</w:t>
      </w:r>
    </w:p>
    <w:p>
      <w:pPr>
        <w:keepNext w:val="0"/>
        <w:keepLines w:val="0"/>
        <w:widowControl w:val="0"/>
        <w:suppressLineNumbers w:val="0"/>
        <w:suppressAutoHyphens/>
        <w:bidi w:val="0"/>
        <w:spacing w:before="0" w:beforeAutospacing="0" w:after="0" w:afterAutospacing="0"/>
        <w:ind w:left="0" w:right="0" w:firstLine="0" w:firstLineChars="0"/>
        <w:jc w:val="both"/>
        <w:rPr>
          <w:rFonts w:hint="default" w:ascii="Times New Roman" w:hAnsi="Times New Roman" w:eastAsia="仿宋_GB2312" w:cs="Times New Roman"/>
          <w:color w:val="auto"/>
          <w:sz w:val="28"/>
          <w:szCs w:val="28"/>
          <w:lang w:val="en-US"/>
        </w:rPr>
      </w:pPr>
      <w:r>
        <w:rPr>
          <w:rFonts w:hint="eastAsia" w:ascii="Times New Roman" w:hAnsi="Times New Roman" w:eastAsia="仿宋_GB2312" w:cs="Times New Roman"/>
          <w:color w:val="auto"/>
          <w:kern w:val="2"/>
          <w:sz w:val="28"/>
          <w:szCs w:val="28"/>
          <w:shd w:val="clear" w:color="auto" w:fill="FFFFFF"/>
          <w:lang w:val="en-US" w:eastAsia="zh-CN" w:bidi="ar"/>
        </w:rPr>
        <w:t>　</w:t>
      </w:r>
      <w:r>
        <w:rPr>
          <w:rFonts w:hint="default" w:ascii="Times New Roman" w:hAnsi="Times New Roman" w:eastAsia="仿宋_GB2312" w:cs="Times New Roman"/>
          <w:color w:val="auto"/>
          <w:kern w:val="2"/>
          <w:sz w:val="28"/>
          <w:szCs w:val="28"/>
          <w:shd w:val="clear" w:color="auto" w:fill="FFFFFF"/>
          <w:lang w:val="en-US" w:eastAsia="zh-CN" w:bidi="ar"/>
        </w:rPr>
        <w:t>2.申报参</w:t>
      </w:r>
      <w:r>
        <w:rPr>
          <w:rFonts w:hint="default" w:ascii="Times New Roman" w:hAnsi="Times New Roman" w:eastAsia="仿宋_GB2312" w:cs="Times New Roman"/>
          <w:color w:val="auto"/>
          <w:kern w:val="2"/>
          <w:sz w:val="28"/>
          <w:szCs w:val="28"/>
          <w:lang w:val="en-US" w:eastAsia="zh-CN" w:bidi="ar"/>
        </w:rPr>
        <w:t>与单位是指：除了排名第一的单位外其他参与申报的单位。</w:t>
      </w:r>
    </w:p>
    <w:p>
      <w:pPr>
        <w:keepNext w:val="0"/>
        <w:keepLines w:val="0"/>
        <w:widowControl w:val="0"/>
        <w:suppressLineNumbers w:val="0"/>
        <w:suppressAutoHyphens/>
        <w:bidi w:val="0"/>
        <w:spacing w:before="0" w:beforeAutospacing="0" w:after="0" w:afterAutospacing="0"/>
        <w:ind w:left="0" w:right="0" w:firstLine="0" w:firstLineChars="0"/>
        <w:jc w:val="both"/>
        <w:rPr>
          <w:rFonts w:hint="default" w:ascii="Times New Roman" w:hAnsi="Times New Roman" w:eastAsia="仿宋_GB2312" w:cs="Times New Roman"/>
          <w:color w:val="auto"/>
          <w:kern w:val="2"/>
          <w:sz w:val="28"/>
          <w:szCs w:val="28"/>
          <w:lang w:val="en-US" w:eastAsia="zh-CN" w:bidi="ar"/>
        </w:rPr>
      </w:pPr>
      <w:r>
        <w:rPr>
          <w:rFonts w:hint="eastAsia" w:ascii="Times New Roman" w:hAnsi="Times New Roman" w:eastAsia="仿宋_GB2312" w:cs="Times New Roman"/>
          <w:color w:val="auto"/>
          <w:kern w:val="2"/>
          <w:sz w:val="28"/>
          <w:szCs w:val="28"/>
          <w:lang w:val="en-US" w:eastAsia="zh-CN" w:bidi="ar"/>
        </w:rPr>
        <w:t>　</w:t>
      </w:r>
      <w:r>
        <w:rPr>
          <w:rFonts w:hint="default" w:ascii="Times New Roman" w:hAnsi="Times New Roman" w:eastAsia="仿宋_GB2312" w:cs="Times New Roman"/>
          <w:color w:val="auto"/>
          <w:kern w:val="2"/>
          <w:sz w:val="28"/>
          <w:szCs w:val="28"/>
          <w:lang w:val="en-US" w:eastAsia="zh-CN" w:bidi="ar"/>
        </w:rPr>
        <w:t>3.自治区行业主管部门是指：本标准专业领域的相关自治区行业主管部门。</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2"/>
          <w:sz w:val="28"/>
          <w:szCs w:val="28"/>
          <w:lang w:val="en-US" w:eastAsia="zh-CN" w:bidi="ar"/>
        </w:rPr>
        <w:sectPr>
          <w:footerReference r:id="rId3" w:type="default"/>
          <w:pgSz w:w="11906" w:h="16838"/>
          <w:pgMar w:top="1701" w:right="1417" w:bottom="1417" w:left="1701" w:header="851" w:footer="992" w:gutter="0"/>
          <w:pgNumType w:fmt="decimal"/>
          <w:cols w:space="0" w:num="1"/>
          <w:titlePg/>
          <w:rtlGutter w:val="0"/>
          <w:docGrid w:type="lines" w:linePitch="312" w:charSpace="0"/>
        </w:sectPr>
      </w:pPr>
    </w:p>
    <w:p>
      <w:pPr>
        <w:keepNext w:val="0"/>
        <w:keepLines w:val="0"/>
        <w:widowControl w:val="0"/>
        <w:suppressLineNumbers w:val="0"/>
        <w:suppressAutoHyphens/>
        <w:bidi w:val="0"/>
        <w:spacing w:before="0" w:beforeAutospacing="0" w:after="0" w:afterAutospacing="0"/>
        <w:ind w:left="0" w:right="0"/>
        <w:jc w:val="both"/>
        <w:rPr>
          <w:rFonts w:hint="eastAsia" w:ascii="黑体" w:hAnsi="黑体" w:eastAsia="黑体" w:cs="黑体"/>
          <w:color w:val="auto"/>
          <w:kern w:val="2"/>
          <w:sz w:val="32"/>
          <w:szCs w:val="32"/>
          <w:shd w:val="clear" w:color="auto" w:fill="FFFFFF"/>
          <w:lang w:val="en-US" w:eastAsia="zh-CN" w:bidi="ar"/>
        </w:rPr>
      </w:pPr>
      <w:r>
        <w:rPr>
          <w:rFonts w:hint="eastAsia" w:ascii="黑体" w:hAnsi="黑体" w:eastAsia="黑体" w:cs="黑体"/>
          <w:color w:val="auto"/>
          <w:kern w:val="2"/>
          <w:sz w:val="32"/>
          <w:szCs w:val="32"/>
          <w:shd w:val="clear" w:color="auto" w:fill="FFFFFF"/>
          <w:lang w:val="en-US" w:eastAsia="zh-CN" w:bidi="ar"/>
        </w:rPr>
        <w:t>附件2</w:t>
      </w:r>
    </w:p>
    <w:p>
      <w:pPr>
        <w:keepNext w:val="0"/>
        <w:keepLines w:val="0"/>
        <w:widowControl w:val="0"/>
        <w:suppressLineNumbers w:val="0"/>
        <w:suppressAutoHyphens/>
        <w:bidi w:val="0"/>
        <w:spacing w:before="0" w:beforeAutospacing="0" w:after="0" w:afterAutospacing="0" w:line="240" w:lineRule="exact"/>
        <w:ind w:left="0" w:right="0"/>
        <w:jc w:val="both"/>
        <w:rPr>
          <w:rFonts w:hint="default" w:ascii="Times New Roman" w:hAnsi="Times New Roman" w:eastAsia="仿宋_GB2312" w:cs="Times New Roman"/>
          <w:color w:val="auto"/>
          <w:sz w:val="32"/>
          <w:szCs w:val="32"/>
          <w:shd w:val="clear" w:color="auto" w:fill="FFFFFF"/>
          <w:lang w:val="en-US" w:bidi="ar"/>
        </w:rPr>
      </w:pPr>
    </w:p>
    <w:p>
      <w:pPr>
        <w:keepNext w:val="0"/>
        <w:keepLines w:val="0"/>
        <w:widowControl w:val="0"/>
        <w:suppressLineNumbers w:val="0"/>
        <w:suppressAutoHyphens/>
        <w:bidi w:val="0"/>
        <w:adjustRightInd w:val="0"/>
        <w:snapToGrid w:val="0"/>
        <w:spacing w:before="0" w:beforeAutospacing="0" w:after="120" w:afterLines="50" w:afterAutospacing="0" w:line="640" w:lineRule="exact"/>
        <w:ind w:left="0" w:right="0" w:firstLine="215" w:firstLineChars="49"/>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2022年广西地方标准制修订计划项目汇总表</w:t>
      </w:r>
    </w:p>
    <w:p>
      <w:pPr>
        <w:keepNext w:val="0"/>
        <w:keepLines w:val="0"/>
        <w:widowControl w:val="0"/>
        <w:suppressLineNumbers w:val="0"/>
        <w:suppressAutoHyphens/>
        <w:bidi w:val="0"/>
        <w:adjustRightInd w:val="0"/>
        <w:snapToGrid w:val="0"/>
        <w:spacing w:before="0" w:beforeAutospacing="0" w:after="120" w:afterLines="50" w:afterAutospacing="0"/>
        <w:ind w:left="0" w:right="0" w:firstLine="117" w:firstLineChars="49"/>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填报单位：</w:t>
      </w:r>
      <w:r>
        <w:rPr>
          <w:rFonts w:hint="default" w:ascii="Times New Roman" w:hAnsi="Times New Roman" w:eastAsia="仿宋_GB2312" w:cs="Times New Roman"/>
          <w:color w:val="auto"/>
          <w:kern w:val="2"/>
          <w:sz w:val="24"/>
          <w:szCs w:val="24"/>
          <w:u w:val="single"/>
          <w:lang w:val="en-US" w:eastAsia="zh-CN" w:bidi="ar"/>
        </w:rPr>
        <w:t xml:space="preserve">             （印章）</w:t>
      </w:r>
      <w:r>
        <w:rPr>
          <w:rFonts w:hint="default" w:ascii="Times New Roman" w:hAnsi="Times New Roman" w:eastAsia="仿宋_GB2312" w:cs="Times New Roman"/>
          <w:color w:val="auto"/>
          <w:kern w:val="2"/>
          <w:sz w:val="24"/>
          <w:szCs w:val="24"/>
          <w:lang w:val="en-US" w:eastAsia="zh-CN" w:bidi="ar"/>
        </w:rPr>
        <w:t xml:space="preserve">  </w:t>
      </w:r>
      <w:r>
        <w:rPr>
          <w:rFonts w:hint="eastAsia" w:ascii="Times New Roman" w:hAnsi="Times New Roman" w:eastAsia="仿宋_GB2312" w:cs="Times New Roman"/>
          <w:color w:val="auto"/>
          <w:kern w:val="2"/>
          <w:sz w:val="24"/>
          <w:szCs w:val="24"/>
          <w:lang w:val="en-US" w:eastAsia="zh-CN" w:bidi="ar"/>
        </w:rPr>
        <w:t xml:space="preserve">          </w:t>
      </w:r>
      <w:r>
        <w:rPr>
          <w:rFonts w:hint="default" w:ascii="Times New Roman" w:hAnsi="Times New Roman" w:eastAsia="仿宋_GB2312" w:cs="Times New Roman"/>
          <w:color w:val="auto"/>
          <w:kern w:val="2"/>
          <w:sz w:val="24"/>
          <w:szCs w:val="24"/>
          <w:lang w:val="en-US" w:eastAsia="zh-CN" w:bidi="ar"/>
        </w:rPr>
        <w:t xml:space="preserve"> 填报人：        </w:t>
      </w:r>
      <w:r>
        <w:rPr>
          <w:rFonts w:hint="eastAsia" w:ascii="Times New Roman" w:hAnsi="Times New Roman" w:eastAsia="仿宋_GB2312" w:cs="Times New Roman"/>
          <w:color w:val="auto"/>
          <w:kern w:val="2"/>
          <w:sz w:val="24"/>
          <w:szCs w:val="24"/>
          <w:lang w:val="en-US" w:eastAsia="zh-CN" w:bidi="ar"/>
        </w:rPr>
        <w:t xml:space="preserve">   </w:t>
      </w:r>
      <w:r>
        <w:rPr>
          <w:rFonts w:hint="default" w:ascii="Times New Roman" w:hAnsi="Times New Roman" w:eastAsia="仿宋_GB2312" w:cs="Times New Roman"/>
          <w:color w:val="auto"/>
          <w:kern w:val="2"/>
          <w:sz w:val="24"/>
          <w:szCs w:val="24"/>
          <w:lang w:val="en-US" w:eastAsia="zh-CN" w:bidi="ar"/>
        </w:rPr>
        <w:t xml:space="preserve">电话：   </w:t>
      </w:r>
      <w:r>
        <w:rPr>
          <w:rFonts w:hint="eastAsia" w:ascii="Times New Roman" w:hAnsi="Times New Roman" w:eastAsia="仿宋_GB2312" w:cs="Times New Roman"/>
          <w:color w:val="auto"/>
          <w:kern w:val="2"/>
          <w:sz w:val="24"/>
          <w:szCs w:val="24"/>
          <w:lang w:val="en-US" w:eastAsia="zh-CN" w:bidi="ar"/>
        </w:rPr>
        <w:t xml:space="preserve">  </w:t>
      </w:r>
      <w:r>
        <w:rPr>
          <w:rFonts w:hint="default" w:ascii="Times New Roman" w:hAnsi="Times New Roman" w:eastAsia="仿宋_GB2312" w:cs="Times New Roman"/>
          <w:color w:val="auto"/>
          <w:kern w:val="2"/>
          <w:sz w:val="24"/>
          <w:szCs w:val="24"/>
          <w:lang w:val="en-US" w:eastAsia="zh-CN" w:bidi="ar"/>
        </w:rPr>
        <w:t xml:space="preserve"> </w:t>
      </w:r>
      <w:r>
        <w:rPr>
          <w:rFonts w:hint="eastAsia" w:ascii="Times New Roman" w:hAnsi="Times New Roman" w:eastAsia="仿宋_GB2312" w:cs="Times New Roman"/>
          <w:color w:val="auto"/>
          <w:kern w:val="2"/>
          <w:sz w:val="24"/>
          <w:szCs w:val="24"/>
          <w:lang w:val="en-US" w:eastAsia="zh-CN" w:bidi="ar"/>
        </w:rPr>
        <w:t xml:space="preserve"> </w:t>
      </w:r>
      <w:r>
        <w:rPr>
          <w:rFonts w:hint="default" w:ascii="Times New Roman" w:hAnsi="Times New Roman" w:eastAsia="仿宋_GB2312" w:cs="Times New Roman"/>
          <w:color w:val="auto"/>
          <w:kern w:val="2"/>
          <w:sz w:val="24"/>
          <w:szCs w:val="24"/>
          <w:lang w:val="en-US" w:eastAsia="zh-CN" w:bidi="ar"/>
        </w:rPr>
        <w:t xml:space="preserve">   填报时间</w:t>
      </w:r>
      <w:r>
        <w:rPr>
          <w:rFonts w:hint="eastAsia" w:ascii="Times New Roman" w:hAnsi="Times New Roman" w:eastAsia="仿宋_GB2312" w:cs="Times New Roman"/>
          <w:color w:val="auto"/>
          <w:kern w:val="2"/>
          <w:sz w:val="24"/>
          <w:szCs w:val="24"/>
          <w:lang w:val="en-US" w:eastAsia="zh-CN" w:bidi="ar"/>
        </w:rPr>
        <w:t>：　　　　</w:t>
      </w:r>
      <w:r>
        <w:rPr>
          <w:rFonts w:hint="default" w:ascii="Times New Roman" w:hAnsi="Times New Roman" w:eastAsia="仿宋_GB2312" w:cs="Times New Roman"/>
          <w:color w:val="auto"/>
          <w:kern w:val="2"/>
          <w:sz w:val="24"/>
          <w:szCs w:val="24"/>
          <w:lang w:val="en-US" w:eastAsia="zh-CN" w:bidi="ar"/>
        </w:rPr>
        <w:t>年</w:t>
      </w:r>
      <w:r>
        <w:rPr>
          <w:rFonts w:hint="eastAsia" w:ascii="Times New Roman" w:hAnsi="Times New Roman" w:eastAsia="仿宋_GB2312" w:cs="Times New Roman"/>
          <w:color w:val="auto"/>
          <w:kern w:val="2"/>
          <w:sz w:val="24"/>
          <w:szCs w:val="24"/>
          <w:lang w:val="en-US" w:eastAsia="zh-CN" w:bidi="ar"/>
        </w:rPr>
        <w:t xml:space="preserve"> </w:t>
      </w:r>
      <w:r>
        <w:rPr>
          <w:rFonts w:hint="default" w:ascii="Times New Roman" w:hAnsi="Times New Roman" w:eastAsia="仿宋_GB2312" w:cs="Times New Roman"/>
          <w:color w:val="auto"/>
          <w:kern w:val="2"/>
          <w:sz w:val="24"/>
          <w:szCs w:val="24"/>
          <w:lang w:val="en-US" w:eastAsia="zh-CN" w:bidi="ar"/>
        </w:rPr>
        <w:t xml:space="preserve">  月   日</w:t>
      </w:r>
    </w:p>
    <w:tbl>
      <w:tblPr>
        <w:tblStyle w:val="9"/>
        <w:tblW w:w="146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2999"/>
        <w:gridCol w:w="3029"/>
        <w:gridCol w:w="1721"/>
        <w:gridCol w:w="3055"/>
        <w:gridCol w:w="1961"/>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序号</w:t>
            </w: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项目名称</w:t>
            </w: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起草单位</w:t>
            </w: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制定或修订</w:t>
            </w: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起止年限</w:t>
            </w:r>
          </w:p>
        </w:tc>
        <w:tc>
          <w:tcPr>
            <w:tcW w:w="196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标准领域</w:t>
            </w: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uppressAutoHyphens/>
              <w:bidi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961" w:type="dxa"/>
            <w:tcBorders>
              <w:top w:val="single" w:color="auto" w:sz="4" w:space="0"/>
              <w:left w:val="nil"/>
              <w:bottom w:val="single" w:color="auto" w:sz="4" w:space="0"/>
              <w:right w:val="single" w:color="auto" w:sz="4" w:space="0"/>
            </w:tcBorders>
            <w:vAlign w:val="top"/>
          </w:tcPr>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color w:val="auto"/>
                <w:sz w:val="24"/>
                <w:szCs w:val="24"/>
                <w:lang w:val="en-US"/>
              </w:rPr>
            </w:pP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96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96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96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96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299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bidi="ar"/>
              </w:rPr>
              <w:t>......</w:t>
            </w:r>
          </w:p>
        </w:tc>
        <w:tc>
          <w:tcPr>
            <w:tcW w:w="302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72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05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96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9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uppressAutoHyphens/>
              <w:bidi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bl>
    <w:p>
      <w:pPr>
        <w:widowControl w:val="0"/>
        <w:jc w:val="both"/>
        <w:rPr>
          <w:rFonts w:hint="default" w:ascii="Times New Roman" w:hAnsi="Times New Roman" w:eastAsia="仿宋_GB2312" w:cs="Times New Roman"/>
          <w:color w:val="auto"/>
          <w:kern w:val="2"/>
          <w:sz w:val="28"/>
          <w:szCs w:val="28"/>
          <w:lang w:val="en-US" w:eastAsia="zh-CN" w:bidi="ar"/>
        </w:rPr>
      </w:pPr>
    </w:p>
    <w:p>
      <w:pPr>
        <w:widowControl w:val="0"/>
        <w:jc w:val="both"/>
        <w:rPr>
          <w:rFonts w:hint="default" w:ascii="Times New Roman" w:hAnsi="Times New Roman" w:eastAsia="仿宋_GB2312" w:cs="Times New Roman"/>
          <w:color w:val="auto"/>
          <w:kern w:val="2"/>
          <w:sz w:val="28"/>
          <w:szCs w:val="28"/>
          <w:lang w:val="en-US" w:eastAsia="zh-CN" w:bidi="ar"/>
        </w:rPr>
        <w:sectPr>
          <w:pgSz w:w="16838" w:h="11906" w:orient="landscape"/>
          <w:pgMar w:top="1701" w:right="1417" w:bottom="1417" w:left="1417" w:header="851" w:footer="992" w:gutter="0"/>
          <w:pgNumType w:fmt="decimal"/>
          <w:cols w:space="0" w:num="1"/>
          <w:rtlGutter w:val="0"/>
          <w:docGrid w:type="lines" w:linePitch="312" w:charSpace="0"/>
        </w:sectPr>
      </w:pPr>
    </w:p>
    <w:p>
      <w:pPr>
        <w:keepNext w:val="0"/>
        <w:keepLines w:val="0"/>
        <w:widowControl w:val="0"/>
        <w:suppressLineNumbers w:val="0"/>
        <w:suppressAutoHyphens/>
        <w:bidi w:val="0"/>
        <w:spacing w:before="0" w:beforeAutospacing="0" w:after="0" w:afterAutospacing="0" w:line="560" w:lineRule="exact"/>
        <w:ind w:left="0" w:right="0"/>
        <w:jc w:val="both"/>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附件3</w:t>
      </w:r>
    </w:p>
    <w:p>
      <w:pPr>
        <w:keepNext w:val="0"/>
        <w:keepLines w:val="0"/>
        <w:widowControl w:val="0"/>
        <w:suppressLineNumbers w:val="0"/>
        <w:suppressAutoHyphens/>
        <w:bidi w:val="0"/>
        <w:spacing w:before="0" w:beforeAutospacing="0" w:after="0" w:afterAutospacing="0" w:line="560" w:lineRule="exact"/>
        <w:ind w:left="0" w:right="0"/>
        <w:jc w:val="both"/>
        <w:rPr>
          <w:rFonts w:hint="default" w:ascii="Times New Roman" w:hAnsi="Times New Roman" w:eastAsia="黑体" w:cs="Times New Roman"/>
          <w:color w:val="auto"/>
          <w:sz w:val="32"/>
          <w:szCs w:val="32"/>
          <w:lang w:val="en-US" w:bidi="ar"/>
        </w:rPr>
      </w:pPr>
    </w:p>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有关法律法规对标准的约束性规定</w:t>
      </w:r>
    </w:p>
    <w:p>
      <w:pPr>
        <w:keepNext w:val="0"/>
        <w:keepLines w:val="0"/>
        <w:widowControl w:val="0"/>
        <w:suppressLineNumbers w:val="0"/>
        <w:suppressAutoHyphens/>
        <w:bidi w:val="0"/>
        <w:spacing w:before="0" w:beforeAutospacing="0" w:after="0" w:afterAutospacing="0" w:line="560" w:lineRule="exact"/>
        <w:ind w:left="0" w:right="0"/>
        <w:jc w:val="center"/>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（供参考）</w:t>
      </w: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kern w:val="2"/>
          <w:sz w:val="32"/>
          <w:szCs w:val="32"/>
          <w:lang w:val="en-US" w:eastAsia="zh-CN" w:bidi="ar"/>
        </w:rPr>
      </w:pP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1.食品安全标准</w:t>
      </w:r>
    </w:p>
    <w:p>
      <w:pPr>
        <w:keepNext w:val="0"/>
        <w:keepLines w:val="0"/>
        <w:widowControl w:val="0"/>
        <w:suppressLineNumbers w:val="0"/>
        <w:suppressAutoHyphens/>
        <w:bidi w:val="0"/>
        <w:spacing w:before="0" w:beforeAutospacing="0" w:after="0" w:afterAutospacing="0" w:line="560" w:lineRule="exact"/>
        <w:ind w:left="0" w:right="0" w:firstLine="0" w:firstLineChars="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2"/>
          <w:sz w:val="32"/>
          <w:szCs w:val="32"/>
          <w:lang w:val="en-US" w:eastAsia="zh-CN" w:bidi="ar"/>
        </w:rPr>
        <w:t>　　</w:t>
      </w:r>
      <w:r>
        <w:rPr>
          <w:rFonts w:hint="default" w:ascii="Times New Roman" w:hAnsi="Times New Roman" w:eastAsia="仿宋_GB2312" w:cs="Times New Roman"/>
          <w:color w:val="auto"/>
          <w:kern w:val="2"/>
          <w:sz w:val="32"/>
          <w:szCs w:val="32"/>
          <w:lang w:val="en-US" w:eastAsia="zh-CN" w:bidi="ar"/>
        </w:rPr>
        <w:t>《食品安全法》第二十九条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2.中药材种植养殖、采集、贮存和初加工标准</w:t>
      </w:r>
    </w:p>
    <w:p>
      <w:pPr>
        <w:keepNext w:val="0"/>
        <w:keepLines w:val="0"/>
        <w:widowControl w:val="0"/>
        <w:suppressLineNumbers w:val="0"/>
        <w:suppressAutoHyphens/>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《中医药法》第二十一条 国家制定中药材种植养殖、采集、贮存和初加工的技术规范、标准，加强对中药材生产流通全过程的质量监督管理，保障中药材质量安全。</w:t>
      </w: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3.中药饮片及药品标准</w:t>
      </w:r>
    </w:p>
    <w:p>
      <w:pPr>
        <w:keepNext w:val="0"/>
        <w:keepLines w:val="0"/>
        <w:widowControl w:val="0"/>
        <w:suppressLineNumbers w:val="0"/>
        <w:suppressAutoHyphens/>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《药品管理法》</w:t>
      </w:r>
      <w:r>
        <w:rPr>
          <w:rFonts w:hint="default" w:ascii="Times New Roman" w:hAnsi="Times New Roman" w:eastAsia="仿宋_GB2312" w:cs="Times New Roman"/>
          <w:color w:val="auto"/>
          <w:kern w:val="0"/>
          <w:sz w:val="32"/>
          <w:szCs w:val="32"/>
          <w:shd w:val="clear" w:color="auto" w:fill="FFFFFF"/>
          <w:lang w:val="en-US" w:eastAsia="zh-CN" w:bidi="ar"/>
        </w:rPr>
        <w:t>第二十八条</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药品应当符合国家药品标准。经国务院药品监督管理部门核准的药品质量标准高于国家药品标准的，按照经核准的药品质量标准执行；没有国家药品标准的，应当符合经核准的药品质量标准。</w:t>
      </w:r>
    </w:p>
    <w:p>
      <w:pPr>
        <w:keepNext w:val="0"/>
        <w:keepLines w:val="0"/>
        <w:widowControl/>
        <w:suppressLineNumbers w:val="0"/>
        <w:shd w:val="clear" w:color="auto" w:fill="auto"/>
        <w:suppressAutoHyphens/>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国务院药品监督管理部门颁布的《中华人民共和国药典》和药品标准为国家药品标准。</w:t>
      </w:r>
    </w:p>
    <w:p>
      <w:pPr>
        <w:keepNext w:val="0"/>
        <w:keepLines w:val="0"/>
        <w:widowControl/>
        <w:suppressLineNumbers w:val="0"/>
        <w:shd w:val="clear" w:color="auto" w:fill="auto"/>
        <w:suppressAutoHyphens/>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国务院药品监督管理部门会同国务院卫生健康主管部门组织药典委员会，负责国家药品标准的制定和修订。</w:t>
      </w:r>
    </w:p>
    <w:p>
      <w:pPr>
        <w:keepNext w:val="0"/>
        <w:keepLines w:val="0"/>
        <w:widowControl/>
        <w:suppressLineNumbers w:val="0"/>
        <w:shd w:val="clear" w:color="auto" w:fill="auto"/>
        <w:suppressAutoHyphens/>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第四十四条　药品应当按照国家药品标准和经药品监督管理部门核准的生产工艺进行生产。生产、检验记录应当完整准确，不得编造。</w:t>
      </w:r>
    </w:p>
    <w:p>
      <w:pPr>
        <w:keepNext w:val="0"/>
        <w:keepLines w:val="0"/>
        <w:widowControl/>
        <w:suppressLineNumbers w:val="0"/>
        <w:shd w:val="clear" w:color="auto" w:fill="auto"/>
        <w:suppressAutoHyphens/>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w:t>
      </w:r>
      <w:bookmarkStart w:id="0" w:name="_GoBack"/>
      <w:bookmarkEnd w:id="0"/>
      <w:r>
        <w:rPr>
          <w:rFonts w:hint="default" w:ascii="Times New Roman" w:hAnsi="Times New Roman" w:eastAsia="仿宋_GB2312" w:cs="Times New Roman"/>
          <w:color w:val="auto"/>
          <w:kern w:val="0"/>
          <w:sz w:val="32"/>
          <w:szCs w:val="32"/>
          <w:shd w:val="clear" w:color="auto" w:fill="FFFFFF"/>
          <w:lang w:val="en-US" w:eastAsia="zh-CN" w:bidi="ar"/>
        </w:rPr>
        <w:t>家药品标准或者不按照省、自治区、直辖市人民政府药品监督管理部门制定的炮制规范炮制的，不得出厂、销售。</w:t>
      </w: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4.环境质量标准</w:t>
      </w:r>
    </w:p>
    <w:p>
      <w:pPr>
        <w:keepNext w:val="0"/>
        <w:keepLines w:val="0"/>
        <w:widowControl w:val="0"/>
        <w:suppressLineNumbers w:val="0"/>
        <w:suppressAutoHyphens/>
        <w:bidi w:val="0"/>
        <w:spacing w:before="0" w:beforeAutospacing="0" w:after="0" w:afterAutospacing="0" w:line="560" w:lineRule="exact"/>
        <w:ind w:left="0" w:right="0" w:firstLine="0" w:firstLineChars="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2"/>
          <w:sz w:val="32"/>
          <w:szCs w:val="32"/>
          <w:lang w:val="en-US" w:eastAsia="zh-CN" w:bidi="ar"/>
        </w:rPr>
        <w:t>　　</w:t>
      </w:r>
      <w:r>
        <w:rPr>
          <w:rFonts w:hint="default" w:ascii="Times New Roman" w:hAnsi="Times New Roman" w:eastAsia="仿宋_GB2312" w:cs="Times New Roman"/>
          <w:color w:val="auto"/>
          <w:kern w:val="2"/>
          <w:sz w:val="32"/>
          <w:szCs w:val="32"/>
          <w:lang w:val="en-US" w:eastAsia="zh-CN" w:bidi="ar"/>
        </w:rPr>
        <w:t>《环境保护法》第十五条 国务院环境保护主管部门制定国家环境质量标准。</w:t>
      </w:r>
    </w:p>
    <w:p>
      <w:pPr>
        <w:keepNext w:val="0"/>
        <w:keepLines w:val="0"/>
        <w:widowControl w:val="0"/>
        <w:suppressLineNumbers w:val="0"/>
        <w:suppressAutoHyphens/>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省、自治区、直辖市人民政府对国家环境质量标准中未作规定的项目，可以制定地方环境质量标准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对国家环境质量标准中已作规定的项目，可以制定严于国家环境质量标准的地方环境质量标准。地方环境质量标准应当报国务院环境保护主管部门备案。</w:t>
      </w:r>
    </w:p>
    <w:p>
      <w:pPr>
        <w:keepNext w:val="0"/>
        <w:keepLines w:val="0"/>
        <w:widowControl w:val="0"/>
        <w:suppressLineNumbers w:val="0"/>
        <w:suppressAutoHyphens/>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第十六条 国务院环境保护主管部门根据国家环境质量标准和国家经济、技术条件，制定国家污染物排放标准。</w:t>
      </w:r>
    </w:p>
    <w:p>
      <w:pPr>
        <w:keepNext w:val="0"/>
        <w:keepLines w:val="0"/>
        <w:widowControl w:val="0"/>
        <w:suppressLineNumbers w:val="0"/>
        <w:suppressAutoHyphens/>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省、自治区、直辖市人民政府对国家污染物排放标准中未作规定的项目，可以制定地方污染物排放标准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对国家污染物排放标准中已作规定的项目，可以制定严于国家污染物排放标准的地方污染物排放标准。地方污染物排放标准应当报国务院环境保护主管部门备案</w:t>
      </w: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5.医疗器械标准</w:t>
      </w:r>
    </w:p>
    <w:p>
      <w:pPr>
        <w:keepNext w:val="0"/>
        <w:keepLines w:val="0"/>
        <w:widowControl/>
        <w:suppressLineNumbers w:val="0"/>
        <w:shd w:val="clear" w:color="auto" w:fill="auto"/>
        <w:suppressAutoHyphens/>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2"/>
          <w:sz w:val="32"/>
          <w:szCs w:val="32"/>
          <w:shd w:val="clear" w:color="auto" w:fill="FFFFFF"/>
          <w:lang w:val="en-US" w:eastAsia="zh-CN" w:bidi="ar"/>
        </w:rPr>
        <w:t>《医疗器械监督管理条例》</w:t>
      </w:r>
      <w:r>
        <w:rPr>
          <w:rFonts w:hint="default" w:ascii="Times New Roman" w:hAnsi="Times New Roman" w:eastAsia="仿宋_GB2312" w:cs="Times New Roman"/>
          <w:color w:val="auto"/>
          <w:kern w:val="0"/>
          <w:sz w:val="32"/>
          <w:szCs w:val="32"/>
          <w:shd w:val="clear" w:color="auto" w:fill="FFFFFF"/>
          <w:lang w:val="en-US" w:eastAsia="zh-CN" w:bidi="ar"/>
        </w:rPr>
        <w:t>第七条　医疗器械产品应当符合医疗器械强制性国家标准；尚无强制性国家标准的，应当符合医疗器械强制性行业标准。</w:t>
      </w:r>
    </w:p>
    <w:p>
      <w:pPr>
        <w:keepNext w:val="0"/>
        <w:keepLines w:val="0"/>
        <w:widowControl w:val="0"/>
        <w:suppressLineNumbers w:val="0"/>
        <w:suppressAutoHyphens/>
        <w:bidi w:val="0"/>
        <w:spacing w:before="0" w:beforeAutospacing="0" w:after="0" w:afterAutospacing="0" w:line="560" w:lineRule="exact"/>
        <w:ind w:left="0" w:right="0" w:firstLine="0" w:firstLineChars="0"/>
        <w:jc w:val="both"/>
        <w:rPr>
          <w:rFonts w:hint="default" w:ascii="Times New Roman" w:hAnsi="Times New Roman" w:eastAsia="仿宋_GB2312" w:cs="Times New Roman"/>
          <w:b/>
          <w:color w:val="auto"/>
          <w:sz w:val="32"/>
          <w:szCs w:val="32"/>
          <w:lang w:val="en-US"/>
        </w:rPr>
      </w:pPr>
      <w:r>
        <w:rPr>
          <w:rFonts w:hint="eastAsia" w:ascii="Times New Roman" w:hAnsi="Times New Roman" w:eastAsia="仿宋_GB2312" w:cs="Times New Roman"/>
          <w:b/>
          <w:color w:val="auto"/>
          <w:kern w:val="2"/>
          <w:sz w:val="32"/>
          <w:szCs w:val="32"/>
          <w:lang w:val="en-US" w:eastAsia="zh-CN" w:bidi="ar"/>
        </w:rPr>
        <w:t>　　</w:t>
      </w:r>
      <w:r>
        <w:rPr>
          <w:rFonts w:hint="default" w:ascii="Times New Roman" w:hAnsi="Times New Roman" w:eastAsia="仿宋_GB2312" w:cs="Times New Roman"/>
          <w:b/>
          <w:color w:val="auto"/>
          <w:kern w:val="2"/>
          <w:sz w:val="32"/>
          <w:szCs w:val="32"/>
          <w:lang w:val="en-US" w:eastAsia="zh-CN" w:bidi="ar"/>
        </w:rPr>
        <w:t>6.兽药标准</w:t>
      </w:r>
    </w:p>
    <w:p>
      <w:pPr>
        <w:keepNext w:val="0"/>
        <w:keepLines w:val="0"/>
        <w:widowControl w:val="0"/>
        <w:suppressLineNumbers w:val="0"/>
        <w:suppressAutoHyphens/>
        <w:bidi w:val="0"/>
        <w:spacing w:before="0" w:beforeAutospacing="0" w:after="0" w:afterAutospacing="0" w:line="560" w:lineRule="exact"/>
        <w:ind w:left="0" w:right="0" w:firstLine="0" w:firstLineChars="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2"/>
          <w:sz w:val="32"/>
          <w:szCs w:val="32"/>
          <w:lang w:val="en-US" w:eastAsia="zh-CN" w:bidi="ar"/>
        </w:rPr>
        <w:t>　　</w:t>
      </w:r>
      <w:r>
        <w:rPr>
          <w:rFonts w:hint="default" w:ascii="Times New Roman" w:hAnsi="Times New Roman" w:eastAsia="仿宋_GB2312" w:cs="Times New Roman"/>
          <w:color w:val="auto"/>
          <w:kern w:val="2"/>
          <w:sz w:val="32"/>
          <w:szCs w:val="32"/>
          <w:lang w:val="en-US" w:eastAsia="zh-CN" w:bidi="ar"/>
        </w:rPr>
        <w:t>《兽药管理条例》第十六条 兽药生产企业应当按照兽药国家标准和国务院兽医行政管理部门批准的生产工艺进行生产。兽药生产企业改变影响兽药质量的生产工艺的，应当报原批准部门审核批准。</w:t>
      </w:r>
    </w:p>
    <w:p>
      <w:pPr>
        <w:keepNext w:val="0"/>
        <w:keepLines w:val="0"/>
        <w:widowControl w:val="0"/>
        <w:suppressLineNumbers w:val="0"/>
        <w:suppressAutoHyphens/>
        <w:bidi w:val="0"/>
        <w:spacing w:before="0" w:beforeAutospacing="0" w:after="0" w:afterAutospacing="0" w:line="560" w:lineRule="exact"/>
        <w:ind w:left="0" w:right="0" w:firstLine="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2"/>
          <w:sz w:val="32"/>
          <w:szCs w:val="32"/>
          <w:lang w:val="en-US" w:eastAsia="zh-CN" w:bidi="ar"/>
        </w:rPr>
        <w:t>　　</w:t>
      </w:r>
      <w:r>
        <w:rPr>
          <w:rFonts w:hint="default" w:ascii="Times New Roman" w:hAnsi="Times New Roman" w:eastAsia="仿宋_GB2312" w:cs="Times New Roman"/>
          <w:color w:val="auto"/>
          <w:kern w:val="2"/>
          <w:sz w:val="32"/>
          <w:szCs w:val="32"/>
          <w:lang w:val="en-US" w:eastAsia="zh-CN" w:bidi="ar"/>
        </w:rPr>
        <w:t xml:space="preserve">兽药生产企业应当建立生产记录，生产记录应当完整、准确。 </w:t>
      </w:r>
    </w:p>
    <w:p>
      <w:pPr>
        <w:keepNext w:val="0"/>
        <w:keepLines w:val="0"/>
        <w:widowControl w:val="0"/>
        <w:suppressLineNumbers w:val="0"/>
        <w:suppressAutoHyphens/>
        <w:bidi w:val="0"/>
        <w:spacing w:before="0" w:beforeAutospacing="0" w:after="0" w:afterAutospacing="0" w:line="560" w:lineRule="exact"/>
        <w:ind w:left="0" w:right="0" w:firstLine="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2"/>
          <w:sz w:val="32"/>
          <w:szCs w:val="32"/>
          <w:lang w:val="en-US" w:eastAsia="zh-CN" w:bidi="ar"/>
        </w:rPr>
        <w:t>　　</w:t>
      </w:r>
      <w:r>
        <w:rPr>
          <w:rFonts w:hint="default" w:ascii="Times New Roman" w:hAnsi="Times New Roman" w:eastAsia="仿宋_GB2312" w:cs="Times New Roman"/>
          <w:color w:val="auto"/>
          <w:kern w:val="2"/>
          <w:sz w:val="32"/>
          <w:szCs w:val="32"/>
          <w:lang w:val="en-US" w:eastAsia="zh-CN" w:bidi="ar"/>
        </w:rPr>
        <w:t>第十七条 生产兽药所需的原料、辅料，应当符合国家标准或者所生产兽药的质量要求。</w:t>
      </w:r>
    </w:p>
    <w:p>
      <w:pPr>
        <w:keepNext w:val="0"/>
        <w:keepLines w:val="0"/>
        <w:widowControl w:val="0"/>
        <w:suppressLineNumbers w:val="0"/>
        <w:suppressAutoHyphens/>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7.种子标准</w:t>
      </w:r>
    </w:p>
    <w:p>
      <w:pPr>
        <w:suppressAutoHyphens/>
        <w:bidi w:val="0"/>
        <w:spacing w:line="560" w:lineRule="exact"/>
        <w:ind w:firstLine="640" w:firstLineChars="200"/>
        <w:rPr>
          <w:rFonts w:ascii="Times New Roman" w:hAnsi="Times New Roman"/>
          <w:color w:val="auto"/>
          <w:sz w:val="32"/>
          <w:szCs w:val="32"/>
        </w:rPr>
      </w:pPr>
      <w:r>
        <w:rPr>
          <w:rFonts w:hint="default" w:ascii="Times New Roman" w:hAnsi="Times New Roman" w:eastAsia="仿宋_GB2312" w:cs="Times New Roman"/>
          <w:color w:val="auto"/>
          <w:kern w:val="2"/>
          <w:sz w:val="32"/>
          <w:szCs w:val="32"/>
          <w:lang w:val="en-US" w:eastAsia="zh-CN" w:bidi="ar"/>
        </w:rPr>
        <w:t>《种子法》第四十七条 农业、林业主管部门应当加强对种子质量的监督检查。种子质量管理办法、行业标准和检验方法，由国务院农业、林业主管部门制定。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pgSz w:w="11906" w:h="16838"/>
      <w:pgMar w:top="1701" w:right="1417" w:bottom="1417" w:left="1701" w:header="85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EA389"/>
    <w:rsid w:val="102A25CA"/>
    <w:rsid w:val="1B0010A1"/>
    <w:rsid w:val="1E347851"/>
    <w:rsid w:val="20390BF2"/>
    <w:rsid w:val="2BD71C3B"/>
    <w:rsid w:val="2BF70BED"/>
    <w:rsid w:val="2FBA71C9"/>
    <w:rsid w:val="2FBD61D0"/>
    <w:rsid w:val="2FDE37D1"/>
    <w:rsid w:val="3C79F6CE"/>
    <w:rsid w:val="4B665FFE"/>
    <w:rsid w:val="4FFD9601"/>
    <w:rsid w:val="56821F33"/>
    <w:rsid w:val="5C6D80A4"/>
    <w:rsid w:val="5D0F076C"/>
    <w:rsid w:val="5DCE7CF5"/>
    <w:rsid w:val="5EFFC545"/>
    <w:rsid w:val="5FFF612E"/>
    <w:rsid w:val="5FFFF4A9"/>
    <w:rsid w:val="66BF5502"/>
    <w:rsid w:val="696E28FC"/>
    <w:rsid w:val="6DCFF0E7"/>
    <w:rsid w:val="6E7FC158"/>
    <w:rsid w:val="6FD21CB5"/>
    <w:rsid w:val="75EDB1B2"/>
    <w:rsid w:val="75FBF07B"/>
    <w:rsid w:val="77F17761"/>
    <w:rsid w:val="797DCA1B"/>
    <w:rsid w:val="79E447DA"/>
    <w:rsid w:val="79F5096F"/>
    <w:rsid w:val="7A3DFE58"/>
    <w:rsid w:val="7B7876CA"/>
    <w:rsid w:val="7BFC1582"/>
    <w:rsid w:val="7BFFE8B7"/>
    <w:rsid w:val="7D5F4DCF"/>
    <w:rsid w:val="7D7FDC51"/>
    <w:rsid w:val="7DEF6821"/>
    <w:rsid w:val="7ECB7CC7"/>
    <w:rsid w:val="7EF95877"/>
    <w:rsid w:val="7FAFA043"/>
    <w:rsid w:val="7FB7757A"/>
    <w:rsid w:val="7FB9F540"/>
    <w:rsid w:val="7FFEC7A4"/>
    <w:rsid w:val="7FFF9C4D"/>
    <w:rsid w:val="7FFFFEB6"/>
    <w:rsid w:val="8653571F"/>
    <w:rsid w:val="96FE0D78"/>
    <w:rsid w:val="978F3B3B"/>
    <w:rsid w:val="9AFD00F5"/>
    <w:rsid w:val="9E6D0A81"/>
    <w:rsid w:val="9FCAD115"/>
    <w:rsid w:val="ABEF27B5"/>
    <w:rsid w:val="B0BDA31F"/>
    <w:rsid w:val="B9939C28"/>
    <w:rsid w:val="B9A917B0"/>
    <w:rsid w:val="BEEF00C2"/>
    <w:rsid w:val="BF7F235F"/>
    <w:rsid w:val="BF7F8A97"/>
    <w:rsid w:val="C0DF5949"/>
    <w:rsid w:val="C7EB7BD9"/>
    <w:rsid w:val="D7DF9CDF"/>
    <w:rsid w:val="DAFABAE9"/>
    <w:rsid w:val="DD6F9EB8"/>
    <w:rsid w:val="DD79568C"/>
    <w:rsid w:val="DEE474EC"/>
    <w:rsid w:val="DFB509B6"/>
    <w:rsid w:val="DFDEB7E4"/>
    <w:rsid w:val="DFFB68F5"/>
    <w:rsid w:val="E3BFD438"/>
    <w:rsid w:val="E6CDA1C6"/>
    <w:rsid w:val="EED94CF0"/>
    <w:rsid w:val="EF976392"/>
    <w:rsid w:val="F0F3E46E"/>
    <w:rsid w:val="F1FC4E57"/>
    <w:rsid w:val="F3ED4F66"/>
    <w:rsid w:val="F5D5F85E"/>
    <w:rsid w:val="F737EE38"/>
    <w:rsid w:val="FBFF764E"/>
    <w:rsid w:val="FDB78C18"/>
    <w:rsid w:val="FE9304FB"/>
    <w:rsid w:val="FEB3C703"/>
    <w:rsid w:val="FEDB4AB6"/>
    <w:rsid w:val="FEDBC750"/>
    <w:rsid w:val="FEEFF926"/>
    <w:rsid w:val="FEF7F06D"/>
    <w:rsid w:val="FF254036"/>
    <w:rsid w:val="FF9326DB"/>
    <w:rsid w:val="FFD9F7EA"/>
    <w:rsid w:val="FFF2FB9D"/>
    <w:rsid w:val="FFFF0A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character" w:customStyle="1" w:styleId="10">
    <w:name w:val="默认段落字体1"/>
    <w:qFormat/>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gxxc</dc:creator>
  <cp:lastModifiedBy>苏燕燕</cp:lastModifiedBy>
  <dcterms:modified xsi:type="dcterms:W3CDTF">2022-01-10T09:31:37Z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1A8D7977DB7B4D0186BE6733A2247454</vt:lpwstr>
  </property>
</Properties>
</file>