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受援医院考核标准</w:t>
      </w:r>
    </w:p>
    <w:bookmarkEnd w:id="0"/>
    <w:p>
      <w:pPr>
        <w:pStyle w:val="6"/>
        <w:rPr>
          <w:rFonts w:hint="eastAsia"/>
          <w:lang w:val="en-US" w:eastAsia="zh-CN"/>
        </w:rPr>
      </w:pPr>
    </w:p>
    <w:tbl>
      <w:tblPr>
        <w:tblStyle w:val="4"/>
        <w:tblW w:w="14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35"/>
        <w:gridCol w:w="3270"/>
        <w:gridCol w:w="4020"/>
        <w:gridCol w:w="294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jc w:val="center"/>
        </w:trPr>
        <w:tc>
          <w:tcPr>
            <w:tcW w:w="3075" w:type="dxa"/>
            <w:gridSpan w:val="2"/>
            <w:vAlign w:val="center"/>
          </w:tcPr>
          <w:p>
            <w:pPr>
              <w:autoSpaceDN w:val="0"/>
              <w:spacing w:line="320" w:lineRule="exact"/>
              <w:jc w:val="center"/>
              <w:textAlignment w:val="center"/>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评价指标</w:t>
            </w:r>
          </w:p>
        </w:tc>
        <w:tc>
          <w:tcPr>
            <w:tcW w:w="3270" w:type="dxa"/>
            <w:vMerge w:val="restart"/>
            <w:vAlign w:val="center"/>
          </w:tcPr>
          <w:p>
            <w:pPr>
              <w:autoSpaceDN w:val="0"/>
              <w:spacing w:line="320" w:lineRule="exact"/>
              <w:jc w:val="center"/>
              <w:textAlignment w:val="center"/>
              <w:rPr>
                <w:rFonts w:hint="eastAsia" w:ascii="黑体" w:hAnsi="黑体" w:eastAsia="黑体" w:cs="黑体"/>
                <w:b w:val="0"/>
                <w:bCs w:val="0"/>
                <w:sz w:val="24"/>
                <w:szCs w:val="24"/>
                <w:lang w:eastAsia="zh-CN"/>
              </w:rPr>
            </w:pPr>
            <w:r>
              <w:rPr>
                <w:rFonts w:hint="eastAsia" w:ascii="黑体" w:hAnsi="黑体" w:eastAsia="黑体" w:cs="黑体"/>
                <w:b w:val="0"/>
                <w:bCs w:val="0"/>
                <w:color w:val="000000"/>
                <w:sz w:val="24"/>
                <w:szCs w:val="24"/>
                <w:lang w:eastAsia="zh-CN"/>
              </w:rPr>
              <w:t>评价标准</w:t>
            </w:r>
          </w:p>
        </w:tc>
        <w:tc>
          <w:tcPr>
            <w:tcW w:w="4020" w:type="dxa"/>
            <w:vMerge w:val="restart"/>
            <w:vAlign w:val="center"/>
          </w:tcPr>
          <w:p>
            <w:pPr>
              <w:autoSpaceDN w:val="0"/>
              <w:spacing w:line="320" w:lineRule="exact"/>
              <w:jc w:val="center"/>
              <w:textAlignment w:val="center"/>
              <w:rPr>
                <w:rFonts w:hint="eastAsia" w:ascii="黑体" w:hAnsi="黑体" w:eastAsia="黑体" w:cs="黑体"/>
                <w:b w:val="0"/>
                <w:bCs w:val="0"/>
                <w:sz w:val="24"/>
                <w:szCs w:val="24"/>
                <w:lang w:eastAsia="zh-CN"/>
              </w:rPr>
            </w:pPr>
            <w:r>
              <w:rPr>
                <w:rFonts w:hint="eastAsia" w:ascii="黑体" w:hAnsi="黑体" w:eastAsia="黑体" w:cs="黑体"/>
                <w:b w:val="0"/>
                <w:bCs w:val="0"/>
                <w:color w:val="000000"/>
                <w:sz w:val="24"/>
                <w:szCs w:val="24"/>
                <w:lang w:eastAsia="zh-CN"/>
              </w:rPr>
              <w:t>评价</w:t>
            </w:r>
            <w:r>
              <w:rPr>
                <w:rFonts w:hint="eastAsia" w:ascii="黑体" w:hAnsi="黑体" w:eastAsia="黑体" w:cs="黑体"/>
                <w:b w:val="0"/>
                <w:bCs w:val="0"/>
                <w:color w:val="000000"/>
                <w:sz w:val="24"/>
                <w:szCs w:val="24"/>
              </w:rPr>
              <w:t>要点</w:t>
            </w:r>
          </w:p>
        </w:tc>
        <w:tc>
          <w:tcPr>
            <w:tcW w:w="294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自评情况</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黑体" w:hAnsi="黑体" w:eastAsia="黑体" w:cs="黑体"/>
                <w:b w:val="0"/>
                <w:bCs w:val="0"/>
                <w:sz w:val="24"/>
                <w:szCs w:val="24"/>
                <w:lang w:eastAsia="zh-CN"/>
              </w:rPr>
            </w:pPr>
            <w:r>
              <w:rPr>
                <w:rFonts w:hint="eastAsia" w:ascii="黑体" w:hAnsi="黑体" w:eastAsia="黑体" w:cs="黑体"/>
                <w:b w:val="0"/>
                <w:bCs w:val="0"/>
                <w:color w:val="000000"/>
                <w:sz w:val="24"/>
                <w:szCs w:val="24"/>
                <w:lang w:eastAsia="zh-CN"/>
              </w:rPr>
              <w:t>（请详细说明完成哪一项、不完成的原因）</w:t>
            </w:r>
          </w:p>
        </w:tc>
        <w:tc>
          <w:tcPr>
            <w:tcW w:w="1590" w:type="dxa"/>
            <w:vMerge w:val="restart"/>
            <w:vAlign w:val="center"/>
          </w:tcPr>
          <w:p>
            <w:pPr>
              <w:autoSpaceDN w:val="0"/>
              <w:spacing w:line="320" w:lineRule="exact"/>
              <w:jc w:val="center"/>
              <w:textAlignment w:val="center"/>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1440" w:type="dxa"/>
            <w:vAlign w:val="center"/>
          </w:tcPr>
          <w:p>
            <w:pPr>
              <w:autoSpaceDN w:val="0"/>
              <w:spacing w:line="320" w:lineRule="exact"/>
              <w:jc w:val="center"/>
              <w:textAlignment w:val="center"/>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一级指标</w:t>
            </w:r>
          </w:p>
        </w:tc>
        <w:tc>
          <w:tcPr>
            <w:tcW w:w="1635" w:type="dxa"/>
            <w:vAlign w:val="center"/>
          </w:tcPr>
          <w:p>
            <w:pPr>
              <w:autoSpaceDN w:val="0"/>
              <w:spacing w:line="320" w:lineRule="exact"/>
              <w:jc w:val="center"/>
              <w:textAlignment w:val="center"/>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二级</w:t>
            </w:r>
            <w:r>
              <w:rPr>
                <w:rFonts w:hint="eastAsia" w:ascii="黑体" w:hAnsi="黑体" w:eastAsia="黑体" w:cs="黑体"/>
                <w:b w:val="0"/>
                <w:bCs w:val="0"/>
                <w:color w:val="000000"/>
                <w:sz w:val="24"/>
                <w:szCs w:val="24"/>
              </w:rPr>
              <w:t>指标</w:t>
            </w:r>
          </w:p>
        </w:tc>
        <w:tc>
          <w:tcPr>
            <w:tcW w:w="3270" w:type="dxa"/>
            <w:vMerge w:val="continue"/>
            <w:vAlign w:val="center"/>
          </w:tcPr>
          <w:p>
            <w:pPr>
              <w:autoSpaceDN w:val="0"/>
              <w:spacing w:line="320" w:lineRule="exact"/>
              <w:jc w:val="center"/>
              <w:textAlignment w:val="center"/>
              <w:rPr>
                <w:rFonts w:hint="eastAsia" w:asciiTheme="majorEastAsia" w:hAnsiTheme="majorEastAsia" w:eastAsiaTheme="majorEastAsia" w:cstheme="majorEastAsia"/>
                <w:b/>
                <w:color w:val="000000"/>
                <w:sz w:val="24"/>
                <w:szCs w:val="24"/>
              </w:rPr>
            </w:pPr>
          </w:p>
        </w:tc>
        <w:tc>
          <w:tcPr>
            <w:tcW w:w="4020" w:type="dxa"/>
            <w:vMerge w:val="continue"/>
            <w:vAlign w:val="center"/>
          </w:tcPr>
          <w:p>
            <w:pPr>
              <w:autoSpaceDN w:val="0"/>
              <w:spacing w:line="320" w:lineRule="exact"/>
              <w:jc w:val="center"/>
              <w:textAlignment w:val="center"/>
              <w:rPr>
                <w:rFonts w:hint="eastAsia" w:ascii="宋体" w:hAnsi="宋体" w:eastAsia="宋体"/>
                <w:b/>
                <w:color w:val="000000"/>
                <w:sz w:val="24"/>
                <w:szCs w:val="24"/>
              </w:rPr>
            </w:pPr>
          </w:p>
        </w:tc>
        <w:tc>
          <w:tcPr>
            <w:tcW w:w="2940" w:type="dxa"/>
            <w:vMerge w:val="continue"/>
            <w:vAlign w:val="center"/>
          </w:tcPr>
          <w:p>
            <w:pPr>
              <w:autoSpaceDN w:val="0"/>
              <w:spacing w:line="320" w:lineRule="exact"/>
              <w:jc w:val="center"/>
              <w:textAlignment w:val="center"/>
              <w:rPr>
                <w:rFonts w:hint="eastAsia" w:ascii="宋体" w:hAnsi="宋体" w:eastAsia="宋体"/>
                <w:b/>
                <w:color w:val="000000"/>
                <w:sz w:val="24"/>
                <w:szCs w:val="24"/>
              </w:rPr>
            </w:pPr>
          </w:p>
        </w:tc>
        <w:tc>
          <w:tcPr>
            <w:tcW w:w="1590" w:type="dxa"/>
            <w:vMerge w:val="continue"/>
            <w:vAlign w:val="center"/>
          </w:tcPr>
          <w:p>
            <w:pPr>
              <w:autoSpaceDN w:val="0"/>
              <w:spacing w:line="320" w:lineRule="exact"/>
              <w:jc w:val="center"/>
              <w:textAlignment w:val="center"/>
              <w:rPr>
                <w:rFonts w:hint="eastAsia" w:ascii="宋体" w:hAnsi="宋体" w:eastAsia="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440" w:type="dxa"/>
            <w:vMerge w:val="restart"/>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（一）</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对口支援</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工作管理</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（55分）</w:t>
            </w:r>
          </w:p>
        </w:tc>
        <w:tc>
          <w:tcPr>
            <w:tcW w:w="1635"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1.组织管理（10分）</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成立</w:t>
            </w:r>
            <w:r>
              <w:rPr>
                <w:rFonts w:hint="eastAsia" w:ascii="仿宋_GB2312" w:hAnsi="仿宋_GB2312" w:eastAsia="仿宋_GB2312" w:cs="仿宋_GB2312"/>
                <w:color w:val="000000"/>
                <w:sz w:val="24"/>
                <w:szCs w:val="24"/>
                <w:lang w:eastAsia="zh-CN"/>
              </w:rPr>
              <w:t>工作</w:t>
            </w:r>
            <w:r>
              <w:rPr>
                <w:rFonts w:hint="eastAsia" w:ascii="仿宋_GB2312" w:hAnsi="仿宋_GB2312" w:eastAsia="仿宋_GB2312" w:cs="仿宋_GB2312"/>
                <w:color w:val="000000"/>
                <w:sz w:val="24"/>
                <w:szCs w:val="24"/>
              </w:rPr>
              <w:t>领导小组和办事机构，院长亲自负责，有专人负责具体工作；定期研究、分析</w:t>
            </w:r>
            <w:r>
              <w:rPr>
                <w:rFonts w:hint="eastAsia" w:ascii="仿宋_GB2312" w:hAnsi="仿宋_GB2312" w:eastAsia="仿宋_GB2312" w:cs="仿宋_GB2312"/>
                <w:color w:val="000000"/>
                <w:sz w:val="24"/>
                <w:szCs w:val="24"/>
                <w:lang w:eastAsia="zh-CN"/>
              </w:rPr>
              <w:t>工作</w:t>
            </w:r>
            <w:r>
              <w:rPr>
                <w:rFonts w:hint="eastAsia" w:ascii="仿宋_GB2312" w:hAnsi="仿宋_GB2312" w:eastAsia="仿宋_GB2312" w:cs="仿宋_GB2312"/>
                <w:color w:val="000000"/>
                <w:sz w:val="24"/>
                <w:szCs w:val="24"/>
              </w:rPr>
              <w:t>开展情况，提出符合实际需要的发展意见。</w:t>
            </w:r>
          </w:p>
        </w:tc>
        <w:tc>
          <w:tcPr>
            <w:tcW w:w="4020" w:type="dxa"/>
            <w:vAlign w:val="center"/>
          </w:tcPr>
          <w:p>
            <w:pPr>
              <w:keepNext w:val="0"/>
              <w:keepLines w:val="0"/>
              <w:pageBreakBefore w:val="0"/>
              <w:widowControl w:val="0"/>
              <w:numPr>
                <w:ilvl w:val="0"/>
                <w:numId w:val="1"/>
              </w:numPr>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成立领导小组和办事机构，院长亲自负责援助工作；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1"/>
              </w:numPr>
              <w:kinsoku/>
              <w:wordWrap/>
              <w:overflowPunct/>
              <w:topLinePunct w:val="0"/>
              <w:autoSpaceDN w:val="0"/>
              <w:bidi w:val="0"/>
              <w:spacing w:line="320" w:lineRule="exact"/>
              <w:ind w:left="0" w:lef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落实专人负责具体工作；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N w:val="0"/>
              <w:bidi w:val="0"/>
              <w:spacing w:line="320" w:lineRule="exact"/>
              <w:ind w:leftChars="0"/>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（3）每季度召开专题会议或重要会议有涉及对口支援议题且形成符合实际需要的发展意见。</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440" w:type="dxa"/>
            <w:vMerge w:val="continue"/>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p>
        </w:tc>
        <w:tc>
          <w:tcPr>
            <w:tcW w:w="1635"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2.明确责任义务</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（10分）</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与支援医院签订项目协议书，协议内容应明确年度发展目标、主要工作任务、双方职责和义务等。</w:t>
            </w:r>
          </w:p>
        </w:tc>
        <w:tc>
          <w:tcPr>
            <w:tcW w:w="402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（1）签订项目协议书，有年度发展目标、主要工作任务、双方职责和义务；</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8分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（2）时间期限、目标、任务、双方职责和义务更改时，及时补充协议。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440" w:type="dxa"/>
            <w:vMerge w:val="restart"/>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（一）</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对口支援</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工作管理</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（55分）</w:t>
            </w:r>
          </w:p>
        </w:tc>
        <w:tc>
          <w:tcPr>
            <w:tcW w:w="1635"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3.落实协议</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（15分）</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制定并认真落实双方协议的工作规划和具体计划</w:t>
            </w:r>
          </w:p>
        </w:tc>
        <w:tc>
          <w:tcPr>
            <w:tcW w:w="402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制定落实双方协议的工作规划和实施计划</w:t>
            </w:r>
            <w:r>
              <w:rPr>
                <w:rFonts w:hint="eastAsia" w:ascii="仿宋_GB2312" w:hAnsi="仿宋_GB2312" w:eastAsia="仿宋_GB2312" w:cs="仿宋_GB2312"/>
                <w:color w:val="000000"/>
                <w:sz w:val="24"/>
                <w:szCs w:val="24"/>
                <w:lang w:eastAsia="zh-CN"/>
              </w:rPr>
              <w:t>：</w:t>
            </w:r>
          </w:p>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（1）有进度工作要求、具体责任人和标准；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7分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（2）工作进展达到具体计划要求。</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8分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440" w:type="dxa"/>
            <w:vMerge w:val="continue"/>
            <w:vAlign w:val="center"/>
          </w:tcPr>
          <w:p>
            <w:pPr>
              <w:keepNext w:val="0"/>
              <w:keepLines w:val="0"/>
              <w:pageBreakBefore w:val="0"/>
              <w:widowControl w:val="0"/>
              <w:kinsoku/>
              <w:wordWrap/>
              <w:overflowPunct/>
              <w:topLinePunct w:val="0"/>
              <w:bidi w:val="0"/>
              <w:spacing w:line="320" w:lineRule="exact"/>
              <w:jc w:val="center"/>
              <w:rPr>
                <w:rFonts w:hint="eastAsia" w:ascii="仿宋_GB2312" w:hAnsi="仿宋_GB2312" w:eastAsia="仿宋_GB2312" w:cs="仿宋_GB2312"/>
                <w:sz w:val="24"/>
                <w:szCs w:val="24"/>
              </w:rPr>
            </w:pPr>
          </w:p>
        </w:tc>
        <w:tc>
          <w:tcPr>
            <w:tcW w:w="1635"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rPr>
              <w:t>4.舆论宣传</w:t>
            </w: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10分</w:t>
            </w:r>
            <w:r>
              <w:rPr>
                <w:rFonts w:hint="eastAsia" w:ascii="仿宋_GB2312" w:hAnsi="仿宋_GB2312" w:eastAsia="仿宋_GB2312" w:cs="仿宋_GB2312"/>
                <w:b/>
                <w:color w:val="000000"/>
                <w:sz w:val="24"/>
                <w:szCs w:val="24"/>
                <w:lang w:eastAsia="zh-CN"/>
              </w:rPr>
              <w:t>）</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加强</w:t>
            </w:r>
            <w:r>
              <w:rPr>
                <w:rFonts w:hint="eastAsia" w:ascii="仿宋_GB2312" w:hAnsi="仿宋_GB2312" w:eastAsia="仿宋_GB2312" w:cs="仿宋_GB2312"/>
                <w:color w:val="000000"/>
                <w:sz w:val="24"/>
                <w:szCs w:val="24"/>
                <w:lang w:eastAsia="zh-CN"/>
              </w:rPr>
              <w:t>对口支援</w:t>
            </w:r>
            <w:r>
              <w:rPr>
                <w:rFonts w:hint="eastAsia" w:ascii="仿宋_GB2312" w:hAnsi="仿宋_GB2312" w:eastAsia="仿宋_GB2312" w:cs="仿宋_GB2312"/>
                <w:color w:val="000000"/>
                <w:sz w:val="24"/>
                <w:szCs w:val="24"/>
              </w:rPr>
              <w:t>过程中的舆论宣传，以多种形式宣传项目重大意义和支援医院派驻专家的专业特长、学识水平及优良工作作风等，充分发挥项目的社会效益。</w:t>
            </w:r>
          </w:p>
        </w:tc>
        <w:tc>
          <w:tcPr>
            <w:tcW w:w="402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在当地主要媒体（电视台、广播台、报纸）宣传；</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本院院报每期（有期号），</w:t>
            </w:r>
            <w:r>
              <w:rPr>
                <w:rFonts w:hint="eastAsia" w:ascii="仿宋_GB2312" w:hAnsi="仿宋_GB2312" w:eastAsia="仿宋_GB2312" w:cs="仿宋_GB2312"/>
                <w:color w:val="000000"/>
                <w:sz w:val="24"/>
                <w:szCs w:val="24"/>
                <w:lang w:eastAsia="zh-CN"/>
              </w:rPr>
              <w:t>或自有网站、微信公众号、微博等</w:t>
            </w:r>
            <w:r>
              <w:rPr>
                <w:rFonts w:hint="eastAsia" w:ascii="仿宋_GB2312" w:hAnsi="仿宋_GB2312" w:eastAsia="仿宋_GB2312" w:cs="仿宋_GB2312"/>
                <w:color w:val="000000"/>
                <w:sz w:val="24"/>
                <w:szCs w:val="24"/>
              </w:rPr>
              <w:t>网络</w:t>
            </w:r>
            <w:r>
              <w:rPr>
                <w:rFonts w:hint="eastAsia" w:ascii="仿宋_GB2312" w:hAnsi="仿宋_GB2312" w:eastAsia="仿宋_GB2312" w:cs="仿宋_GB2312"/>
                <w:color w:val="000000"/>
                <w:sz w:val="24"/>
                <w:szCs w:val="24"/>
                <w:lang w:eastAsia="zh-CN"/>
              </w:rPr>
              <w:t>新媒体</w:t>
            </w:r>
            <w:r>
              <w:rPr>
                <w:rFonts w:hint="eastAsia" w:ascii="仿宋_GB2312" w:hAnsi="仿宋_GB2312" w:eastAsia="仿宋_GB2312" w:cs="仿宋_GB2312"/>
                <w:color w:val="000000"/>
                <w:sz w:val="24"/>
                <w:szCs w:val="24"/>
              </w:rPr>
              <w:t>宣传。</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440" w:type="dxa"/>
            <w:vMerge w:val="continue"/>
            <w:vAlign w:val="center"/>
          </w:tcPr>
          <w:p>
            <w:pPr>
              <w:keepNext w:val="0"/>
              <w:keepLines w:val="0"/>
              <w:pageBreakBefore w:val="0"/>
              <w:widowControl w:val="0"/>
              <w:kinsoku/>
              <w:wordWrap/>
              <w:overflowPunct/>
              <w:topLinePunct w:val="0"/>
              <w:bidi w:val="0"/>
              <w:spacing w:line="320" w:lineRule="exact"/>
              <w:jc w:val="center"/>
              <w:rPr>
                <w:rFonts w:hint="eastAsia" w:ascii="仿宋_GB2312" w:hAnsi="仿宋_GB2312" w:eastAsia="仿宋_GB2312" w:cs="仿宋_GB2312"/>
                <w:sz w:val="24"/>
                <w:szCs w:val="24"/>
              </w:rPr>
            </w:pPr>
          </w:p>
        </w:tc>
        <w:tc>
          <w:tcPr>
            <w:tcW w:w="1635"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rPr>
              <w:t>5.信息</w:t>
            </w:r>
            <w:r>
              <w:rPr>
                <w:rFonts w:hint="eastAsia" w:ascii="仿宋_GB2312" w:hAnsi="仿宋_GB2312" w:eastAsia="仿宋_GB2312" w:cs="仿宋_GB2312"/>
                <w:b/>
                <w:color w:val="000000"/>
                <w:sz w:val="24"/>
                <w:szCs w:val="24"/>
                <w:lang w:eastAsia="zh-CN"/>
              </w:rPr>
              <w:t>报送（</w:t>
            </w:r>
            <w:r>
              <w:rPr>
                <w:rFonts w:hint="eastAsia" w:ascii="仿宋_GB2312" w:hAnsi="仿宋_GB2312" w:eastAsia="仿宋_GB2312" w:cs="仿宋_GB2312"/>
                <w:b/>
                <w:color w:val="000000"/>
                <w:sz w:val="24"/>
                <w:szCs w:val="24"/>
                <w:lang w:val="en-US" w:eastAsia="zh-CN"/>
              </w:rPr>
              <w:t>10分</w:t>
            </w:r>
            <w:r>
              <w:rPr>
                <w:rFonts w:hint="eastAsia" w:ascii="仿宋_GB2312" w:hAnsi="仿宋_GB2312" w:eastAsia="仿宋_GB2312" w:cs="仿宋_GB2312"/>
                <w:b/>
                <w:color w:val="000000"/>
                <w:sz w:val="24"/>
                <w:szCs w:val="24"/>
                <w:lang w:eastAsia="zh-CN"/>
              </w:rPr>
              <w:t>）</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按要求开展对口支援工作的</w:t>
            </w:r>
            <w:r>
              <w:rPr>
                <w:rFonts w:hint="eastAsia" w:ascii="仿宋_GB2312" w:hAnsi="仿宋_GB2312" w:eastAsia="仿宋_GB2312" w:cs="仿宋_GB2312"/>
                <w:color w:val="000000"/>
                <w:sz w:val="24"/>
                <w:szCs w:val="24"/>
                <w:lang w:eastAsia="zh-CN"/>
              </w:rPr>
              <w:t>信息</w:t>
            </w:r>
            <w:r>
              <w:rPr>
                <w:rFonts w:hint="eastAsia" w:ascii="仿宋_GB2312" w:hAnsi="仿宋_GB2312" w:eastAsia="仿宋_GB2312" w:cs="仿宋_GB2312"/>
                <w:color w:val="000000"/>
                <w:sz w:val="24"/>
                <w:szCs w:val="24"/>
              </w:rPr>
              <w:t>直报工作</w:t>
            </w:r>
          </w:p>
        </w:tc>
        <w:tc>
          <w:tcPr>
            <w:tcW w:w="402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直报相关信息及时、准确、完整、真实</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10分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1440"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（二）</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派驻人员</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管理</w:t>
            </w:r>
          </w:p>
          <w:p>
            <w:pPr>
              <w:pStyle w:val="6"/>
              <w:keepNext w:val="0"/>
              <w:keepLines w:val="0"/>
              <w:pageBreakBefore w:val="0"/>
              <w:widowControl w:val="0"/>
              <w:kinsoku/>
              <w:wordWrap/>
              <w:overflowPunct/>
              <w:topLinePunct w:val="0"/>
              <w:bidi w:val="0"/>
              <w:spacing w:line="3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color w:val="000000"/>
                <w:kern w:val="2"/>
                <w:sz w:val="24"/>
                <w:szCs w:val="24"/>
                <w:lang w:val="en-US" w:eastAsia="zh-CN" w:bidi="ar-SA"/>
              </w:rPr>
              <w:t>（45分）</w:t>
            </w:r>
          </w:p>
        </w:tc>
        <w:tc>
          <w:tcPr>
            <w:tcW w:w="1635" w:type="dxa"/>
            <w:vAlign w:val="center"/>
          </w:tcPr>
          <w:p>
            <w:pPr>
              <w:keepNext w:val="0"/>
              <w:keepLines w:val="0"/>
              <w:pageBreakBefore w:val="0"/>
              <w:widowControl w:val="0"/>
              <w:numPr>
                <w:ilvl w:val="-1"/>
                <w:numId w:val="0"/>
              </w:numPr>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6.</w:t>
            </w:r>
            <w:r>
              <w:rPr>
                <w:rFonts w:hint="eastAsia" w:ascii="仿宋_GB2312" w:hAnsi="仿宋_GB2312" w:eastAsia="仿宋_GB2312" w:cs="仿宋_GB2312"/>
                <w:b/>
                <w:color w:val="000000"/>
                <w:sz w:val="24"/>
                <w:szCs w:val="24"/>
              </w:rPr>
              <w:t>派驻人员工作安排</w:t>
            </w:r>
          </w:p>
          <w:p>
            <w:pPr>
              <w:keepNext w:val="0"/>
              <w:keepLines w:val="0"/>
              <w:pageBreakBefore w:val="0"/>
              <w:widowControl w:val="0"/>
              <w:numPr>
                <w:ilvl w:val="0"/>
                <w:numId w:val="0"/>
              </w:numPr>
              <w:kinsoku/>
              <w:wordWrap/>
              <w:overflowPunct/>
              <w:topLinePunct w:val="0"/>
              <w:autoSpaceDN w:val="0"/>
              <w:bidi w:val="0"/>
              <w:spacing w:line="320" w:lineRule="exact"/>
              <w:ind w:firstLine="241" w:firstLineChars="100"/>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10分</w:t>
            </w:r>
            <w:r>
              <w:rPr>
                <w:rFonts w:hint="eastAsia" w:ascii="仿宋_GB2312" w:hAnsi="仿宋_GB2312" w:eastAsia="仿宋_GB2312" w:cs="仿宋_GB2312"/>
                <w:b/>
                <w:color w:val="000000"/>
                <w:sz w:val="24"/>
                <w:szCs w:val="24"/>
                <w:lang w:eastAsia="zh-CN"/>
              </w:rPr>
              <w:t>）</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制定派驻人员日常工作管理办法</w:t>
            </w:r>
          </w:p>
        </w:tc>
        <w:tc>
          <w:tcPr>
            <w:tcW w:w="4020" w:type="dxa"/>
            <w:vAlign w:val="center"/>
          </w:tcPr>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有派驻人员工作安排意见和日常工作管理办法</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包括请假程序和要求、工作量的记录和统计办法、</w:t>
            </w:r>
            <w:r>
              <w:rPr>
                <w:rFonts w:hint="eastAsia" w:ascii="仿宋_GB2312" w:hAnsi="仿宋_GB2312" w:eastAsia="仿宋_GB2312" w:cs="仿宋_GB2312"/>
                <w:color w:val="000000"/>
                <w:sz w:val="24"/>
                <w:szCs w:val="24"/>
                <w:lang w:eastAsia="zh-CN"/>
              </w:rPr>
              <w:t>带教、培训</w:t>
            </w:r>
            <w:r>
              <w:rPr>
                <w:rFonts w:hint="eastAsia" w:ascii="仿宋_GB2312" w:hAnsi="仿宋_GB2312" w:eastAsia="仿宋_GB2312" w:cs="仿宋_GB2312"/>
                <w:color w:val="000000"/>
                <w:sz w:val="24"/>
                <w:szCs w:val="24"/>
              </w:rPr>
              <w:t>记录等</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8分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对派驻人员安排具体科室</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1440" w:type="dxa"/>
            <w:vMerge w:val="restart"/>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（二）</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派驻人员</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管理</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2"/>
                <w:sz w:val="24"/>
                <w:szCs w:val="24"/>
                <w:lang w:val="en-US" w:eastAsia="zh-CN" w:bidi="ar-SA"/>
              </w:rPr>
              <w:t>（45分）</w:t>
            </w:r>
          </w:p>
        </w:tc>
        <w:tc>
          <w:tcPr>
            <w:tcW w:w="1635" w:type="dxa"/>
            <w:vAlign w:val="center"/>
          </w:tcPr>
          <w:p>
            <w:pPr>
              <w:keepNext w:val="0"/>
              <w:keepLines w:val="0"/>
              <w:pageBreakBefore w:val="0"/>
              <w:widowControl w:val="0"/>
              <w:numPr>
                <w:ilvl w:val="-1"/>
                <w:numId w:val="0"/>
              </w:numPr>
              <w:kinsoku/>
              <w:wordWrap/>
              <w:overflowPunct/>
              <w:topLinePunct w:val="0"/>
              <w:autoSpaceDN w:val="0"/>
              <w:bidi w:val="0"/>
              <w:spacing w:line="320" w:lineRule="exact"/>
              <w:ind w:left="0" w:leftChars="0" w:firstLine="0" w:firstLineChars="0"/>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7.</w:t>
            </w:r>
            <w:r>
              <w:rPr>
                <w:rFonts w:hint="eastAsia" w:ascii="仿宋_GB2312" w:hAnsi="仿宋_GB2312" w:eastAsia="仿宋_GB2312" w:cs="仿宋_GB2312"/>
                <w:b/>
                <w:color w:val="000000"/>
                <w:sz w:val="24"/>
                <w:szCs w:val="24"/>
              </w:rPr>
              <w:t>派驻人员日常管理</w:t>
            </w:r>
          </w:p>
          <w:p>
            <w:pPr>
              <w:keepNext w:val="0"/>
              <w:keepLines w:val="0"/>
              <w:pageBreakBefore w:val="0"/>
              <w:widowControl w:val="0"/>
              <w:numPr>
                <w:ilvl w:val="0"/>
                <w:numId w:val="0"/>
              </w:numPr>
              <w:kinsoku/>
              <w:wordWrap/>
              <w:overflowPunct/>
              <w:topLinePunct w:val="0"/>
              <w:autoSpaceDN w:val="0"/>
              <w:bidi w:val="0"/>
              <w:spacing w:line="320" w:lineRule="exact"/>
              <w:ind w:leftChars="0"/>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15分</w:t>
            </w:r>
            <w:r>
              <w:rPr>
                <w:rFonts w:hint="eastAsia" w:ascii="仿宋_GB2312" w:hAnsi="仿宋_GB2312" w:eastAsia="仿宋_GB2312" w:cs="仿宋_GB2312"/>
                <w:b/>
                <w:color w:val="000000"/>
                <w:sz w:val="24"/>
                <w:szCs w:val="24"/>
                <w:lang w:eastAsia="zh-CN"/>
              </w:rPr>
              <w:t>）</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按照要求对派驻人员进行管理，公示派驻医务人员信息，考核到位；派驻人员开具处方、书写病历、手术记录等必须本人签字，指导手术和操作必须在病历上署名</w:t>
            </w:r>
            <w:r>
              <w:rPr>
                <w:rFonts w:hint="eastAsia" w:ascii="仿宋_GB2312" w:hAnsi="仿宋_GB2312" w:eastAsia="仿宋_GB2312" w:cs="仿宋_GB2312"/>
                <w:color w:val="000000"/>
                <w:sz w:val="24"/>
                <w:szCs w:val="24"/>
                <w:lang w:eastAsia="zh-CN"/>
              </w:rPr>
              <w:t>；</w:t>
            </w:r>
          </w:p>
        </w:tc>
        <w:tc>
          <w:tcPr>
            <w:tcW w:w="4020" w:type="dxa"/>
            <w:vAlign w:val="center"/>
          </w:tcPr>
          <w:p>
            <w:pPr>
              <w:keepNext w:val="0"/>
              <w:keepLines w:val="0"/>
              <w:pageBreakBefore w:val="0"/>
              <w:widowControl w:val="0"/>
              <w:numPr>
                <w:ilvl w:val="0"/>
                <w:numId w:val="2"/>
              </w:numPr>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在医院明显位置公示派驻医务人员姓名、职称、支援医院、专业特长、支援时间；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3分）</w:t>
            </w:r>
          </w:p>
          <w:p>
            <w:pPr>
              <w:keepNext w:val="0"/>
              <w:keepLines w:val="0"/>
              <w:pageBreakBefore w:val="0"/>
              <w:widowControl w:val="0"/>
              <w:numPr>
                <w:ilvl w:val="0"/>
                <w:numId w:val="2"/>
              </w:numPr>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病历医嘱、病程记录有</w:t>
            </w:r>
            <w:r>
              <w:rPr>
                <w:rFonts w:hint="eastAsia" w:ascii="仿宋_GB2312" w:hAnsi="仿宋_GB2312" w:eastAsia="仿宋_GB2312" w:cs="仿宋_GB2312"/>
                <w:color w:val="000000"/>
                <w:sz w:val="24"/>
                <w:szCs w:val="24"/>
                <w:lang w:eastAsia="zh-CN"/>
              </w:rPr>
              <w:t>派驻</w:t>
            </w:r>
            <w:r>
              <w:rPr>
                <w:rFonts w:hint="eastAsia" w:ascii="仿宋_GB2312" w:hAnsi="仿宋_GB2312" w:eastAsia="仿宋_GB2312" w:cs="仿宋_GB2312"/>
                <w:color w:val="000000"/>
                <w:sz w:val="24"/>
                <w:szCs w:val="24"/>
              </w:rPr>
              <w:t>医务人员本人签字，指导手术和操作时在病历上署名；</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（3）派驻人员工作情况纳入本院人员考核范围，统一开展考核，考核结果反馈支援医院。</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7分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440" w:type="dxa"/>
            <w:vMerge w:val="continue"/>
            <w:vAlign w:val="center"/>
          </w:tcPr>
          <w:p>
            <w:pPr>
              <w:keepNext w:val="0"/>
              <w:keepLines w:val="0"/>
              <w:pageBreakBefore w:val="0"/>
              <w:widowControl w:val="0"/>
              <w:kinsoku/>
              <w:wordWrap/>
              <w:overflowPunct/>
              <w:topLinePunct w:val="0"/>
              <w:bidi w:val="0"/>
              <w:spacing w:line="320" w:lineRule="exact"/>
              <w:jc w:val="center"/>
              <w:rPr>
                <w:rFonts w:hint="eastAsia" w:ascii="仿宋_GB2312" w:hAnsi="仿宋_GB2312" w:eastAsia="仿宋_GB2312" w:cs="仿宋_GB2312"/>
                <w:sz w:val="24"/>
                <w:szCs w:val="24"/>
              </w:rPr>
            </w:pPr>
          </w:p>
        </w:tc>
        <w:tc>
          <w:tcPr>
            <w:tcW w:w="1635" w:type="dxa"/>
            <w:vAlign w:val="center"/>
          </w:tcPr>
          <w:p>
            <w:pPr>
              <w:keepNext w:val="0"/>
              <w:keepLines w:val="0"/>
              <w:pageBreakBefore w:val="0"/>
              <w:widowControl w:val="0"/>
              <w:numPr>
                <w:ilvl w:val="-1"/>
                <w:numId w:val="0"/>
              </w:numPr>
              <w:kinsoku/>
              <w:wordWrap/>
              <w:overflowPunct/>
              <w:topLinePunct w:val="0"/>
              <w:autoSpaceDN w:val="0"/>
              <w:bidi w:val="0"/>
              <w:spacing w:line="320" w:lineRule="exact"/>
              <w:ind w:left="0" w:leftChars="0" w:firstLine="0" w:firstLineChars="0"/>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8.</w:t>
            </w:r>
            <w:r>
              <w:rPr>
                <w:rFonts w:hint="eastAsia" w:ascii="仿宋_GB2312" w:hAnsi="仿宋_GB2312" w:eastAsia="仿宋_GB2312" w:cs="仿宋_GB2312"/>
                <w:b/>
                <w:color w:val="000000"/>
                <w:sz w:val="24"/>
                <w:szCs w:val="24"/>
              </w:rPr>
              <w:t>采纳合理化建议</w:t>
            </w:r>
          </w:p>
          <w:p>
            <w:pPr>
              <w:keepNext w:val="0"/>
              <w:keepLines w:val="0"/>
              <w:pageBreakBefore w:val="0"/>
              <w:widowControl w:val="0"/>
              <w:numPr>
                <w:ilvl w:val="0"/>
                <w:numId w:val="0"/>
              </w:numPr>
              <w:kinsoku/>
              <w:wordWrap/>
              <w:overflowPunct/>
              <w:topLinePunct w:val="0"/>
              <w:autoSpaceDN w:val="0"/>
              <w:bidi w:val="0"/>
              <w:spacing w:line="320" w:lineRule="exact"/>
              <w:ind w:leftChars="0"/>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10分</w:t>
            </w:r>
            <w:r>
              <w:rPr>
                <w:rFonts w:hint="eastAsia" w:ascii="仿宋_GB2312" w:hAnsi="仿宋_GB2312" w:eastAsia="仿宋_GB2312" w:cs="仿宋_GB2312"/>
                <w:b/>
                <w:color w:val="000000"/>
                <w:sz w:val="24"/>
                <w:szCs w:val="24"/>
                <w:lang w:eastAsia="zh-CN"/>
              </w:rPr>
              <w:t>）</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医院积极采纳派驻人员的合理化建议并组织实施</w:t>
            </w:r>
          </w:p>
        </w:tc>
        <w:tc>
          <w:tcPr>
            <w:tcW w:w="4020" w:type="dxa"/>
            <w:vAlign w:val="center"/>
          </w:tcPr>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定期收集派驻人员的合理化建议，</w:t>
            </w:r>
            <w:r>
              <w:rPr>
                <w:rFonts w:hint="eastAsia" w:ascii="仿宋_GB2312" w:hAnsi="仿宋_GB2312" w:eastAsia="仿宋_GB2312" w:cs="仿宋_GB2312"/>
                <w:color w:val="000000"/>
                <w:sz w:val="24"/>
                <w:szCs w:val="24"/>
                <w:highlight w:val="none"/>
              </w:rPr>
              <w:t>有合理化建议</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组织实施合理化建议。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440" w:type="dxa"/>
            <w:vMerge w:val="continue"/>
            <w:vAlign w:val="center"/>
          </w:tcPr>
          <w:p>
            <w:pPr>
              <w:keepNext w:val="0"/>
              <w:keepLines w:val="0"/>
              <w:pageBreakBefore w:val="0"/>
              <w:widowControl w:val="0"/>
              <w:kinsoku/>
              <w:wordWrap/>
              <w:overflowPunct/>
              <w:topLinePunct w:val="0"/>
              <w:bidi w:val="0"/>
              <w:spacing w:line="320" w:lineRule="exact"/>
              <w:jc w:val="center"/>
              <w:rPr>
                <w:rFonts w:hint="eastAsia" w:ascii="仿宋_GB2312" w:hAnsi="仿宋_GB2312" w:eastAsia="仿宋_GB2312" w:cs="仿宋_GB2312"/>
                <w:sz w:val="24"/>
                <w:szCs w:val="24"/>
              </w:rPr>
            </w:pPr>
          </w:p>
        </w:tc>
        <w:tc>
          <w:tcPr>
            <w:tcW w:w="1635"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rPr>
              <w:t>9.后勤保障</w:t>
            </w: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10分</w:t>
            </w:r>
            <w:r>
              <w:rPr>
                <w:rFonts w:hint="eastAsia" w:ascii="仿宋_GB2312" w:hAnsi="仿宋_GB2312" w:eastAsia="仿宋_GB2312" w:cs="仿宋_GB2312"/>
                <w:b/>
                <w:color w:val="000000"/>
                <w:sz w:val="24"/>
                <w:szCs w:val="24"/>
                <w:lang w:eastAsia="zh-CN"/>
              </w:rPr>
              <w:t>）</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为派驻人员提供安全、便利的工作和生活条件</w:t>
            </w:r>
          </w:p>
        </w:tc>
        <w:tc>
          <w:tcPr>
            <w:tcW w:w="4020" w:type="dxa"/>
            <w:vAlign w:val="center"/>
          </w:tcPr>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受援医院配合</w:t>
            </w:r>
            <w:r>
              <w:rPr>
                <w:rFonts w:hint="eastAsia" w:ascii="仿宋_GB2312" w:hAnsi="仿宋_GB2312" w:eastAsia="仿宋_GB2312" w:cs="仿宋_GB2312"/>
                <w:color w:val="000000"/>
                <w:sz w:val="24"/>
                <w:szCs w:val="24"/>
                <w:lang w:eastAsia="zh-CN"/>
              </w:rPr>
              <w:t>支援工作</w:t>
            </w:r>
            <w:r>
              <w:rPr>
                <w:rFonts w:hint="eastAsia" w:ascii="仿宋_GB2312" w:hAnsi="仿宋_GB2312" w:eastAsia="仿宋_GB2312" w:cs="仿宋_GB2312"/>
                <w:color w:val="000000"/>
                <w:sz w:val="24"/>
                <w:szCs w:val="24"/>
              </w:rPr>
              <w:t>实施，合理安排派驻人员工作条件；</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配合支援医院妥善安排派驻人员生活条件。</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15C4A"/>
    <w:multiLevelType w:val="singleLevel"/>
    <w:tmpl w:val="BC115C4A"/>
    <w:lvl w:ilvl="0" w:tentative="0">
      <w:start w:val="1"/>
      <w:numFmt w:val="decimal"/>
      <w:suff w:val="nothing"/>
      <w:lvlText w:val="（%1）"/>
      <w:lvlJc w:val="left"/>
    </w:lvl>
  </w:abstractNum>
  <w:abstractNum w:abstractNumId="1">
    <w:nsid w:val="7D8790CC"/>
    <w:multiLevelType w:val="singleLevel"/>
    <w:tmpl w:val="7D8790C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255057BF"/>
    <w:rsid w:val="25505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next w:val="3"/>
    <w:qFormat/>
    <w:uiPriority w:val="0"/>
    <w:pPr>
      <w:widowControl w:val="0"/>
      <w:spacing w:line="0" w:lineRule="atLeast"/>
      <w:jc w:val="center"/>
    </w:pPr>
    <w:rPr>
      <w:rFonts w:ascii="Arial" w:hAnsi="Arial" w:eastAsia="黑体" w:cs="Times New Roman"/>
      <w:kern w:val="2"/>
      <w:sz w:val="52"/>
      <w:szCs w:val="24"/>
      <w:lang w:val="en-US" w:eastAsia="zh-CN" w:bidi="ar-SA"/>
    </w:rPr>
  </w:style>
  <w:style w:type="paragraph" w:styleId="3">
    <w:name w:val="Body Text Indent"/>
    <w:next w:val="1"/>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customStyle="1" w:styleId="6">
    <w:name w:val="Default"/>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ascii="黑体" w:hAnsi="Times New Roman" w:eastAsia="黑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2022-07-04T07:32:00Z</dcterms:created>
  <dc:creator>worker</dc:creator>
  <cp:lastModifiedBy>worker</cp:lastModifiedBy>
  <dcterms:modified xsi:type="dcterms:W3CDTF">2022-07-04T07:33:15Z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6584D1FDB1B24572A9D4DD3C7EBA8060</vt:lpwstr>
  </property>
</Properties>
</file>