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jc w:val="center"/>
        <w:rPr>
          <w:rFonts w:ascii="仿宋_GB2312" w:eastAsia="仿宋_GB2312"/>
          <w:color w:val="0D1E0F" w:themeColor="background1" w:themeShade="1A"/>
          <w:sz w:val="32"/>
          <w:szCs w:val="32"/>
        </w:rPr>
      </w:pPr>
    </w:p>
    <w:p>
      <w:pPr>
        <w:adjustRightInd w:val="0"/>
        <w:snapToGrid w:val="0"/>
        <w:spacing w:line="560" w:lineRule="exact"/>
        <w:rPr>
          <w:rFonts w:ascii="黑体" w:eastAsia="黑体"/>
          <w:color w:val="0D1E0F" w:themeColor="background1" w:themeShade="1A"/>
          <w:sz w:val="32"/>
          <w:szCs w:val="32"/>
        </w:rPr>
      </w:pPr>
      <w:r>
        <w:rPr>
          <w:rFonts w:hint="eastAsia" w:ascii="黑体" w:eastAsia="黑体"/>
          <w:color w:val="0D1E0F" w:themeColor="background1" w:themeShade="1A"/>
          <w:sz w:val="32"/>
          <w:szCs w:val="32"/>
        </w:rPr>
        <w:t>附件1</w:t>
      </w:r>
    </w:p>
    <w:p>
      <w:pPr>
        <w:adjustRightInd w:val="0"/>
        <w:snapToGrid w:val="0"/>
        <w:spacing w:line="500" w:lineRule="exact"/>
        <w:rPr>
          <w:rFonts w:ascii="黑体" w:eastAsia="黑体"/>
          <w:color w:val="0D1E0F" w:themeColor="background1" w:themeShade="1A"/>
          <w:sz w:val="32"/>
          <w:szCs w:val="32"/>
        </w:rPr>
      </w:pPr>
    </w:p>
    <w:p>
      <w:pPr>
        <w:spacing w:line="500" w:lineRule="exact"/>
        <w:jc w:val="center"/>
        <w:rPr>
          <w:rFonts w:ascii="方正小标宋简体" w:hAnsi="黑体" w:eastAsia="方正小标宋简体"/>
          <w:bCs/>
          <w:color w:val="0D1E0F" w:themeColor="background1" w:themeShade="1A"/>
          <w:sz w:val="44"/>
          <w:szCs w:val="44"/>
        </w:rPr>
      </w:pPr>
      <w:r>
        <w:rPr>
          <w:rFonts w:hint="eastAsia" w:ascii="方正小标宋简体" w:hAnsi="黑体" w:eastAsia="方正小标宋简体"/>
          <w:bCs/>
          <w:color w:val="0D1E0F" w:themeColor="background1" w:themeShade="1A"/>
          <w:sz w:val="44"/>
          <w:szCs w:val="44"/>
        </w:rPr>
        <w:t>广西壮族自治区药品集中采购购销合同</w:t>
      </w:r>
    </w:p>
    <w:p>
      <w:pPr>
        <w:spacing w:line="500" w:lineRule="exact"/>
        <w:jc w:val="center"/>
        <w:rPr>
          <w:rFonts w:ascii="方正小标宋简体" w:hAnsi="黑体" w:eastAsia="方正小标宋简体"/>
          <w:bCs/>
          <w:color w:val="0D1E0F" w:themeColor="background1" w:themeShade="1A"/>
          <w:sz w:val="44"/>
          <w:szCs w:val="44"/>
        </w:rPr>
      </w:pPr>
      <w:r>
        <w:rPr>
          <w:rFonts w:hint="eastAsia" w:ascii="方正小标宋简体" w:hAnsi="黑体" w:eastAsia="方正小标宋简体"/>
          <w:bCs/>
          <w:color w:val="0D1E0F" w:themeColor="background1" w:themeShade="1A"/>
          <w:sz w:val="44"/>
          <w:szCs w:val="44"/>
        </w:rPr>
        <w:t>（范本）</w:t>
      </w:r>
    </w:p>
    <w:p>
      <w:pPr>
        <w:spacing w:line="500" w:lineRule="exact"/>
        <w:jc w:val="center"/>
        <w:rPr>
          <w:rFonts w:ascii="楷体_GB2312" w:hAnsi="黑体" w:eastAsia="楷体_GB2312"/>
          <w:bCs/>
          <w:color w:val="0D1E0F" w:themeColor="background1" w:themeShade="1A"/>
          <w:sz w:val="32"/>
          <w:szCs w:val="32"/>
        </w:rPr>
      </w:pPr>
    </w:p>
    <w:p>
      <w:pPr>
        <w:spacing w:line="500" w:lineRule="exact"/>
        <w:rPr>
          <w:rFonts w:ascii="仿宋_GB2312" w:hAnsi="黑体" w:eastAsia="仿宋_GB2312"/>
          <w:color w:val="0D1E0F" w:themeColor="background1" w:themeShade="1A"/>
          <w:sz w:val="30"/>
          <w:szCs w:val="30"/>
          <w:u w:val="single"/>
        </w:rPr>
      </w:pPr>
      <w:r>
        <w:rPr>
          <w:rFonts w:hint="eastAsia" w:ascii="仿宋_GB2312" w:hAnsi="黑体" w:eastAsia="仿宋_GB2312"/>
          <w:b/>
          <w:color w:val="0D1E0F" w:themeColor="background1" w:themeShade="1A"/>
          <w:sz w:val="30"/>
          <w:szCs w:val="30"/>
        </w:rPr>
        <w:t>甲方：</w:t>
      </w:r>
      <w:r>
        <w:rPr>
          <w:rFonts w:hint="eastAsia" w:ascii="仿宋_GB2312" w:hAnsi="黑体" w:eastAsia="仿宋_GB2312"/>
          <w:color w:val="0D1E0F" w:themeColor="background1" w:themeShade="1A"/>
          <w:sz w:val="30"/>
          <w:szCs w:val="30"/>
          <w:u w:val="single"/>
        </w:rPr>
        <w:t>（医疗卫生机构）</w:t>
      </w:r>
    </w:p>
    <w:p>
      <w:pPr>
        <w:spacing w:line="500" w:lineRule="exact"/>
        <w:rPr>
          <w:rFonts w:ascii="仿宋_GB2312" w:hAnsi="黑体" w:eastAsia="仿宋_GB2312"/>
          <w:color w:val="0D1E0F" w:themeColor="background1" w:themeShade="1A"/>
          <w:sz w:val="30"/>
          <w:szCs w:val="30"/>
          <w:u w:val="single"/>
        </w:rPr>
      </w:pPr>
      <w:r>
        <w:rPr>
          <w:rFonts w:hint="eastAsia" w:ascii="仿宋_GB2312" w:hAnsi="黑体" w:eastAsia="仿宋_GB2312"/>
          <w:b/>
          <w:color w:val="0D1E0F" w:themeColor="background1" w:themeShade="1A"/>
          <w:sz w:val="30"/>
          <w:szCs w:val="30"/>
        </w:rPr>
        <w:t>乙方</w:t>
      </w:r>
      <w:r>
        <w:rPr>
          <w:rFonts w:hint="eastAsia" w:ascii="仿宋_GB2312" w:hAnsi="黑体" w:eastAsia="仿宋_GB2312"/>
          <w:color w:val="0D1E0F" w:themeColor="background1" w:themeShade="1A"/>
          <w:sz w:val="30"/>
          <w:szCs w:val="30"/>
        </w:rPr>
        <w:t>：</w:t>
      </w:r>
      <w:r>
        <w:rPr>
          <w:rFonts w:hint="eastAsia" w:ascii="仿宋_GB2312" w:hAnsi="黑体" w:eastAsia="仿宋_GB2312"/>
          <w:color w:val="0D1E0F" w:themeColor="background1" w:themeShade="1A"/>
          <w:sz w:val="30"/>
          <w:szCs w:val="30"/>
          <w:u w:val="single"/>
        </w:rPr>
        <w:t>（生产商或配送商）</w:t>
      </w:r>
    </w:p>
    <w:p>
      <w:pPr>
        <w:spacing w:line="500" w:lineRule="exact"/>
        <w:rPr>
          <w:rFonts w:ascii="仿宋_GB2312" w:hAnsi="黑体" w:eastAsia="仿宋_GB2312"/>
          <w:color w:val="0D1E0F" w:themeColor="background1" w:themeShade="1A"/>
          <w:sz w:val="32"/>
          <w:szCs w:val="32"/>
        </w:rPr>
      </w:pPr>
    </w:p>
    <w:p>
      <w:pPr>
        <w:spacing w:line="500" w:lineRule="exact"/>
        <w:ind w:firstLine="560" w:firstLineChars="200"/>
        <w:rPr>
          <w:rFonts w:ascii="仿宋_GB2312" w:hAnsi="宋体" w:eastAsia="仿宋_GB2312"/>
          <w:color w:val="0D1E0F" w:themeColor="background1" w:themeShade="1A"/>
          <w:sz w:val="28"/>
          <w:szCs w:val="28"/>
        </w:rPr>
      </w:pPr>
      <w:r>
        <w:rPr>
          <w:rFonts w:ascii="仿宋_GB2312" w:hAnsi="宋体" w:eastAsia="仿宋_GB2312"/>
          <w:color w:val="0D1E0F" w:themeColor="background1" w:themeShade="1A"/>
          <w:sz w:val="28"/>
          <w:szCs w:val="28"/>
        </w:rPr>
        <w:t>按照《中华人民共和国合同法》、《中华人民共和国药品管理法》、《国务院办公厅关于完善公立医院药品集中采购工作的指导意见》(国办发</w:t>
      </w:r>
      <w:r>
        <w:rPr>
          <w:rFonts w:hint="eastAsia" w:ascii="仿宋_GB2312" w:hAnsi="宋体" w:eastAsia="仿宋_GB2312"/>
          <w:color w:val="0D1E0F" w:themeColor="background1" w:themeShade="1A"/>
          <w:sz w:val="28"/>
          <w:szCs w:val="28"/>
        </w:rPr>
        <w:t>〔2015〕</w:t>
      </w:r>
      <w:r>
        <w:rPr>
          <w:rFonts w:ascii="仿宋_GB2312" w:hAnsi="宋体" w:eastAsia="仿宋_GB2312"/>
          <w:color w:val="0D1E0F" w:themeColor="background1" w:themeShade="1A"/>
          <w:sz w:val="28"/>
          <w:szCs w:val="28"/>
        </w:rPr>
        <w:t>7号)、《国家卫生计生委关于落实完善公立医院药品集中采购工作指导意见的通知》(国卫药政发</w:t>
      </w:r>
      <w:r>
        <w:rPr>
          <w:rFonts w:hint="eastAsia" w:ascii="仿宋_GB2312" w:hAnsi="宋体" w:eastAsia="仿宋_GB2312"/>
          <w:color w:val="0D1E0F" w:themeColor="background1" w:themeShade="1A"/>
          <w:sz w:val="28"/>
          <w:szCs w:val="28"/>
        </w:rPr>
        <w:t>〔2015〕</w:t>
      </w:r>
      <w:r>
        <w:rPr>
          <w:rFonts w:ascii="仿宋_GB2312" w:hAnsi="宋体" w:eastAsia="仿宋_GB2312"/>
          <w:color w:val="0D1E0F" w:themeColor="background1" w:themeShade="1A"/>
          <w:sz w:val="28"/>
          <w:szCs w:val="28"/>
        </w:rPr>
        <w:t>70号)</w:t>
      </w:r>
      <w:r>
        <w:rPr>
          <w:rFonts w:hint="eastAsia" w:ascii="仿宋_GB2312" w:hAnsi="宋体" w:eastAsia="仿宋_GB2312"/>
          <w:color w:val="0D1E0F" w:themeColor="background1" w:themeShade="1A"/>
          <w:sz w:val="28"/>
          <w:szCs w:val="28"/>
        </w:rPr>
        <w:t>、《国务院办公厅关于进一步改革完善药品生产流通使用政策的若干意见》（国办发〔</w:t>
      </w:r>
      <w:r>
        <w:rPr>
          <w:rFonts w:ascii="仿宋_GB2312" w:hAnsi="宋体" w:eastAsia="仿宋_GB2312"/>
          <w:color w:val="0D1E0F" w:themeColor="background1" w:themeShade="1A"/>
          <w:sz w:val="28"/>
          <w:szCs w:val="28"/>
        </w:rPr>
        <w:t>2017</w:t>
      </w:r>
      <w:r>
        <w:rPr>
          <w:rFonts w:hint="eastAsia" w:ascii="仿宋_GB2312" w:hAnsi="宋体" w:eastAsia="仿宋_GB2312"/>
          <w:color w:val="0D1E0F" w:themeColor="background1" w:themeShade="1A"/>
          <w:sz w:val="28"/>
          <w:szCs w:val="28"/>
        </w:rPr>
        <w:t>〕</w:t>
      </w:r>
      <w:r>
        <w:rPr>
          <w:rFonts w:ascii="仿宋_GB2312" w:hAnsi="宋体" w:eastAsia="仿宋_GB2312"/>
          <w:color w:val="0D1E0F" w:themeColor="background1" w:themeShade="1A"/>
          <w:sz w:val="28"/>
          <w:szCs w:val="28"/>
        </w:rPr>
        <w:t>13</w:t>
      </w:r>
      <w:r>
        <w:rPr>
          <w:rFonts w:hint="eastAsia" w:ascii="仿宋_GB2312" w:hAnsi="宋体" w:eastAsia="仿宋_GB2312"/>
          <w:color w:val="0D1E0F" w:themeColor="background1" w:themeShade="1A"/>
          <w:sz w:val="28"/>
          <w:szCs w:val="28"/>
        </w:rPr>
        <w:t>号）</w:t>
      </w:r>
      <w:r>
        <w:rPr>
          <w:rFonts w:ascii="仿宋_GB2312" w:hAnsi="宋体" w:eastAsia="仿宋_GB2312"/>
          <w:color w:val="0D1E0F" w:themeColor="background1" w:themeShade="1A"/>
          <w:sz w:val="28"/>
          <w:szCs w:val="28"/>
        </w:rPr>
        <w:t>等相关规定，</w:t>
      </w:r>
      <w:r>
        <w:rPr>
          <w:rFonts w:hint="eastAsia" w:ascii="仿宋_GB2312" w:hAnsi="宋体" w:eastAsia="仿宋_GB2312"/>
          <w:color w:val="0D1E0F" w:themeColor="background1" w:themeShade="1A"/>
          <w:sz w:val="28"/>
          <w:szCs w:val="28"/>
        </w:rPr>
        <w:t>为确保药品网上交易的顺利进行，明确交易双方的权利和义务，特订立本合同。</w:t>
      </w:r>
    </w:p>
    <w:p>
      <w:pPr>
        <w:spacing w:line="500" w:lineRule="exact"/>
        <w:ind w:firstLine="562" w:firstLineChars="200"/>
        <w:rPr>
          <w:rFonts w:ascii="仿宋_GB2312" w:hAnsi="宋体" w:eastAsia="仿宋_GB2312"/>
          <w:color w:val="0D1E0F" w:themeColor="background1" w:themeShade="1A"/>
          <w:sz w:val="28"/>
          <w:szCs w:val="28"/>
        </w:rPr>
      </w:pPr>
      <w:r>
        <w:rPr>
          <w:rFonts w:hint="eastAsia" w:ascii="仿宋_GB2312" w:hAnsi="宋体" w:eastAsia="仿宋_GB2312"/>
          <w:b/>
          <w:color w:val="0D1E0F" w:themeColor="background1" w:themeShade="1A"/>
          <w:sz w:val="28"/>
          <w:szCs w:val="28"/>
        </w:rPr>
        <w:t>第一条</w:t>
      </w:r>
      <w:r>
        <w:rPr>
          <w:rFonts w:hint="eastAsia" w:ascii="仿宋_GB2312" w:hAnsi="宋体" w:eastAsia="仿宋_GB2312"/>
          <w:color w:val="0D1E0F" w:themeColor="background1" w:themeShade="1A"/>
          <w:sz w:val="28"/>
          <w:szCs w:val="28"/>
        </w:rPr>
        <w:t xml:space="preserve">  甲方须</w:t>
      </w:r>
      <w:r>
        <w:rPr>
          <w:rFonts w:ascii="仿宋_GB2312" w:hAnsi="宋体" w:eastAsia="仿宋_GB2312"/>
          <w:color w:val="0D1E0F" w:themeColor="background1" w:themeShade="1A"/>
          <w:sz w:val="28"/>
          <w:szCs w:val="28"/>
        </w:rPr>
        <w:t>坚持以</w:t>
      </w:r>
      <w:r>
        <w:rPr>
          <w:rFonts w:hint="eastAsia" w:ascii="仿宋_GB2312" w:hAnsi="宋体" w:eastAsia="仿宋_GB2312"/>
          <w:color w:val="0D1E0F" w:themeColor="background1" w:themeShade="1A"/>
          <w:sz w:val="28"/>
          <w:szCs w:val="28"/>
        </w:rPr>
        <w:t>临床</w:t>
      </w:r>
      <w:r>
        <w:rPr>
          <w:rFonts w:ascii="仿宋_GB2312" w:hAnsi="宋体" w:eastAsia="仿宋_GB2312"/>
          <w:color w:val="0D1E0F" w:themeColor="background1" w:themeShade="1A"/>
          <w:sz w:val="28"/>
          <w:szCs w:val="28"/>
        </w:rPr>
        <w:t>用药需求为导向，突出药品治病救人的本质特征，</w:t>
      </w:r>
      <w:r>
        <w:rPr>
          <w:rFonts w:hint="eastAsia" w:ascii="仿宋_GB2312" w:hAnsi="宋体" w:eastAsia="仿宋_GB2312"/>
          <w:color w:val="0D1E0F" w:themeColor="background1" w:themeShade="1A"/>
          <w:sz w:val="28"/>
          <w:szCs w:val="28"/>
        </w:rPr>
        <w:t>在自治区药械集中采购网平台（以下简称“平台”，</w:t>
      </w:r>
      <w:r>
        <w:fldChar w:fldCharType="begin"/>
      </w:r>
      <w:r>
        <w:instrText xml:space="preserve"> HYPERLINK "http://zhh.emedchine.net/" </w:instrText>
      </w:r>
      <w:r>
        <w:fldChar w:fldCharType="separate"/>
      </w:r>
      <w:r>
        <w:rPr>
          <w:rFonts w:ascii="Times New Roman" w:hAnsi="Times New Roman" w:eastAsia="仿宋_GB2312" w:cs="Times New Roman"/>
          <w:color w:val="0D1E0F" w:themeColor="background1" w:themeShade="1A"/>
          <w:sz w:val="28"/>
          <w:szCs w:val="28"/>
        </w:rPr>
        <w:t>http://www.gxyxzb.gov.cn</w:t>
      </w:r>
      <w:r>
        <w:rPr>
          <w:rFonts w:ascii="Times New Roman" w:hAnsi="Times New Roman" w:eastAsia="仿宋_GB2312" w:cs="Times New Roman"/>
          <w:color w:val="0D1E0F" w:themeColor="background1" w:themeShade="1A"/>
          <w:sz w:val="28"/>
          <w:szCs w:val="28"/>
        </w:rPr>
        <w:fldChar w:fldCharType="end"/>
      </w:r>
      <w:r>
        <w:rPr>
          <w:rFonts w:hint="eastAsia" w:ascii="仿宋_GB2312" w:hAnsi="宋体" w:eastAsia="仿宋_GB2312"/>
          <w:color w:val="0D1E0F" w:themeColor="background1" w:themeShade="1A"/>
          <w:sz w:val="28"/>
          <w:szCs w:val="28"/>
        </w:rPr>
        <w:t>/）采购公布的招标采购入围、直接挂网议价入围、国家谈判和定点生产的品种。</w:t>
      </w:r>
    </w:p>
    <w:p>
      <w:pPr>
        <w:spacing w:line="500" w:lineRule="exact"/>
        <w:ind w:firstLine="562" w:firstLineChars="200"/>
        <w:rPr>
          <w:rFonts w:ascii="仿宋_GB2312" w:hAnsi="宋体" w:eastAsia="仿宋_GB2312" w:cs="宋体"/>
          <w:color w:val="0D1E0F" w:themeColor="background1" w:themeShade="1A"/>
          <w:sz w:val="28"/>
          <w:szCs w:val="28"/>
          <w:lang w:val="zh-CN"/>
        </w:rPr>
      </w:pPr>
      <w:r>
        <w:rPr>
          <w:rFonts w:hint="eastAsia" w:ascii="仿宋_GB2312" w:hAnsi="宋体" w:eastAsia="仿宋_GB2312"/>
          <w:b/>
          <w:color w:val="0D1E0F" w:themeColor="background1" w:themeShade="1A"/>
          <w:sz w:val="28"/>
          <w:szCs w:val="28"/>
        </w:rPr>
        <w:t>第二条</w:t>
      </w:r>
      <w:r>
        <w:rPr>
          <w:rFonts w:hint="eastAsia" w:ascii="仿宋_GB2312" w:hAnsi="宋体" w:eastAsia="仿宋_GB2312"/>
          <w:color w:val="0D1E0F" w:themeColor="background1" w:themeShade="1A"/>
          <w:sz w:val="28"/>
          <w:szCs w:val="28"/>
        </w:rPr>
        <w:t xml:space="preserve">  乙方按药品购销合同向甲方供应药品（采购药品明细见附表）。应保证甲方在使用药品时免受第三方提出的有关专利权、商标权或保护期等方面的权利要求。所供应药品的质量应符合国家药品相关标准，药品</w:t>
      </w:r>
      <w:r>
        <w:rPr>
          <w:rFonts w:hint="eastAsia" w:ascii="仿宋_GB2312" w:hAnsi="宋体" w:eastAsia="仿宋_GB2312" w:cs="宋体"/>
          <w:color w:val="0D1E0F" w:themeColor="background1" w:themeShade="1A"/>
          <w:sz w:val="28"/>
          <w:szCs w:val="28"/>
          <w:lang w:val="zh-CN"/>
        </w:rPr>
        <w:t>质量、规格、包装须</w:t>
      </w:r>
      <w:r>
        <w:rPr>
          <w:rFonts w:hint="eastAsia" w:ascii="仿宋_GB2312" w:hAnsi="宋体" w:eastAsia="仿宋_GB2312"/>
          <w:color w:val="0D1E0F" w:themeColor="background1" w:themeShade="1A"/>
          <w:sz w:val="28"/>
          <w:szCs w:val="28"/>
        </w:rPr>
        <w:t>与招标</w:t>
      </w:r>
      <w:r>
        <w:rPr>
          <w:rFonts w:ascii="仿宋_GB2312" w:hAnsi="宋体" w:eastAsia="仿宋_GB2312"/>
          <w:color w:val="0D1E0F" w:themeColor="background1" w:themeShade="1A"/>
          <w:sz w:val="28"/>
          <w:szCs w:val="28"/>
        </w:rPr>
        <w:t>采购</w:t>
      </w:r>
      <w:r>
        <w:rPr>
          <w:rFonts w:hint="eastAsia" w:ascii="仿宋_GB2312" w:hAnsi="宋体" w:eastAsia="仿宋_GB2312"/>
          <w:color w:val="0D1E0F" w:themeColor="background1" w:themeShade="1A"/>
          <w:sz w:val="28"/>
          <w:szCs w:val="28"/>
        </w:rPr>
        <w:t>和直</w:t>
      </w:r>
      <w:r>
        <w:rPr>
          <w:rFonts w:ascii="仿宋_GB2312" w:hAnsi="宋体" w:eastAsia="仿宋_GB2312"/>
          <w:color w:val="0D1E0F" w:themeColor="background1" w:themeShade="1A"/>
          <w:sz w:val="28"/>
          <w:szCs w:val="28"/>
        </w:rPr>
        <w:t>接</w:t>
      </w:r>
      <w:r>
        <w:rPr>
          <w:rFonts w:hint="eastAsia" w:ascii="仿宋_GB2312" w:hAnsi="宋体" w:eastAsia="仿宋_GB2312"/>
          <w:color w:val="0D1E0F" w:themeColor="background1" w:themeShade="1A"/>
          <w:sz w:val="28"/>
          <w:szCs w:val="28"/>
        </w:rPr>
        <w:t>挂网议价入围品种的</w:t>
      </w:r>
      <w:r>
        <w:rPr>
          <w:rFonts w:hint="eastAsia" w:ascii="仿宋_GB2312" w:hAnsi="宋体" w:eastAsia="仿宋_GB2312" w:cs="宋体"/>
          <w:color w:val="0D1E0F" w:themeColor="background1" w:themeShade="1A"/>
          <w:sz w:val="28"/>
          <w:szCs w:val="28"/>
          <w:lang w:val="zh-CN"/>
        </w:rPr>
        <w:t>信息一致，不得更改。</w:t>
      </w:r>
      <w:r>
        <w:rPr>
          <w:rFonts w:hint="eastAsia" w:ascii="仿宋_GB2312" w:hAnsi="宋体" w:eastAsia="仿宋_GB2312"/>
          <w:color w:val="0D1E0F" w:themeColor="background1" w:themeShade="1A"/>
          <w:sz w:val="28"/>
          <w:szCs w:val="28"/>
        </w:rPr>
        <w:t>甲方与乙方签订的药品购销合同附表（购销药品明细表）、甲方发出的网上批次订单属于药品购销合同的一个组成部分，与采购用户和生产商或药品经营企业直接签订的书面合同具有同等法律效力。</w:t>
      </w:r>
    </w:p>
    <w:p>
      <w:pPr>
        <w:spacing w:line="500" w:lineRule="exact"/>
        <w:ind w:firstLine="562" w:firstLineChars="200"/>
        <w:rPr>
          <w:rFonts w:ascii="仿宋_GB2312" w:hAnsi="宋体" w:eastAsia="仿宋_GB2312"/>
          <w:color w:val="0D1E0F" w:themeColor="background1" w:themeShade="1A"/>
          <w:sz w:val="28"/>
          <w:szCs w:val="28"/>
        </w:rPr>
      </w:pPr>
      <w:r>
        <w:rPr>
          <w:rFonts w:hint="eastAsia" w:ascii="仿宋_GB2312" w:hAnsi="宋体" w:eastAsia="仿宋_GB2312"/>
          <w:b/>
          <w:color w:val="0D1E0F" w:themeColor="background1" w:themeShade="1A"/>
          <w:sz w:val="28"/>
          <w:szCs w:val="28"/>
        </w:rPr>
        <w:t xml:space="preserve">第三条  </w:t>
      </w:r>
      <w:r>
        <w:rPr>
          <w:rFonts w:hint="eastAsia" w:ascii="仿宋_GB2312" w:hAnsi="宋体" w:eastAsia="仿宋_GB2312"/>
          <w:color w:val="0D1E0F" w:themeColor="background1" w:themeShade="1A"/>
          <w:sz w:val="28"/>
          <w:szCs w:val="28"/>
        </w:rPr>
        <w:t>采购价格。根据药品集中采购分类的不同，甲方分别按以下规定进行网上采购：国家谈判药品按国家谈判的药品价格结果进行网上采购；自治区招标采购入围药品按入围目录药品价格进行网上采购；定点生产药品按全国统一采购价格或自治区统一采购价格进行网上采购；直接挂网采购目录药品按议价主体与药品生产企业议定价格网</w:t>
      </w:r>
      <w:r>
        <w:rPr>
          <w:rFonts w:ascii="仿宋_GB2312" w:hAnsi="宋体" w:eastAsia="仿宋_GB2312"/>
          <w:color w:val="0D1E0F" w:themeColor="background1" w:themeShade="1A"/>
          <w:sz w:val="28"/>
          <w:szCs w:val="28"/>
        </w:rPr>
        <w:t>上</w:t>
      </w:r>
      <w:r>
        <w:rPr>
          <w:rFonts w:hint="eastAsia" w:ascii="仿宋_GB2312" w:hAnsi="宋体" w:eastAsia="仿宋_GB2312"/>
          <w:color w:val="0D1E0F" w:themeColor="background1" w:themeShade="1A"/>
          <w:sz w:val="28"/>
          <w:szCs w:val="28"/>
        </w:rPr>
        <w:t>采购。采购价格包含成本、运输、包装、伴随服务、税费及其他一切附加费用。合同履行期间，如遇政策性调价，按平台更新后的价格执行，包括尚未履行交付的药品。</w:t>
      </w:r>
    </w:p>
    <w:p>
      <w:pPr>
        <w:spacing w:line="500" w:lineRule="exact"/>
        <w:ind w:firstLine="557" w:firstLineChars="198"/>
        <w:rPr>
          <w:rFonts w:hAnsi="宋体" w:cs="宋体"/>
          <w:color w:val="0D1E0F" w:themeColor="background1" w:themeShade="1A"/>
          <w:kern w:val="0"/>
          <w:sz w:val="28"/>
          <w:szCs w:val="28"/>
        </w:rPr>
      </w:pPr>
      <w:r>
        <w:rPr>
          <w:rFonts w:hint="eastAsia" w:ascii="仿宋_GB2312" w:hAnsi="宋体" w:eastAsia="仿宋_GB2312"/>
          <w:b/>
          <w:color w:val="0D1E0F" w:themeColor="background1" w:themeShade="1A"/>
          <w:sz w:val="28"/>
          <w:szCs w:val="28"/>
        </w:rPr>
        <w:t xml:space="preserve">第四条  </w:t>
      </w:r>
      <w:r>
        <w:rPr>
          <w:rFonts w:hint="eastAsia" w:ascii="仿宋_GB2312" w:hAnsi="宋体" w:eastAsia="仿宋_GB2312" w:cs="宋体"/>
          <w:color w:val="0D1E0F" w:themeColor="background1" w:themeShade="1A"/>
          <w:kern w:val="0"/>
          <w:sz w:val="28"/>
          <w:szCs w:val="28"/>
        </w:rPr>
        <w:t>配送及供货期限。甲方有权要求乙方按时足量地进行配送供货。乙方应自收到甲方订单通知起配送供货，急救、急用（特殊订单或紧急订单）药品原则上4小时内送达，一般药品（普通订单）24小时内送达。不能一次完成订单配送的，剩余部分须在7天内（含第一次配送时间）完成配送。乙方</w:t>
      </w:r>
      <w:r>
        <w:rPr>
          <w:rFonts w:ascii="仿宋_GB2312" w:hAnsi="宋体" w:eastAsia="仿宋_GB2312" w:cs="宋体"/>
          <w:color w:val="0D1E0F" w:themeColor="background1" w:themeShade="1A"/>
          <w:kern w:val="0"/>
          <w:sz w:val="28"/>
          <w:szCs w:val="28"/>
        </w:rPr>
        <w:t>未能按时确认订单或配送药品至交货地点，应及时说明理由，</w:t>
      </w:r>
      <w:r>
        <w:rPr>
          <w:rFonts w:hint="eastAsia" w:ascii="仿宋_GB2312" w:hAnsi="宋体" w:eastAsia="仿宋_GB2312" w:cs="宋体"/>
          <w:color w:val="0D1E0F" w:themeColor="background1" w:themeShade="1A"/>
          <w:kern w:val="0"/>
          <w:sz w:val="28"/>
          <w:szCs w:val="28"/>
        </w:rPr>
        <w:t>甲方</w:t>
      </w:r>
      <w:r>
        <w:rPr>
          <w:rFonts w:ascii="仿宋_GB2312" w:hAnsi="宋体" w:eastAsia="仿宋_GB2312" w:cs="宋体"/>
          <w:color w:val="0D1E0F" w:themeColor="background1" w:themeShade="1A"/>
          <w:kern w:val="0"/>
          <w:sz w:val="28"/>
          <w:szCs w:val="28"/>
        </w:rPr>
        <w:t>核实情况后，确定是否酌情延长交货时间、临时调换货或终止合同。</w:t>
      </w:r>
      <w:r>
        <w:rPr>
          <w:rFonts w:hint="eastAsia" w:ascii="仿宋_GB2312" w:hAnsi="宋体" w:eastAsia="仿宋_GB2312" w:cs="宋体"/>
          <w:color w:val="0D1E0F" w:themeColor="background1" w:themeShade="1A"/>
          <w:kern w:val="0"/>
          <w:sz w:val="28"/>
          <w:szCs w:val="28"/>
        </w:rPr>
        <w:t>甲方有权根据</w:t>
      </w:r>
      <w:r>
        <w:rPr>
          <w:rFonts w:ascii="仿宋_GB2312" w:hAnsi="宋体" w:eastAsia="仿宋_GB2312" w:cs="宋体"/>
          <w:color w:val="0D1E0F" w:themeColor="background1" w:themeShade="1A"/>
          <w:kern w:val="0"/>
          <w:sz w:val="28"/>
          <w:szCs w:val="28"/>
        </w:rPr>
        <w:t>药品临床使用情况，结合自身采购配送实际，设置药品使用警戒线，药品使用达到预警值后，与</w:t>
      </w:r>
      <w:r>
        <w:rPr>
          <w:rFonts w:hint="eastAsia" w:ascii="仿宋_GB2312" w:hAnsi="宋体" w:eastAsia="仿宋_GB2312" w:cs="宋体"/>
          <w:color w:val="0D1E0F" w:themeColor="background1" w:themeShade="1A"/>
          <w:kern w:val="0"/>
          <w:sz w:val="28"/>
          <w:szCs w:val="28"/>
        </w:rPr>
        <w:t>乙方</w:t>
      </w:r>
      <w:r>
        <w:rPr>
          <w:rFonts w:ascii="仿宋_GB2312" w:hAnsi="宋体" w:eastAsia="仿宋_GB2312" w:cs="宋体"/>
          <w:color w:val="0D1E0F" w:themeColor="background1" w:themeShade="1A"/>
          <w:kern w:val="0"/>
          <w:sz w:val="28"/>
          <w:szCs w:val="28"/>
        </w:rPr>
        <w:t>协商约定优先配送的条款，满足临床用药需求</w:t>
      </w:r>
      <w:r>
        <w:rPr>
          <w:rFonts w:hint="eastAsia" w:ascii="仿宋_GB2312" w:hAnsi="宋体" w:eastAsia="仿宋_GB2312" w:cs="宋体"/>
          <w:color w:val="0D1E0F" w:themeColor="background1" w:themeShade="1A"/>
          <w:kern w:val="0"/>
          <w:sz w:val="28"/>
          <w:szCs w:val="28"/>
        </w:rPr>
        <w:t>，乙方应当予以配合。</w:t>
      </w:r>
    </w:p>
    <w:p>
      <w:pPr>
        <w:snapToGrid w:val="0"/>
        <w:spacing w:line="500" w:lineRule="exact"/>
        <w:ind w:firstLine="562" w:firstLineChars="200"/>
        <w:rPr>
          <w:rFonts w:ascii="仿宋_GB2312" w:hAnsi="宋体" w:eastAsia="仿宋_GB2312" w:cs="宋体"/>
          <w:color w:val="0D1E0F" w:themeColor="background1" w:themeShade="1A"/>
          <w:kern w:val="0"/>
          <w:sz w:val="28"/>
          <w:szCs w:val="28"/>
        </w:rPr>
      </w:pPr>
      <w:r>
        <w:rPr>
          <w:rFonts w:hint="eastAsia" w:ascii="仿宋_GB2312" w:hAnsi="宋体" w:eastAsia="仿宋_GB2312"/>
          <w:b/>
          <w:color w:val="0D1E0F" w:themeColor="background1" w:themeShade="1A"/>
          <w:sz w:val="28"/>
          <w:szCs w:val="28"/>
        </w:rPr>
        <w:t xml:space="preserve">第五条  </w:t>
      </w:r>
      <w:r>
        <w:rPr>
          <w:rFonts w:hint="eastAsia" w:ascii="仿宋_GB2312" w:hAnsi="宋体" w:eastAsia="仿宋_GB2312" w:cs="宋体"/>
          <w:color w:val="0D1E0F" w:themeColor="background1" w:themeShade="1A"/>
          <w:kern w:val="0"/>
          <w:sz w:val="28"/>
          <w:szCs w:val="28"/>
        </w:rPr>
        <w:t>药品验收及退换货。</w:t>
      </w:r>
    </w:p>
    <w:p>
      <w:pPr>
        <w:snapToGrid w:val="0"/>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（一）甲方按照</w:t>
      </w:r>
      <w:r>
        <w:rPr>
          <w:rFonts w:ascii="仿宋_GB2312" w:hAnsi="宋体" w:eastAsia="仿宋_GB2312"/>
          <w:color w:val="0D1E0F" w:themeColor="background1" w:themeShade="1A"/>
          <w:sz w:val="28"/>
          <w:szCs w:val="28"/>
        </w:rPr>
        <w:t>《中华人民共和国药品管理法》</w:t>
      </w:r>
      <w:r>
        <w:rPr>
          <w:rFonts w:hint="eastAsia" w:ascii="仿宋_GB2312" w:hAnsi="宋体" w:eastAsia="仿宋_GB2312"/>
          <w:color w:val="0D1E0F" w:themeColor="background1" w:themeShade="1A"/>
          <w:sz w:val="28"/>
          <w:szCs w:val="28"/>
        </w:rPr>
        <w:t>相关的验收制度和“两票制”（指药品生产企业到流通企业开一次发票，流通企业到医疗机构开一次发票。）有关规定在甲方药库，对乙方药品予以验收，建立真实、完整的药品购进记录，并按照“两票制”规定，将相关票据留存备查；同时查验乙方依法必须具备的营业执照、药品生产/经营许可证、药品生产批件、GMP、GSP等证件，对不符合质量、有效期、包装和订单数量要求、证书无效或者证书不全的药品，甲方有权拒绝接收，乙方应当及时予以退换。如确认需要进行药品质量检验，甲方应及时以书面形式把质量检验的具体要求通知乙方。如发现药品存在质量问题，甲方可暂时封存，并通知乙方采取有效的补救措施。因验收不严、使用、保管、保养不善等自身原因造成产品失效或质量下降的，后果由甲</w:t>
      </w:r>
      <w:r>
        <w:rPr>
          <w:rFonts w:ascii="仿宋_GB2312" w:hAnsi="宋体" w:eastAsia="仿宋_GB2312"/>
          <w:color w:val="0D1E0F" w:themeColor="background1" w:themeShade="1A"/>
          <w:sz w:val="28"/>
          <w:szCs w:val="28"/>
        </w:rPr>
        <w:t>方</w:t>
      </w:r>
      <w:r>
        <w:rPr>
          <w:rFonts w:hint="eastAsia" w:ascii="仿宋_GB2312" w:hAnsi="宋体" w:eastAsia="仿宋_GB2312"/>
          <w:color w:val="0D1E0F" w:themeColor="background1" w:themeShade="1A"/>
          <w:sz w:val="28"/>
          <w:szCs w:val="28"/>
        </w:rPr>
        <w:t>自负。</w:t>
      </w:r>
    </w:p>
    <w:p>
      <w:pPr>
        <w:snapToGrid w:val="0"/>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二）乙方按合同交付的药品质量应符合药典或国家食品药品监督管理部门规定的标准，并与货源保证书承诺的质量相一致，以确保临床用药安全有效。乙方有义务向甲方提供依法必须具备的营业执照、药品生产/经营许可证、药品生产批件、GMP、GSP等证件供查验。乙方应及时更换被甲方拒绝的药品,不得影响甲方的临床用药。采购周期内遇到药监部门抽查甲方的药品，其抽查数量由乙方补齐，对存在问题的药品所产生的查封、没收、罚款等，由乙方承担责任。乙方按甲方要求提供相应的药检报告书，并将药品送到甲方指定地点进行检验。</w:t>
      </w:r>
    </w:p>
    <w:p>
      <w:pPr>
        <w:snapToGrid w:val="0"/>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（三）乙方所提供的药品有效期限不得少于整个药品有效期的2/3。</w:t>
      </w:r>
    </w:p>
    <w:p>
      <w:pPr>
        <w:spacing w:line="500" w:lineRule="exact"/>
        <w:ind w:firstLine="560" w:firstLineChars="200"/>
        <w:rPr>
          <w:rFonts w:ascii="仿宋_GB2312" w:hAnsi="宋体" w:eastAsia="仿宋_GB2312"/>
          <w:b/>
          <w:color w:val="0D1E0F" w:themeColor="background1" w:themeShade="1A"/>
          <w:sz w:val="28"/>
          <w:szCs w:val="28"/>
        </w:rPr>
      </w:pPr>
      <w:r>
        <w:rPr>
          <w:rFonts w:hint="eastAsia" w:ascii="仿宋_GB2312" w:hAnsi="宋体" w:eastAsia="仿宋_GB2312"/>
          <w:color w:val="0D1E0F" w:themeColor="background1" w:themeShade="1A"/>
          <w:sz w:val="28"/>
          <w:szCs w:val="28"/>
        </w:rPr>
        <w:t>（四）乙方应接受存在质量问题药品的退货，并负责自行到各医疗机构收回所退药品，同时登录平台确认退货。甲方记录并留存退货单据备查。</w:t>
      </w:r>
    </w:p>
    <w:p>
      <w:pPr>
        <w:spacing w:line="500" w:lineRule="exact"/>
        <w:ind w:firstLine="560" w:firstLineChars="200"/>
        <w:rPr>
          <w:rFonts w:ascii="仿宋_GB2312" w:hAnsi="宋体" w:eastAsia="仿宋_GB2312"/>
          <w:b/>
          <w:color w:val="0D1E0F" w:themeColor="background1" w:themeShade="1A"/>
          <w:sz w:val="28"/>
          <w:szCs w:val="28"/>
        </w:rPr>
      </w:pPr>
      <w:r>
        <w:rPr>
          <w:rFonts w:hint="eastAsia" w:ascii="仿宋_GB2312" w:hAnsi="宋体" w:eastAsia="仿宋_GB2312"/>
          <w:color w:val="0D1E0F" w:themeColor="background1" w:themeShade="1A"/>
          <w:sz w:val="28"/>
          <w:szCs w:val="28"/>
        </w:rPr>
        <w:t>（五）对于上述退货药款，甲方与乙方尚有未结款的，可在双方结算时直接从未结款中扣除；如双方不存在未结款项，乙方应在退货后30个工作日内将退货药款返还给甲方。</w:t>
      </w:r>
    </w:p>
    <w:p>
      <w:pPr>
        <w:spacing w:line="500" w:lineRule="exact"/>
        <w:ind w:firstLine="562" w:firstLineChars="200"/>
        <w:rPr>
          <w:rFonts w:ascii="仿宋_GB2312" w:hAnsi="宋体" w:eastAsia="仿宋_GB2312"/>
          <w:color w:val="0D1E0F" w:themeColor="background1" w:themeShade="1A"/>
          <w:sz w:val="28"/>
          <w:szCs w:val="28"/>
        </w:rPr>
      </w:pPr>
      <w:r>
        <w:rPr>
          <w:rFonts w:hint="eastAsia" w:ascii="仿宋_GB2312" w:hAnsi="宋体" w:eastAsia="仿宋_GB2312"/>
          <w:b/>
          <w:color w:val="0D1E0F" w:themeColor="background1" w:themeShade="1A"/>
          <w:sz w:val="28"/>
          <w:szCs w:val="28"/>
        </w:rPr>
        <w:t xml:space="preserve">第六条  </w:t>
      </w:r>
      <w:r>
        <w:rPr>
          <w:rFonts w:hint="eastAsia" w:ascii="仿宋_GB2312" w:hAnsi="宋体" w:eastAsia="仿宋_GB2312"/>
          <w:color w:val="0D1E0F" w:themeColor="background1" w:themeShade="1A"/>
          <w:sz w:val="28"/>
          <w:szCs w:val="28"/>
        </w:rPr>
        <w:t>伴随服务。乙方可被要求提供下列服务中的一项或全部服务：</w:t>
      </w:r>
    </w:p>
    <w:p>
      <w:pPr>
        <w:snapToGrid w:val="0"/>
        <w:spacing w:line="500" w:lineRule="exact"/>
        <w:ind w:firstLine="54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（一）药品的现场搬运或入库。</w:t>
      </w:r>
    </w:p>
    <w:p>
      <w:pPr>
        <w:snapToGrid w:val="0"/>
        <w:spacing w:line="500" w:lineRule="exact"/>
        <w:ind w:firstLine="54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（二）提供药品开箱或分装的用具。</w:t>
      </w:r>
    </w:p>
    <w:p>
      <w:pPr>
        <w:snapToGrid w:val="0"/>
        <w:spacing w:line="500" w:lineRule="exact"/>
        <w:ind w:firstLine="54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（三）对开箱时发现的破损、近效期药品或其他不合格包装药品及时更换。</w:t>
      </w:r>
    </w:p>
    <w:p>
      <w:pPr>
        <w:snapToGrid w:val="0"/>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（四）在甲方指定地点为所供药品的临床应用进行现场讲解或培训。</w:t>
      </w:r>
    </w:p>
    <w:p>
      <w:pPr>
        <w:snapToGrid w:val="0"/>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（五）其他乙方应提供的相关服务项目。</w:t>
      </w:r>
    </w:p>
    <w:p>
      <w:pPr>
        <w:spacing w:line="500" w:lineRule="exact"/>
        <w:ind w:firstLine="562" w:firstLineChars="200"/>
        <w:rPr>
          <w:rFonts w:ascii="仿宋_GB2312" w:hAnsi="宋体" w:eastAsia="仿宋_GB2312" w:cs="宋体"/>
          <w:color w:val="0D1E0F" w:themeColor="background1" w:themeShade="1A"/>
          <w:kern w:val="0"/>
          <w:sz w:val="28"/>
          <w:szCs w:val="28"/>
        </w:rPr>
      </w:pPr>
      <w:r>
        <w:rPr>
          <w:rFonts w:hint="eastAsia" w:ascii="仿宋_GB2312" w:hAnsi="宋体" w:eastAsia="仿宋_GB2312"/>
          <w:b/>
          <w:color w:val="0D1E0F" w:themeColor="background1" w:themeShade="1A"/>
          <w:sz w:val="28"/>
          <w:szCs w:val="28"/>
        </w:rPr>
        <w:t xml:space="preserve">第七条  </w:t>
      </w:r>
      <w:r>
        <w:rPr>
          <w:rFonts w:hint="eastAsia" w:ascii="仿宋_GB2312" w:hAnsi="宋体" w:eastAsia="仿宋_GB2312" w:cs="宋体"/>
          <w:color w:val="0D1E0F" w:themeColor="background1" w:themeShade="1A"/>
          <w:kern w:val="0"/>
          <w:sz w:val="28"/>
          <w:szCs w:val="28"/>
        </w:rPr>
        <w:t>货款结算。甲方应将药品收支纳入预算管理，严格按照合同约定的时间支付货款。货款结算方式为</w:t>
      </w:r>
      <w:r>
        <w:rPr>
          <w:rFonts w:hint="eastAsia" w:ascii="仿宋_GB2312" w:hAnsi="宋体" w:eastAsia="仿宋_GB2312" w:cs="宋体"/>
          <w:color w:val="0D1E0F" w:themeColor="background1" w:themeShade="1A"/>
          <w:kern w:val="0"/>
          <w:sz w:val="28"/>
          <w:szCs w:val="28"/>
          <w:u w:val="single"/>
        </w:rPr>
        <w:t xml:space="preserve">          </w:t>
      </w:r>
      <w:r>
        <w:rPr>
          <w:rFonts w:hint="eastAsia" w:ascii="仿宋_GB2312" w:hAnsi="宋体" w:eastAsia="仿宋_GB2312" w:cs="宋体"/>
          <w:color w:val="0D1E0F" w:themeColor="background1" w:themeShade="1A"/>
          <w:kern w:val="0"/>
          <w:sz w:val="28"/>
          <w:szCs w:val="28"/>
        </w:rPr>
        <w:t>，从交货验收合格到付款的时间为</w:t>
      </w:r>
      <w:r>
        <w:rPr>
          <w:rFonts w:hint="eastAsia" w:ascii="仿宋_GB2312" w:hAnsi="宋体" w:eastAsia="仿宋_GB2312" w:cs="宋体"/>
          <w:color w:val="0D1E0F" w:themeColor="background1" w:themeShade="1A"/>
          <w:kern w:val="0"/>
          <w:sz w:val="28"/>
          <w:szCs w:val="28"/>
          <w:u w:val="single"/>
        </w:rPr>
        <w:t xml:space="preserve">        </w:t>
      </w:r>
      <w:r>
        <w:rPr>
          <w:rFonts w:hint="eastAsia" w:ascii="仿宋_GB2312" w:hAnsi="宋体" w:eastAsia="仿宋_GB2312" w:cs="宋体"/>
          <w:color w:val="0D1E0F" w:themeColor="background1" w:themeShade="1A"/>
          <w:kern w:val="0"/>
          <w:sz w:val="28"/>
          <w:szCs w:val="28"/>
        </w:rPr>
        <w:t>天。</w:t>
      </w:r>
    </w:p>
    <w:p>
      <w:pPr>
        <w:spacing w:line="500" w:lineRule="exact"/>
        <w:rPr>
          <w:rFonts w:ascii="仿宋_GB2312" w:hAnsi="宋体" w:eastAsia="仿宋_GB2312"/>
          <w:color w:val="0D1E0F" w:themeColor="background1" w:themeShade="1A"/>
          <w:sz w:val="28"/>
          <w:szCs w:val="28"/>
        </w:rPr>
      </w:pPr>
      <w:r>
        <w:rPr>
          <w:rFonts w:hint="eastAsia" w:ascii="仿宋_GB2312" w:hAnsi="宋体" w:eastAsia="仿宋_GB2312"/>
          <w:b/>
          <w:color w:val="0D1E0F" w:themeColor="background1" w:themeShade="1A"/>
          <w:sz w:val="28"/>
          <w:szCs w:val="28"/>
        </w:rPr>
        <w:t xml:space="preserve">    第八条</w:t>
      </w:r>
      <w:r>
        <w:rPr>
          <w:rFonts w:hint="eastAsia" w:ascii="仿宋_GB2312" w:hAnsi="宋体" w:eastAsia="仿宋_GB2312"/>
          <w:color w:val="0D1E0F" w:themeColor="background1" w:themeShade="1A"/>
          <w:sz w:val="28"/>
          <w:szCs w:val="28"/>
        </w:rPr>
        <w:t>甲方履约责任。</w:t>
      </w:r>
    </w:p>
    <w:p>
      <w:pPr>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一）甲乙双方在执行本合同时，应严格遵守国家相关法律、法规和药品集中采购有关规定，自觉接受监督管理。因一方违犯国家相关法规而给对方造成不良后果及损失的，有过错方承担赔偿责任；双方都有过错的，各自承担相应的责任。</w:t>
      </w:r>
    </w:p>
    <w:p>
      <w:pPr>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（二）甲方必须按</w:t>
      </w:r>
      <w:r>
        <w:rPr>
          <w:rFonts w:ascii="仿宋_GB2312" w:hAnsi="宋体" w:eastAsia="仿宋_GB2312"/>
          <w:color w:val="0D1E0F" w:themeColor="background1" w:themeShade="1A"/>
          <w:sz w:val="28"/>
          <w:szCs w:val="28"/>
        </w:rPr>
        <w:t>合同约定</w:t>
      </w:r>
      <w:r>
        <w:rPr>
          <w:rFonts w:hint="eastAsia" w:ascii="仿宋_GB2312" w:hAnsi="宋体" w:eastAsia="仿宋_GB2312"/>
          <w:color w:val="0D1E0F" w:themeColor="background1" w:themeShade="1A"/>
          <w:sz w:val="28"/>
          <w:szCs w:val="28"/>
        </w:rPr>
        <w:t>采购本合同项下的药品，不得无正当理由终止合同。</w:t>
      </w:r>
    </w:p>
    <w:p>
      <w:pPr>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（三）甲方应根据临床需求完成药品采购合同。</w:t>
      </w:r>
    </w:p>
    <w:p>
      <w:pPr>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（四）甲方须按照合同规定及时结算货款。</w:t>
      </w:r>
    </w:p>
    <w:p>
      <w:pPr>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（五）甲方必须要求乙方按实际采购价格如实开具发票，并如实记帐。按“两票制”要求索要、查验、核对票据，并留存票据备查。</w:t>
      </w:r>
    </w:p>
    <w:p>
      <w:pPr>
        <w:snapToGrid w:val="0"/>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（六）甲方不得以任何理由向乙方提出除合同项以外的集体或个人利益。</w:t>
      </w:r>
    </w:p>
    <w:p>
      <w:pPr>
        <w:snapToGrid w:val="0"/>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（七）甲方不得以任何理由向乙方索要任何名义的赞助或捐赠。</w:t>
      </w:r>
    </w:p>
    <w:p>
      <w:pPr>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（八）在合同执行过程中，对乙方的违法违纪行为应及时检举举报。</w:t>
      </w:r>
    </w:p>
    <w:p>
      <w:pPr>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（九）法律、法规的其他相关规定。</w:t>
      </w:r>
    </w:p>
    <w:p>
      <w:pPr>
        <w:snapToGrid w:val="0"/>
        <w:spacing w:line="500" w:lineRule="exact"/>
        <w:ind w:firstLine="562" w:firstLineChars="200"/>
        <w:rPr>
          <w:rFonts w:ascii="仿宋_GB2312" w:hAnsi="宋体" w:eastAsia="仿宋_GB2312"/>
          <w:color w:val="0D1E0F" w:themeColor="background1" w:themeShade="1A"/>
          <w:sz w:val="28"/>
          <w:szCs w:val="28"/>
        </w:rPr>
      </w:pPr>
      <w:r>
        <w:rPr>
          <w:rFonts w:hint="eastAsia" w:ascii="仿宋_GB2312" w:hAnsi="宋体" w:eastAsia="仿宋_GB2312"/>
          <w:b/>
          <w:color w:val="0D1E0F" w:themeColor="background1" w:themeShade="1A"/>
          <w:sz w:val="28"/>
          <w:szCs w:val="28"/>
        </w:rPr>
        <w:t xml:space="preserve">第九条  </w:t>
      </w:r>
      <w:r>
        <w:rPr>
          <w:rFonts w:hint="eastAsia" w:ascii="仿宋_GB2312" w:hAnsi="宋体" w:eastAsia="仿宋_GB2312"/>
          <w:color w:val="0D1E0F" w:themeColor="background1" w:themeShade="1A"/>
          <w:sz w:val="28"/>
          <w:szCs w:val="28"/>
        </w:rPr>
        <w:t>乙方履约责任。</w:t>
      </w:r>
    </w:p>
    <w:p>
      <w:pPr>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（一）乙方应保证有足够的备货数量，以免产生缺货现象。并且按购销合同签订采购的药品向甲方供应药品。</w:t>
      </w:r>
    </w:p>
    <w:p>
      <w:pPr>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二）乙方须按“两票制”规定，通过增值税发票管理新系统使用商品和服务税收分类编码开具增值税专用发票、增值税普通发票或增值税电子普通发票（以下统称增值税发票），发票上应列明销售药品的通用名称（剂型）、规格、单位、数量、单价、金额等，中标药品应注明中标流水号</w:t>
      </w:r>
      <w:r>
        <w:rPr>
          <w:rFonts w:ascii="仿宋_GB2312" w:hAnsi="宋体" w:eastAsia="仿宋_GB2312"/>
          <w:color w:val="0D1E0F" w:themeColor="background1" w:themeShade="1A"/>
          <w:sz w:val="28"/>
          <w:szCs w:val="28"/>
        </w:rPr>
        <w:t>,</w:t>
      </w:r>
      <w:r>
        <w:rPr>
          <w:rFonts w:hint="eastAsia" w:ascii="仿宋_GB2312" w:hAnsi="宋体" w:eastAsia="仿宋_GB2312"/>
          <w:color w:val="0D1E0F" w:themeColor="background1" w:themeShade="1A"/>
          <w:sz w:val="28"/>
          <w:szCs w:val="28"/>
        </w:rPr>
        <w:t>不能列全的，应当附《销售货物或者提供应税劳务清单》（以下简称清单），并加盖供货企业发票专用章，所销售药品还应附销售出库单，包括通用名称、剂型、规格（型号）、批号、有效期、生产厂商、购货单位、出库数量、销售日期、出库日期和销售金额等，增值税发票（包括清单，下同）的购、销方名称应当与销售出库单、付款流向一致、金额一致。对增值税发票不符合国家有关规定及“两票制”要求的，或者货、票内容不相符的，甲方应拒验收入库。</w:t>
      </w:r>
    </w:p>
    <w:p>
      <w:pPr>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三）乙方承诺提供的全部药品不应存在任何知识产权争议或其它纠纷。如因此造成乙方无法正常供货或第三方向甲方主张权利等纠纷，均与甲方无关，由乙方自行承担费用予以解决，因此导致甲方权益受损的，乙方承担违约责任。</w:t>
      </w:r>
    </w:p>
    <w:p>
      <w:pPr>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（四）乙方所供应药品的质量应符合国家药品相关标准，药品质量、规格、包装须与招标</w:t>
      </w:r>
      <w:r>
        <w:rPr>
          <w:rFonts w:ascii="仿宋_GB2312" w:hAnsi="宋体" w:eastAsia="仿宋_GB2312"/>
          <w:color w:val="0D1E0F" w:themeColor="background1" w:themeShade="1A"/>
          <w:sz w:val="28"/>
          <w:szCs w:val="28"/>
        </w:rPr>
        <w:t>采购</w:t>
      </w:r>
      <w:r>
        <w:rPr>
          <w:rFonts w:hint="eastAsia" w:ascii="仿宋_GB2312" w:hAnsi="宋体" w:eastAsia="仿宋_GB2312"/>
          <w:color w:val="0D1E0F" w:themeColor="background1" w:themeShade="1A"/>
          <w:sz w:val="28"/>
          <w:szCs w:val="28"/>
        </w:rPr>
        <w:t>和直</w:t>
      </w:r>
      <w:r>
        <w:rPr>
          <w:rFonts w:ascii="仿宋_GB2312" w:hAnsi="宋体" w:eastAsia="仿宋_GB2312"/>
          <w:color w:val="0D1E0F" w:themeColor="background1" w:themeShade="1A"/>
          <w:sz w:val="28"/>
          <w:szCs w:val="28"/>
        </w:rPr>
        <w:t>接</w:t>
      </w:r>
      <w:r>
        <w:rPr>
          <w:rFonts w:hint="eastAsia" w:ascii="仿宋_GB2312" w:hAnsi="宋体" w:eastAsia="仿宋_GB2312"/>
          <w:color w:val="0D1E0F" w:themeColor="background1" w:themeShade="1A"/>
          <w:sz w:val="28"/>
          <w:szCs w:val="28"/>
        </w:rPr>
        <w:t>挂网议价入围品种的信息一致，不得更改。</w:t>
      </w:r>
    </w:p>
    <w:p>
      <w:pPr>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（五）在合同有效期内，乙方不得自行弃标和不予供应购销药品。</w:t>
      </w:r>
    </w:p>
    <w:p>
      <w:pPr>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（六）乙方不得为谋取自身利益向甲方医务人员提供贿赂，不得暗中给予回扣或者取得其它不正当利益。如有违反，根据有关规定和有关法律、法规、规章等依法依规查处。</w:t>
      </w:r>
    </w:p>
    <w:p>
      <w:pPr>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（七）乙方不得在销售药品或者提供服务过程中利用财物或者其它方式进行商业贿赂。</w:t>
      </w:r>
    </w:p>
    <w:p>
      <w:pPr>
        <w:widowControl/>
        <w:spacing w:line="500" w:lineRule="exact"/>
        <w:ind w:firstLine="560" w:firstLineChars="200"/>
        <w:jc w:val="left"/>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（八）在合同执行过程中，对甲方的违法违纪行为应及时检举举报。</w:t>
      </w:r>
    </w:p>
    <w:p>
      <w:pPr>
        <w:widowControl/>
        <w:spacing w:line="500" w:lineRule="exact"/>
        <w:ind w:firstLine="560" w:firstLineChars="200"/>
        <w:jc w:val="left"/>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九）乙方在购销合同签订和履行过程中应当遵守诚实信用原则，有义务保证向甲方提供的本企业的《药品经营许可证》等相关资质证件的真实性，有义务保证向甲方提供的药品名称、剂型、规格等有关药品的详细资料的真实性。有义务保证向甲方提供的影响本合同签订或履行的但在本合同中未详尽列明的信息的真实性。</w:t>
      </w:r>
    </w:p>
    <w:p>
      <w:pPr>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（十）法律、法规的其它相关规定。</w:t>
      </w:r>
    </w:p>
    <w:p>
      <w:pPr>
        <w:spacing w:line="500" w:lineRule="exact"/>
        <w:rPr>
          <w:rFonts w:ascii="仿宋_GB2312" w:hAnsi="宋体" w:eastAsia="仿宋_GB2312"/>
          <w:color w:val="0D1E0F" w:themeColor="background1" w:themeShade="1A"/>
          <w:sz w:val="28"/>
          <w:szCs w:val="28"/>
        </w:rPr>
      </w:pPr>
      <w:r>
        <w:rPr>
          <w:rFonts w:hint="eastAsia" w:ascii="仿宋_GB2312" w:hAnsi="宋体" w:eastAsia="仿宋_GB2312"/>
          <w:b/>
          <w:color w:val="0D1E0F" w:themeColor="background1" w:themeShade="1A"/>
          <w:sz w:val="28"/>
          <w:szCs w:val="28"/>
        </w:rPr>
        <w:t xml:space="preserve">    第十条  </w:t>
      </w:r>
      <w:r>
        <w:rPr>
          <w:rFonts w:hint="eastAsia" w:ascii="仿宋_GB2312" w:hAnsi="宋体" w:eastAsia="仿宋_GB2312"/>
          <w:color w:val="0D1E0F" w:themeColor="background1" w:themeShade="1A"/>
          <w:sz w:val="28"/>
          <w:szCs w:val="28"/>
        </w:rPr>
        <w:t>甲方违约责任。</w:t>
      </w:r>
    </w:p>
    <w:p>
      <w:pPr>
        <w:spacing w:line="500" w:lineRule="exact"/>
        <w:ind w:firstLine="560" w:firstLineChars="200"/>
        <w:rPr>
          <w:rFonts w:ascii="仿宋_GB2312" w:hAnsi="宋体" w:eastAsia="仿宋_GB2312"/>
          <w:b/>
          <w:color w:val="0D1E0F" w:themeColor="background1" w:themeShade="1A"/>
          <w:sz w:val="28"/>
          <w:szCs w:val="28"/>
        </w:rPr>
      </w:pPr>
      <w:r>
        <w:rPr>
          <w:rFonts w:hint="eastAsia" w:ascii="仿宋_GB2312" w:hAnsi="宋体" w:eastAsia="仿宋_GB2312"/>
          <w:color w:val="0D1E0F" w:themeColor="background1" w:themeShade="1A"/>
          <w:sz w:val="28"/>
          <w:szCs w:val="28"/>
        </w:rPr>
        <w:t>（一）甲方违反本合同的规定，通过平台以外途径购买替代招标采购入围、直接挂网议价入围、国家谈判和定点生产的品种，承担违约责任。</w:t>
      </w:r>
    </w:p>
    <w:p>
      <w:pPr>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（二）甲方无正当理由违反合同规定拒绝收货或违约付款的，应当承担乙方由此造成的损失。</w:t>
      </w:r>
    </w:p>
    <w:p>
      <w:pPr>
        <w:spacing w:line="500" w:lineRule="exact"/>
        <w:ind w:firstLine="560" w:firstLineChars="200"/>
        <w:rPr>
          <w:rFonts w:ascii="仿宋_GB2312" w:hAnsi="宋体" w:eastAsia="仿宋_GB2312"/>
          <w:b/>
          <w:color w:val="0D1E0F" w:themeColor="background1" w:themeShade="1A"/>
          <w:sz w:val="28"/>
          <w:szCs w:val="28"/>
        </w:rPr>
      </w:pPr>
      <w:r>
        <w:rPr>
          <w:rFonts w:hint="eastAsia" w:ascii="仿宋_GB2312" w:hAnsi="宋体" w:eastAsia="仿宋_GB2312"/>
          <w:color w:val="0D1E0F" w:themeColor="background1" w:themeShade="1A"/>
          <w:sz w:val="28"/>
          <w:szCs w:val="28"/>
        </w:rPr>
        <w:t>以上（一）、（二）两种情形，乙方有权向当地市、县卫生计生部门举报。</w:t>
      </w:r>
    </w:p>
    <w:p>
      <w:pPr>
        <w:spacing w:line="500" w:lineRule="exact"/>
        <w:ind w:firstLine="562" w:firstLineChars="200"/>
        <w:rPr>
          <w:rFonts w:ascii="仿宋_GB2312" w:hAnsi="宋体" w:eastAsia="仿宋_GB2312"/>
          <w:color w:val="0D1E0F" w:themeColor="background1" w:themeShade="1A"/>
          <w:sz w:val="28"/>
          <w:szCs w:val="28"/>
        </w:rPr>
      </w:pPr>
      <w:r>
        <w:rPr>
          <w:rFonts w:hint="eastAsia" w:ascii="仿宋_GB2312" w:hAnsi="宋体" w:eastAsia="仿宋_GB2312"/>
          <w:b/>
          <w:color w:val="0D1E0F" w:themeColor="background1" w:themeShade="1A"/>
          <w:sz w:val="28"/>
          <w:szCs w:val="28"/>
        </w:rPr>
        <w:t xml:space="preserve">第十一条  </w:t>
      </w:r>
      <w:r>
        <w:rPr>
          <w:rFonts w:hint="eastAsia" w:ascii="仿宋_GB2312" w:hAnsi="宋体" w:eastAsia="仿宋_GB2312"/>
          <w:color w:val="0D1E0F" w:themeColor="background1" w:themeShade="1A"/>
          <w:sz w:val="28"/>
          <w:szCs w:val="28"/>
        </w:rPr>
        <w:t>乙方违约责任。</w:t>
      </w:r>
    </w:p>
    <w:p>
      <w:pPr>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（一）乙方确认甲方发出的订单通知后拒绝供货的，应承担违约责任。</w:t>
      </w:r>
    </w:p>
    <w:p>
      <w:pPr>
        <w:spacing w:line="500" w:lineRule="exact"/>
        <w:ind w:firstLine="560" w:firstLineChars="200"/>
        <w:rPr>
          <w:rFonts w:ascii="仿宋_GB2312" w:hAnsi="宋体" w:eastAsia="仿宋_GB2312"/>
          <w:b/>
          <w:color w:val="0D1E0F" w:themeColor="background1" w:themeShade="1A"/>
          <w:sz w:val="28"/>
          <w:szCs w:val="28"/>
        </w:rPr>
      </w:pPr>
      <w:r>
        <w:rPr>
          <w:rFonts w:hint="eastAsia" w:ascii="仿宋_GB2312" w:hAnsi="宋体" w:eastAsia="仿宋_GB2312"/>
          <w:color w:val="0D1E0F" w:themeColor="background1" w:themeShade="1A"/>
          <w:sz w:val="28"/>
          <w:szCs w:val="28"/>
        </w:rPr>
        <w:t>（二）乙方所供药品因药品质量不符合有关规定而造成后果的，按相关法律规定处理。</w:t>
      </w:r>
    </w:p>
    <w:p>
      <w:pPr>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以上两种情形，甲方有权向当地市、县卫生计生部门、</w:t>
      </w:r>
      <w:r>
        <w:rPr>
          <w:rFonts w:hint="cs" w:ascii="仿宋_GB2312" w:hAnsi="宋体" w:eastAsia="仿宋_GB2312"/>
          <w:color w:val="0D1E0F" w:themeColor="background1" w:themeShade="1A"/>
          <w:sz w:val="28"/>
          <w:szCs w:val="28"/>
        </w:rPr>
        <w:t> </w:t>
      </w:r>
      <w:r>
        <w:rPr>
          <w:rFonts w:hint="eastAsia" w:ascii="仿宋_GB2312" w:hAnsi="宋体" w:eastAsia="仿宋_GB2312"/>
          <w:color w:val="0D1E0F" w:themeColor="background1" w:themeShade="1A"/>
          <w:sz w:val="28"/>
          <w:szCs w:val="28"/>
        </w:rPr>
        <w:t>自治区公共资源交易中心等相关部门举报。</w:t>
      </w:r>
    </w:p>
    <w:p>
      <w:pPr>
        <w:spacing w:line="500" w:lineRule="exact"/>
        <w:ind w:firstLine="551" w:firstLineChars="196"/>
        <w:rPr>
          <w:rFonts w:ascii="仿宋_GB2312" w:hAnsi="宋体" w:eastAsia="仿宋_GB2312"/>
          <w:color w:val="0D1E0F" w:themeColor="background1" w:themeShade="1A"/>
          <w:sz w:val="28"/>
          <w:szCs w:val="28"/>
        </w:rPr>
      </w:pPr>
      <w:r>
        <w:rPr>
          <w:rFonts w:hint="eastAsia" w:ascii="仿宋_GB2312" w:hAnsi="宋体" w:eastAsia="仿宋_GB2312"/>
          <w:b/>
          <w:color w:val="0D1E0F" w:themeColor="background1" w:themeShade="1A"/>
          <w:sz w:val="28"/>
          <w:szCs w:val="28"/>
        </w:rPr>
        <w:t xml:space="preserve">第十二条  </w:t>
      </w:r>
      <w:r>
        <w:rPr>
          <w:rFonts w:hint="eastAsia" w:ascii="仿宋_GB2312" w:hAnsi="宋体" w:eastAsia="仿宋_GB2312"/>
          <w:color w:val="0D1E0F" w:themeColor="background1" w:themeShade="1A"/>
          <w:sz w:val="28"/>
          <w:szCs w:val="28"/>
        </w:rPr>
        <w:t>不可抗力。</w:t>
      </w:r>
    </w:p>
    <w:p>
      <w:pPr>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“不可抗力”是指合同双方不能预见、不能避免并不能克服的事件，但不包括合同某一方的违约或疏忽。这些事件包括但不限于：战争、严重火灾、洪水、台风、地震及其它双方商定的事件。</w:t>
      </w:r>
    </w:p>
    <w:p>
      <w:pPr>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（一）甲乙双方或一方因不可抗力而导致合同实施延误或不能履行合同义务，不承担误期赔偿或终止合同的责任。</w:t>
      </w:r>
    </w:p>
    <w:p>
      <w:pPr>
        <w:spacing w:line="500" w:lineRule="exact"/>
        <w:ind w:firstLine="560" w:firstLineChars="200"/>
        <w:rPr>
          <w:rFonts w:ascii="仿宋_GB2312" w:hAnsi="宋体" w:eastAsia="仿宋_GB2312"/>
          <w:b/>
          <w:color w:val="0D1E0F" w:themeColor="background1" w:themeShade="1A"/>
          <w:sz w:val="28"/>
          <w:szCs w:val="28"/>
        </w:rPr>
      </w:pPr>
      <w:r>
        <w:rPr>
          <w:rFonts w:hint="eastAsia" w:ascii="仿宋_GB2312" w:hAnsi="宋体" w:eastAsia="仿宋_GB2312"/>
          <w:color w:val="0D1E0F" w:themeColor="background1" w:themeShade="1A"/>
          <w:sz w:val="28"/>
          <w:szCs w:val="28"/>
        </w:rPr>
        <w:t>（二）本条所述的“不可抗力”是指合同双方无法控制、不可预见的事件，但不包括合同某一方的违约或疏忽。这些事件包括但不限于：战争、严重火灾、洪水、台风、地震及其它双方商定的事件。甲乙双方或一方因不可抗力而导致合同实施延误或不能履行合同义务，不承担误期赔偿或终止合同的责任。</w:t>
      </w:r>
    </w:p>
    <w:p>
      <w:pPr>
        <w:spacing w:line="500" w:lineRule="exact"/>
        <w:ind w:firstLine="560" w:firstLineChars="200"/>
        <w:rPr>
          <w:rFonts w:ascii="仿宋_GB2312" w:hAnsi="宋体" w:eastAsia="仿宋_GB2312"/>
          <w:b/>
          <w:color w:val="0D1E0F" w:themeColor="background1" w:themeShade="1A"/>
          <w:sz w:val="28"/>
          <w:szCs w:val="28"/>
        </w:rPr>
      </w:pPr>
      <w:r>
        <w:rPr>
          <w:rFonts w:hint="eastAsia" w:ascii="仿宋_GB2312" w:hAnsi="宋体" w:eastAsia="仿宋_GB2312"/>
          <w:color w:val="0D1E0F" w:themeColor="background1" w:themeShade="1A"/>
          <w:sz w:val="28"/>
          <w:szCs w:val="28"/>
        </w:rPr>
        <w:t>（三）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spacing w:line="500" w:lineRule="exact"/>
        <w:ind w:firstLine="562" w:firstLineChars="200"/>
        <w:rPr>
          <w:rFonts w:ascii="仿宋_GB2312" w:hAnsi="宋体" w:eastAsia="仿宋_GB2312"/>
          <w:color w:val="0D1E0F" w:themeColor="background1" w:themeShade="1A"/>
          <w:sz w:val="28"/>
          <w:szCs w:val="28"/>
        </w:rPr>
      </w:pPr>
      <w:r>
        <w:rPr>
          <w:rFonts w:hint="eastAsia" w:ascii="仿宋_GB2312" w:hAnsi="宋体" w:eastAsia="仿宋_GB2312"/>
          <w:b/>
          <w:color w:val="0D1E0F" w:themeColor="background1" w:themeShade="1A"/>
          <w:sz w:val="28"/>
          <w:szCs w:val="28"/>
        </w:rPr>
        <w:t xml:space="preserve">第十三条  </w:t>
      </w:r>
      <w:r>
        <w:rPr>
          <w:rFonts w:hint="eastAsia" w:ascii="仿宋_GB2312" w:hAnsi="宋体" w:eastAsia="仿宋_GB2312"/>
          <w:color w:val="0D1E0F" w:themeColor="background1" w:themeShade="1A"/>
          <w:sz w:val="28"/>
          <w:szCs w:val="28"/>
        </w:rPr>
        <w:t>合同的变更及解除。</w:t>
      </w:r>
    </w:p>
    <w:p>
      <w:pPr>
        <w:snapToGrid w:val="0"/>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在履行合同的过程中，乙方应按照药品购销合同中甲方规定的时间，配送药品并提供伴随服务。如果乙方遇到妨碍按时配送药品和提供伴随服务的情况时，应及时告知甲方，并以书面形式将拖延的事实、可能拖延的时间和原因通知甲方。甲方在收到乙方通知后，应尽快对情况进行核实，并由甲方确定是否酌情延长交货时间以及是否收取违约金或终止合同。延期应通过变更合同的方式由双方认可并重新签署确定。如乙方无正当理由拖延交货，甲方可终止合同。因政策调整等情况甲方需变更合同的，甲方应及时告知乙方，双方协商妥善处理原合约库存药品。</w:t>
      </w:r>
    </w:p>
    <w:p>
      <w:pPr>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由于药品生产企业关、停、并、转的原因造成合同不能履行的，乙方应及时向甲方通报并提供省级以上药监部门证明，双方可以解除就该药品订立的合同，合同如需变更，须经双方协商解决。</w:t>
      </w:r>
    </w:p>
    <w:p>
      <w:pPr>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甲方如果发现乙方有本合同第九条（九）中的情形的，可以单方面解除合同，并通知乙方，由此产生的法律责任由乙方承担。</w:t>
      </w:r>
    </w:p>
    <w:p>
      <w:pPr>
        <w:spacing w:line="500" w:lineRule="exact"/>
        <w:ind w:firstLine="562" w:firstLineChars="200"/>
        <w:rPr>
          <w:rFonts w:ascii="仿宋_GB2312" w:hAnsi="宋体" w:eastAsia="仿宋_GB2312"/>
          <w:color w:val="0D1E0F" w:themeColor="background1" w:themeShade="1A"/>
          <w:sz w:val="28"/>
          <w:szCs w:val="28"/>
        </w:rPr>
      </w:pPr>
      <w:r>
        <w:rPr>
          <w:rFonts w:hint="eastAsia" w:ascii="仿宋_GB2312" w:hAnsi="宋体" w:eastAsia="仿宋_GB2312"/>
          <w:b/>
          <w:color w:val="0D1E0F" w:themeColor="background1" w:themeShade="1A"/>
          <w:sz w:val="28"/>
          <w:szCs w:val="28"/>
        </w:rPr>
        <w:t xml:space="preserve">第十四条  </w:t>
      </w:r>
      <w:r>
        <w:rPr>
          <w:rFonts w:hint="eastAsia" w:ascii="仿宋_GB2312" w:hAnsi="宋体" w:eastAsia="仿宋_GB2312"/>
          <w:color w:val="0D1E0F" w:themeColor="background1" w:themeShade="1A"/>
          <w:sz w:val="28"/>
          <w:szCs w:val="28"/>
        </w:rPr>
        <w:t>争议的解决。</w:t>
      </w:r>
    </w:p>
    <w:p>
      <w:pPr>
        <w:spacing w:line="500" w:lineRule="exact"/>
        <w:ind w:firstLine="560" w:firstLineChars="200"/>
        <w:rPr>
          <w:rFonts w:ascii="仿宋_GB2312" w:hAnsi="宋体" w:eastAsia="仿宋_GB2312"/>
          <w:b/>
          <w:color w:val="0D1E0F" w:themeColor="background1" w:themeShade="1A"/>
          <w:sz w:val="28"/>
          <w:szCs w:val="28"/>
        </w:rPr>
      </w:pPr>
      <w:r>
        <w:rPr>
          <w:rFonts w:hint="eastAsia" w:ascii="仿宋_GB2312" w:hAnsi="宋体" w:eastAsia="仿宋_GB2312"/>
          <w:color w:val="0D1E0F" w:themeColor="background1" w:themeShade="1A"/>
          <w:sz w:val="28"/>
          <w:szCs w:val="28"/>
        </w:rPr>
        <w:t>甲乙双方</w:t>
      </w:r>
      <w:r>
        <w:rPr>
          <w:rFonts w:ascii="仿宋_GB2312" w:hAnsi="宋体" w:eastAsia="仿宋_GB2312"/>
          <w:color w:val="0D1E0F" w:themeColor="background1" w:themeShade="1A"/>
          <w:sz w:val="28"/>
          <w:szCs w:val="28"/>
        </w:rPr>
        <w:t>当事人对合同条款的理解有争议的，应当按照合同所使用的词句、合同的有关条款、合同的目的、交易习惯以及诚实信用原则，确定该条款的真实意思</w:t>
      </w:r>
      <w:r>
        <w:rPr>
          <w:rFonts w:hint="eastAsia" w:ascii="仿宋_GB2312" w:hAnsi="宋体" w:eastAsia="仿宋_GB2312"/>
          <w:color w:val="0D1E0F" w:themeColor="background1" w:themeShade="1A"/>
          <w:sz w:val="28"/>
          <w:szCs w:val="28"/>
        </w:rPr>
        <w:t>。因合同引起或与本合同有关的任何争议，由双方当事人协商解决；也可以向有关部门申请调解。协商或调解不成，当事人可依照有关法律规定将争议提交仲裁，或向人民法院起诉。</w:t>
      </w:r>
    </w:p>
    <w:p>
      <w:pPr>
        <w:spacing w:line="500" w:lineRule="exact"/>
        <w:ind w:firstLine="562" w:firstLineChars="200"/>
        <w:rPr>
          <w:rFonts w:ascii="仿宋_GB2312" w:hAnsi="宋体" w:eastAsia="仿宋_GB2312"/>
          <w:color w:val="0D1E0F" w:themeColor="background1" w:themeShade="1A"/>
          <w:sz w:val="28"/>
          <w:szCs w:val="28"/>
        </w:rPr>
      </w:pPr>
      <w:r>
        <w:rPr>
          <w:rFonts w:hint="eastAsia" w:ascii="仿宋_GB2312" w:hAnsi="宋体" w:eastAsia="仿宋_GB2312"/>
          <w:b/>
          <w:color w:val="0D1E0F" w:themeColor="background1" w:themeShade="1A"/>
          <w:sz w:val="28"/>
          <w:szCs w:val="28"/>
        </w:rPr>
        <w:t xml:space="preserve">第十五条  </w:t>
      </w:r>
      <w:r>
        <w:rPr>
          <w:rFonts w:hint="eastAsia" w:ascii="仿宋_GB2312" w:hAnsi="宋体" w:eastAsia="仿宋_GB2312"/>
          <w:color w:val="0D1E0F" w:themeColor="background1" w:themeShade="1A"/>
          <w:sz w:val="28"/>
          <w:szCs w:val="28"/>
        </w:rPr>
        <w:t>终止合同。</w:t>
      </w:r>
    </w:p>
    <w:p>
      <w:pPr>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（一）采购期满合同终止。遇</w:t>
      </w:r>
      <w:r>
        <w:rPr>
          <w:rFonts w:ascii="仿宋_GB2312" w:hAnsi="宋体" w:eastAsia="仿宋_GB2312"/>
          <w:color w:val="0D1E0F" w:themeColor="background1" w:themeShade="1A"/>
          <w:sz w:val="28"/>
          <w:szCs w:val="28"/>
        </w:rPr>
        <w:t>到政策性采购周期</w:t>
      </w:r>
      <w:r>
        <w:rPr>
          <w:rFonts w:hint="eastAsia" w:ascii="仿宋_GB2312" w:hAnsi="宋体" w:eastAsia="仿宋_GB2312"/>
          <w:color w:val="0D1E0F" w:themeColor="background1" w:themeShade="1A"/>
          <w:sz w:val="28"/>
          <w:szCs w:val="28"/>
        </w:rPr>
        <w:t>延</w:t>
      </w:r>
      <w:r>
        <w:rPr>
          <w:rFonts w:ascii="仿宋_GB2312" w:hAnsi="宋体" w:eastAsia="仿宋_GB2312"/>
          <w:color w:val="0D1E0F" w:themeColor="background1" w:themeShade="1A"/>
          <w:sz w:val="28"/>
          <w:szCs w:val="28"/>
        </w:rPr>
        <w:t>期，合</w:t>
      </w:r>
      <w:r>
        <w:rPr>
          <w:rFonts w:hint="eastAsia" w:ascii="仿宋_GB2312" w:hAnsi="宋体" w:eastAsia="仿宋_GB2312"/>
          <w:color w:val="0D1E0F" w:themeColor="background1" w:themeShade="1A"/>
          <w:sz w:val="28"/>
          <w:szCs w:val="28"/>
        </w:rPr>
        <w:t>同</w:t>
      </w:r>
      <w:r>
        <w:rPr>
          <w:rFonts w:ascii="仿宋_GB2312" w:hAnsi="宋体" w:eastAsia="仿宋_GB2312"/>
          <w:color w:val="0D1E0F" w:themeColor="background1" w:themeShade="1A"/>
          <w:sz w:val="28"/>
          <w:szCs w:val="28"/>
        </w:rPr>
        <w:t>期</w:t>
      </w:r>
      <w:r>
        <w:rPr>
          <w:rFonts w:hint="eastAsia" w:ascii="仿宋_GB2312" w:hAnsi="宋体" w:eastAsia="仿宋_GB2312"/>
          <w:color w:val="0D1E0F" w:themeColor="background1" w:themeShade="1A"/>
          <w:sz w:val="28"/>
          <w:szCs w:val="28"/>
        </w:rPr>
        <w:t>同</w:t>
      </w:r>
      <w:r>
        <w:rPr>
          <w:rFonts w:ascii="仿宋_GB2312" w:hAnsi="宋体" w:eastAsia="仿宋_GB2312"/>
          <w:color w:val="0D1E0F" w:themeColor="background1" w:themeShade="1A"/>
          <w:sz w:val="28"/>
          <w:szCs w:val="28"/>
        </w:rPr>
        <w:t>等顺延。</w:t>
      </w:r>
    </w:p>
    <w:p>
      <w:pPr>
        <w:spacing w:line="500" w:lineRule="exact"/>
        <w:ind w:firstLine="560" w:firstLineChars="200"/>
        <w:rPr>
          <w:rFonts w:ascii="仿宋_GB2312" w:hAnsi="宋体" w:eastAsia="仿宋_GB2312"/>
          <w:b/>
          <w:color w:val="0D1E0F" w:themeColor="background1" w:themeShade="1A"/>
          <w:sz w:val="28"/>
          <w:szCs w:val="28"/>
        </w:rPr>
      </w:pPr>
      <w:r>
        <w:rPr>
          <w:rFonts w:hint="eastAsia" w:ascii="仿宋_GB2312" w:hAnsi="宋体" w:eastAsia="仿宋_GB2312"/>
          <w:color w:val="0D1E0F" w:themeColor="background1" w:themeShade="1A"/>
          <w:sz w:val="28"/>
          <w:szCs w:val="28"/>
        </w:rPr>
        <w:t>（二）乙方违约采取的补救措施达不到合同规定的要求，甲方向乙方发出书面通知书，提出部分或全部终止合同。</w:t>
      </w:r>
    </w:p>
    <w:p>
      <w:pPr>
        <w:spacing w:line="500" w:lineRule="exact"/>
        <w:ind w:firstLine="560" w:firstLineChars="200"/>
        <w:rPr>
          <w:rFonts w:ascii="仿宋_GB2312" w:hAnsi="宋体" w:eastAsia="仿宋_GB2312"/>
          <w:b/>
          <w:color w:val="0D1E0F" w:themeColor="background1" w:themeShade="1A"/>
          <w:sz w:val="28"/>
          <w:szCs w:val="28"/>
        </w:rPr>
      </w:pPr>
      <w:r>
        <w:rPr>
          <w:rFonts w:hint="eastAsia" w:ascii="仿宋_GB2312" w:hAnsi="宋体" w:eastAsia="仿宋_GB2312"/>
          <w:color w:val="0D1E0F" w:themeColor="background1" w:themeShade="1A"/>
          <w:sz w:val="28"/>
          <w:szCs w:val="28"/>
        </w:rPr>
        <w:t>1.如果乙方未能在合同规定的限期或甲方同意延长的限期内提供部分或全部药品。</w:t>
      </w:r>
    </w:p>
    <w:p>
      <w:pPr>
        <w:snapToGrid w:val="0"/>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2.乙方未能履行合同规定的其它义务。</w:t>
      </w:r>
    </w:p>
    <w:p>
      <w:pPr>
        <w:snapToGrid w:val="0"/>
        <w:spacing w:line="500" w:lineRule="exact"/>
        <w:ind w:firstLine="54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三）乙方破产或无清偿能力，乙方应及时以书面形式通知甲方，甲方可在任何时候以书面形式通知乙方，提出终止合同而不给乙方补偿。该终止合同将不损害或影响甲方已经采取或将要采取的任何行动或补救措施的权利。</w:t>
      </w:r>
    </w:p>
    <w:p>
      <w:pPr>
        <w:spacing w:line="500" w:lineRule="exact"/>
        <w:ind w:firstLine="562" w:firstLineChars="200"/>
        <w:rPr>
          <w:rFonts w:ascii="仿宋_GB2312" w:hAnsi="宋体" w:eastAsia="仿宋_GB2312"/>
          <w:color w:val="0D1E0F" w:themeColor="background1" w:themeShade="1A"/>
          <w:sz w:val="28"/>
          <w:szCs w:val="28"/>
        </w:rPr>
      </w:pPr>
      <w:r>
        <w:rPr>
          <w:rFonts w:hint="eastAsia" w:ascii="仿宋_GB2312" w:hAnsi="宋体" w:eastAsia="仿宋_GB2312"/>
          <w:b/>
          <w:color w:val="0D1E0F" w:themeColor="background1" w:themeShade="1A"/>
          <w:sz w:val="28"/>
          <w:szCs w:val="28"/>
        </w:rPr>
        <w:t xml:space="preserve">第十六条  </w:t>
      </w:r>
      <w:r>
        <w:rPr>
          <w:rFonts w:hint="eastAsia" w:ascii="仿宋_GB2312" w:hAnsi="宋体" w:eastAsia="仿宋_GB2312"/>
          <w:color w:val="0D1E0F" w:themeColor="background1" w:themeShade="1A"/>
          <w:sz w:val="28"/>
          <w:szCs w:val="28"/>
        </w:rPr>
        <w:t>本合同（范本）未尽事项，</w:t>
      </w:r>
      <w:r>
        <w:rPr>
          <w:rFonts w:ascii="仿宋_GB2312" w:hAnsi="宋体" w:eastAsia="仿宋_GB2312"/>
          <w:color w:val="0D1E0F" w:themeColor="background1" w:themeShade="1A"/>
          <w:sz w:val="28"/>
          <w:szCs w:val="28"/>
        </w:rPr>
        <w:t>可在不违背法律、法规、交易规则且不与本合同内容相冲突的前提下，进行其他约定或另行签订补充协议</w:t>
      </w:r>
      <w:r>
        <w:rPr>
          <w:rFonts w:hint="eastAsia" w:ascii="仿宋_GB2312" w:hAnsi="宋体" w:eastAsia="仿宋_GB2312"/>
          <w:color w:val="0D1E0F" w:themeColor="background1" w:themeShade="1A"/>
          <w:sz w:val="28"/>
          <w:szCs w:val="28"/>
        </w:rPr>
        <w:t>。</w:t>
      </w:r>
    </w:p>
    <w:p>
      <w:pPr>
        <w:spacing w:line="500" w:lineRule="exact"/>
        <w:ind w:firstLine="562" w:firstLineChars="200"/>
        <w:rPr>
          <w:rFonts w:ascii="仿宋_GB2312" w:hAnsi="宋体" w:eastAsia="仿宋_GB2312"/>
          <w:color w:val="0D1E0F" w:themeColor="background1" w:themeShade="1A"/>
          <w:sz w:val="28"/>
          <w:szCs w:val="28"/>
        </w:rPr>
      </w:pPr>
      <w:r>
        <w:rPr>
          <w:rFonts w:hint="eastAsia" w:ascii="仿宋_GB2312" w:hAnsi="宋体" w:eastAsia="仿宋_GB2312"/>
          <w:b/>
          <w:color w:val="0D1E0F" w:themeColor="background1" w:themeShade="1A"/>
          <w:sz w:val="28"/>
          <w:szCs w:val="28"/>
        </w:rPr>
        <w:t xml:space="preserve">第十七条  </w:t>
      </w:r>
      <w:r>
        <w:rPr>
          <w:rFonts w:hint="eastAsia" w:ascii="仿宋_GB2312" w:hAnsi="宋体" w:eastAsia="仿宋_GB2312"/>
          <w:color w:val="0D1E0F" w:themeColor="background1" w:themeShade="1A"/>
          <w:sz w:val="28"/>
          <w:szCs w:val="28"/>
        </w:rPr>
        <w:t>适用范围。本合同条款适用于参加广西壮族自治区药品集中采购的甲乙双方当事人。</w:t>
      </w:r>
    </w:p>
    <w:p>
      <w:pPr>
        <w:spacing w:line="500" w:lineRule="exact"/>
        <w:ind w:firstLine="562" w:firstLineChars="200"/>
        <w:rPr>
          <w:rFonts w:ascii="仿宋_GB2312" w:hAnsi="宋体" w:eastAsia="仿宋_GB2312"/>
          <w:color w:val="0D1E0F" w:themeColor="background1" w:themeShade="1A"/>
          <w:sz w:val="28"/>
          <w:szCs w:val="28"/>
        </w:rPr>
      </w:pPr>
      <w:r>
        <w:rPr>
          <w:rFonts w:hint="eastAsia" w:ascii="仿宋_GB2312" w:hAnsi="宋体" w:eastAsia="仿宋_GB2312"/>
          <w:b/>
          <w:color w:val="0D1E0F" w:themeColor="background1" w:themeShade="1A"/>
          <w:sz w:val="28"/>
          <w:szCs w:val="28"/>
        </w:rPr>
        <w:t xml:space="preserve">第十八条 </w:t>
      </w:r>
      <w:r>
        <w:rPr>
          <w:rFonts w:hint="eastAsia" w:ascii="仿宋_GB2312" w:hAnsi="宋体" w:eastAsia="仿宋_GB2312"/>
          <w:color w:val="0D1E0F" w:themeColor="background1" w:themeShade="1A"/>
          <w:sz w:val="28"/>
          <w:szCs w:val="28"/>
        </w:rPr>
        <w:t xml:space="preserve"> 本合同自双方签订之日起生效，自本合同生效之日起在合同期内发生的有关网上交易的各项事宜，均受本合同的约束。</w:t>
      </w:r>
    </w:p>
    <w:p>
      <w:pPr>
        <w:spacing w:line="500" w:lineRule="exact"/>
        <w:ind w:firstLine="562" w:firstLineChars="200"/>
        <w:rPr>
          <w:rFonts w:ascii="仿宋_GB2312" w:hAnsi="宋体" w:eastAsia="仿宋_GB2312"/>
          <w:color w:val="0D1E0F" w:themeColor="background1" w:themeShade="1A"/>
          <w:sz w:val="28"/>
          <w:szCs w:val="28"/>
        </w:rPr>
      </w:pPr>
      <w:r>
        <w:rPr>
          <w:rFonts w:hint="eastAsia" w:ascii="仿宋_GB2312" w:hAnsi="宋体" w:eastAsia="仿宋_GB2312"/>
          <w:b/>
          <w:color w:val="0D1E0F" w:themeColor="background1" w:themeShade="1A"/>
          <w:sz w:val="28"/>
          <w:szCs w:val="28"/>
        </w:rPr>
        <w:t xml:space="preserve">第十九条  </w:t>
      </w:r>
      <w:r>
        <w:rPr>
          <w:rFonts w:hint="eastAsia" w:ascii="仿宋_GB2312" w:hAnsi="宋体" w:eastAsia="仿宋_GB2312"/>
          <w:color w:val="0D1E0F" w:themeColor="background1" w:themeShade="1A"/>
          <w:sz w:val="28"/>
          <w:szCs w:val="28"/>
        </w:rPr>
        <w:t>合同有效期。本合同有效期从</w:t>
      </w:r>
      <w:r>
        <w:rPr>
          <w:rFonts w:hint="eastAsia" w:ascii="仿宋_GB2312" w:hAnsi="宋体" w:eastAsia="仿宋_GB2312"/>
          <w:color w:val="0D1E0F" w:themeColor="background1" w:themeShade="1A"/>
          <w:sz w:val="28"/>
          <w:szCs w:val="28"/>
          <w:u w:val="single"/>
        </w:rPr>
        <w:t xml:space="preserve">      </w:t>
      </w:r>
      <w:r>
        <w:rPr>
          <w:rFonts w:hint="eastAsia" w:ascii="仿宋_GB2312" w:hAnsi="宋体" w:eastAsia="仿宋_GB2312"/>
          <w:color w:val="0D1E0F" w:themeColor="background1" w:themeShade="1A"/>
          <w:sz w:val="28"/>
          <w:szCs w:val="28"/>
        </w:rPr>
        <w:t>年</w:t>
      </w:r>
      <w:r>
        <w:rPr>
          <w:rFonts w:hint="eastAsia" w:ascii="仿宋_GB2312" w:hAnsi="宋体" w:eastAsia="仿宋_GB2312"/>
          <w:color w:val="0D1E0F" w:themeColor="background1" w:themeShade="1A"/>
          <w:sz w:val="28"/>
          <w:szCs w:val="28"/>
          <w:u w:val="single"/>
        </w:rPr>
        <w:t xml:space="preserve">    </w:t>
      </w:r>
      <w:r>
        <w:rPr>
          <w:rFonts w:hint="eastAsia" w:ascii="仿宋_GB2312" w:hAnsi="宋体" w:eastAsia="仿宋_GB2312"/>
          <w:color w:val="0D1E0F" w:themeColor="background1" w:themeShade="1A"/>
          <w:sz w:val="28"/>
          <w:szCs w:val="28"/>
        </w:rPr>
        <w:t>月</w:t>
      </w:r>
      <w:r>
        <w:rPr>
          <w:rFonts w:hint="eastAsia" w:ascii="仿宋_GB2312" w:hAnsi="宋体" w:eastAsia="仿宋_GB2312"/>
          <w:color w:val="0D1E0F" w:themeColor="background1" w:themeShade="1A"/>
          <w:sz w:val="28"/>
          <w:szCs w:val="28"/>
          <w:u w:val="single"/>
        </w:rPr>
        <w:t xml:space="preserve">    </w:t>
      </w:r>
      <w:r>
        <w:rPr>
          <w:rFonts w:hint="eastAsia" w:ascii="仿宋_GB2312" w:hAnsi="宋体" w:eastAsia="仿宋_GB2312"/>
          <w:color w:val="0D1E0F" w:themeColor="background1" w:themeShade="1A"/>
          <w:sz w:val="28"/>
          <w:szCs w:val="28"/>
        </w:rPr>
        <w:t>日起，至</w:t>
      </w:r>
      <w:r>
        <w:rPr>
          <w:rFonts w:hint="eastAsia" w:ascii="仿宋_GB2312" w:hAnsi="宋体" w:eastAsia="仿宋_GB2312"/>
          <w:color w:val="0D1E0F" w:themeColor="background1" w:themeShade="1A"/>
          <w:sz w:val="28"/>
          <w:szCs w:val="28"/>
          <w:u w:val="single"/>
        </w:rPr>
        <w:t xml:space="preserve">      </w:t>
      </w:r>
      <w:r>
        <w:rPr>
          <w:rFonts w:hint="eastAsia" w:ascii="仿宋_GB2312" w:hAnsi="宋体" w:eastAsia="仿宋_GB2312"/>
          <w:color w:val="0D1E0F" w:themeColor="background1" w:themeShade="1A"/>
          <w:sz w:val="28"/>
          <w:szCs w:val="28"/>
        </w:rPr>
        <w:t>年</w:t>
      </w:r>
      <w:r>
        <w:rPr>
          <w:rFonts w:hint="eastAsia" w:ascii="仿宋_GB2312" w:hAnsi="宋体" w:eastAsia="仿宋_GB2312"/>
          <w:color w:val="0D1E0F" w:themeColor="background1" w:themeShade="1A"/>
          <w:sz w:val="28"/>
          <w:szCs w:val="28"/>
          <w:u w:val="single"/>
        </w:rPr>
        <w:t xml:space="preserve">    </w:t>
      </w:r>
      <w:r>
        <w:rPr>
          <w:rFonts w:hint="eastAsia" w:ascii="仿宋_GB2312" w:hAnsi="宋体" w:eastAsia="仿宋_GB2312"/>
          <w:color w:val="0D1E0F" w:themeColor="background1" w:themeShade="1A"/>
          <w:sz w:val="28"/>
          <w:szCs w:val="28"/>
        </w:rPr>
        <w:t>月</w:t>
      </w:r>
      <w:r>
        <w:rPr>
          <w:rFonts w:hint="eastAsia" w:ascii="仿宋_GB2312" w:hAnsi="宋体" w:eastAsia="仿宋_GB2312"/>
          <w:color w:val="0D1E0F" w:themeColor="background1" w:themeShade="1A"/>
          <w:sz w:val="28"/>
          <w:szCs w:val="28"/>
          <w:u w:val="single"/>
        </w:rPr>
        <w:t xml:space="preserve">    </w:t>
      </w:r>
      <w:r>
        <w:rPr>
          <w:rFonts w:hint="eastAsia" w:ascii="仿宋_GB2312" w:hAnsi="宋体" w:eastAsia="仿宋_GB2312"/>
          <w:color w:val="0D1E0F" w:themeColor="background1" w:themeShade="1A"/>
          <w:sz w:val="28"/>
          <w:szCs w:val="28"/>
        </w:rPr>
        <w:t>日止。</w:t>
      </w:r>
    </w:p>
    <w:p>
      <w:pPr>
        <w:spacing w:line="50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本合同一式</w:t>
      </w:r>
      <w:r>
        <w:rPr>
          <w:rFonts w:hint="eastAsia" w:ascii="仿宋_GB2312" w:hAnsi="宋体" w:eastAsia="仿宋_GB2312"/>
          <w:color w:val="0D1E0F" w:themeColor="background1" w:themeShade="1A"/>
          <w:sz w:val="28"/>
          <w:szCs w:val="28"/>
          <w:u w:val="single"/>
        </w:rPr>
        <w:t xml:space="preserve">    </w:t>
      </w:r>
      <w:r>
        <w:rPr>
          <w:rFonts w:hint="eastAsia" w:ascii="仿宋_GB2312" w:hAnsi="宋体" w:eastAsia="仿宋_GB2312"/>
          <w:color w:val="0D1E0F" w:themeColor="background1" w:themeShade="1A"/>
          <w:sz w:val="28"/>
          <w:szCs w:val="28"/>
        </w:rPr>
        <w:t>份，甲、乙双方各持</w:t>
      </w:r>
      <w:r>
        <w:rPr>
          <w:rFonts w:hint="eastAsia" w:ascii="仿宋_GB2312" w:hAnsi="宋体" w:eastAsia="仿宋_GB2312"/>
          <w:color w:val="0D1E0F" w:themeColor="background1" w:themeShade="1A"/>
          <w:sz w:val="28"/>
          <w:szCs w:val="28"/>
          <w:u w:val="single"/>
        </w:rPr>
        <w:t xml:space="preserve">    </w:t>
      </w:r>
      <w:r>
        <w:rPr>
          <w:rFonts w:hint="eastAsia" w:ascii="仿宋_GB2312" w:hAnsi="宋体" w:eastAsia="仿宋_GB2312"/>
          <w:color w:val="0D1E0F" w:themeColor="background1" w:themeShade="1A"/>
          <w:sz w:val="28"/>
          <w:szCs w:val="28"/>
        </w:rPr>
        <w:t>份。</w:t>
      </w:r>
    </w:p>
    <w:p>
      <w:pPr>
        <w:spacing w:line="500" w:lineRule="exact"/>
        <w:rPr>
          <w:rFonts w:ascii="仿宋_GB2312" w:hAnsi="宋体" w:eastAsia="仿宋_GB2312"/>
          <w:color w:val="0D1E0F" w:themeColor="background1" w:themeShade="1A"/>
          <w:sz w:val="28"/>
          <w:szCs w:val="28"/>
        </w:rPr>
      </w:pPr>
    </w:p>
    <w:p>
      <w:pPr>
        <w:spacing w:line="500" w:lineRule="exact"/>
        <w:rPr>
          <w:rFonts w:ascii="仿宋_GB2312" w:hAnsi="宋体" w:eastAsia="仿宋_GB2312"/>
          <w:color w:val="0D1E0F" w:themeColor="background1" w:themeShade="1A"/>
          <w:sz w:val="28"/>
          <w:szCs w:val="28"/>
        </w:rPr>
      </w:pPr>
      <w:r>
        <w:rPr>
          <w:rFonts w:hint="eastAsia" w:ascii="仿宋_GB2312" w:hAnsi="宋体" w:eastAsia="仿宋_GB2312"/>
          <w:b/>
          <w:color w:val="0D1E0F" w:themeColor="background1" w:themeShade="1A"/>
          <w:sz w:val="28"/>
          <w:szCs w:val="28"/>
        </w:rPr>
        <w:t>甲方（盖章）：                        乙方（盖章）：</w:t>
      </w:r>
    </w:p>
    <w:p>
      <w:pPr>
        <w:spacing w:line="500" w:lineRule="exact"/>
        <w:rPr>
          <w:rFonts w:ascii="仿宋_GB2312" w:hAnsi="宋体" w:eastAsia="仿宋_GB2312"/>
          <w:b/>
          <w:color w:val="0D1E0F" w:themeColor="background1" w:themeShade="1A"/>
          <w:sz w:val="28"/>
          <w:szCs w:val="28"/>
        </w:rPr>
      </w:pPr>
      <w:r>
        <w:rPr>
          <w:rFonts w:hint="eastAsia" w:ascii="仿宋_GB2312" w:eastAsia="仿宋_GB2312"/>
          <w:b/>
          <w:color w:val="0D1E0F" w:themeColor="background1" w:themeShade="1A"/>
          <w:sz w:val="28"/>
          <w:szCs w:val="28"/>
        </w:rPr>
        <w:t>注册</w:t>
      </w:r>
      <w:r>
        <w:rPr>
          <w:rFonts w:hint="eastAsia" w:ascii="仿宋_GB2312" w:hAnsi="宋体" w:eastAsia="仿宋_GB2312"/>
          <w:b/>
          <w:color w:val="0D1E0F" w:themeColor="background1" w:themeShade="1A"/>
          <w:sz w:val="28"/>
          <w:szCs w:val="28"/>
        </w:rPr>
        <w:t xml:space="preserve">单位地址：                       </w:t>
      </w:r>
      <w:r>
        <w:rPr>
          <w:rFonts w:hint="eastAsia" w:ascii="仿宋_GB2312" w:eastAsia="仿宋_GB2312"/>
          <w:b/>
          <w:color w:val="0D1E0F" w:themeColor="background1" w:themeShade="1A"/>
          <w:sz w:val="28"/>
          <w:szCs w:val="28"/>
        </w:rPr>
        <w:t>注册</w:t>
      </w:r>
      <w:r>
        <w:rPr>
          <w:rFonts w:hint="eastAsia" w:ascii="仿宋_GB2312" w:hAnsi="宋体" w:eastAsia="仿宋_GB2312"/>
          <w:b/>
          <w:color w:val="0D1E0F" w:themeColor="background1" w:themeShade="1A"/>
          <w:sz w:val="28"/>
          <w:szCs w:val="28"/>
        </w:rPr>
        <w:t>单位地址：</w:t>
      </w:r>
    </w:p>
    <w:p>
      <w:pPr>
        <w:spacing w:line="500" w:lineRule="exact"/>
        <w:rPr>
          <w:rFonts w:ascii="仿宋_GB2312" w:hAnsi="宋体" w:eastAsia="仿宋_GB2312"/>
          <w:b/>
          <w:color w:val="0D1E0F" w:themeColor="background1" w:themeShade="1A"/>
          <w:sz w:val="28"/>
          <w:szCs w:val="28"/>
        </w:rPr>
      </w:pPr>
      <w:r>
        <w:rPr>
          <w:rFonts w:hint="eastAsia" w:ascii="仿宋_GB2312" w:hAnsi="宋体" w:eastAsia="仿宋_GB2312"/>
          <w:b/>
          <w:color w:val="0D1E0F" w:themeColor="background1" w:themeShade="1A"/>
          <w:sz w:val="28"/>
          <w:szCs w:val="28"/>
        </w:rPr>
        <w:t>法定代表人：                         法定代表人：</w:t>
      </w:r>
    </w:p>
    <w:p>
      <w:pPr>
        <w:spacing w:line="500" w:lineRule="exact"/>
        <w:ind w:left="281" w:hanging="281" w:hangingChars="100"/>
        <w:rPr>
          <w:rFonts w:ascii="仿宋_GB2312" w:hAnsi="宋体" w:eastAsia="仿宋_GB2312"/>
          <w:b/>
          <w:color w:val="0D1E0F" w:themeColor="background1" w:themeShade="1A"/>
          <w:sz w:val="28"/>
          <w:szCs w:val="28"/>
        </w:rPr>
      </w:pPr>
      <w:r>
        <w:rPr>
          <w:rFonts w:hint="eastAsia" w:ascii="仿宋_GB2312" w:hAnsi="宋体" w:eastAsia="仿宋_GB2312"/>
          <w:b/>
          <w:color w:val="0D1E0F" w:themeColor="background1" w:themeShade="1A"/>
          <w:sz w:val="28"/>
          <w:szCs w:val="28"/>
        </w:rPr>
        <w:t>授权代表（签名）：                    授权代表（签名）：</w:t>
      </w:r>
    </w:p>
    <w:p>
      <w:pPr>
        <w:spacing w:line="500" w:lineRule="exact"/>
        <w:ind w:left="281" w:hanging="281" w:hangingChars="100"/>
        <w:rPr>
          <w:rFonts w:ascii="仿宋_GB2312" w:hAnsi="宋体" w:eastAsia="仿宋_GB2312"/>
          <w:b/>
          <w:color w:val="0D1E0F" w:themeColor="background1" w:themeShade="1A"/>
          <w:sz w:val="28"/>
          <w:szCs w:val="28"/>
        </w:rPr>
      </w:pPr>
      <w:r>
        <w:rPr>
          <w:rFonts w:hint="eastAsia" w:ascii="仿宋_GB2312" w:hAnsi="宋体" w:eastAsia="仿宋_GB2312"/>
          <w:b/>
          <w:color w:val="0D1E0F" w:themeColor="background1" w:themeShade="1A"/>
          <w:sz w:val="28"/>
          <w:szCs w:val="28"/>
        </w:rPr>
        <w:t>身份证号：                           身份证号：</w:t>
      </w:r>
    </w:p>
    <w:p>
      <w:pPr>
        <w:spacing w:line="500" w:lineRule="exact"/>
        <w:ind w:left="281" w:hanging="281" w:hangingChars="100"/>
        <w:rPr>
          <w:rFonts w:ascii="仿宋_GB2312" w:hAnsi="宋体" w:eastAsia="仿宋_GB2312"/>
          <w:b/>
          <w:color w:val="0D1E0F" w:themeColor="background1" w:themeShade="1A"/>
          <w:sz w:val="28"/>
          <w:szCs w:val="28"/>
        </w:rPr>
      </w:pPr>
      <w:r>
        <w:rPr>
          <w:rFonts w:hint="eastAsia" w:ascii="仿宋_GB2312" w:hAnsi="宋体" w:eastAsia="仿宋_GB2312"/>
          <w:b/>
          <w:color w:val="0D1E0F" w:themeColor="background1" w:themeShade="1A"/>
          <w:sz w:val="28"/>
          <w:szCs w:val="28"/>
        </w:rPr>
        <w:t>联系电话：                           联系电话：</w:t>
      </w:r>
    </w:p>
    <w:p>
      <w:pPr>
        <w:spacing w:line="500" w:lineRule="exact"/>
        <w:ind w:left="281" w:hanging="281" w:hangingChars="100"/>
        <w:rPr>
          <w:rFonts w:ascii="黑体" w:hAnsi="黑体" w:eastAsia="黑体"/>
          <w:color w:val="0D1E0F" w:themeColor="background1" w:themeShade="1A"/>
          <w:sz w:val="32"/>
          <w:szCs w:val="28"/>
        </w:rPr>
      </w:pPr>
      <w:r>
        <w:rPr>
          <w:rFonts w:hint="eastAsia" w:ascii="仿宋_GB2312" w:hAnsi="宋体" w:eastAsia="仿宋_GB2312"/>
          <w:b/>
          <w:color w:val="0D1E0F" w:themeColor="background1" w:themeShade="1A"/>
          <w:sz w:val="28"/>
          <w:szCs w:val="28"/>
        </w:rPr>
        <w:t>签章日期：  年  月  日               签章日期：  年  月  日</w:t>
      </w:r>
    </w:p>
    <w:p>
      <w:pPr>
        <w:spacing w:line="500" w:lineRule="exact"/>
        <w:rPr>
          <w:rFonts w:ascii="黑体" w:hAnsi="黑体" w:eastAsia="黑体"/>
          <w:color w:val="0D1E0F" w:themeColor="background1" w:themeShade="1A"/>
          <w:sz w:val="32"/>
          <w:szCs w:val="28"/>
        </w:rPr>
      </w:pPr>
    </w:p>
    <w:p>
      <w:pPr>
        <w:spacing w:line="500" w:lineRule="exact"/>
        <w:rPr>
          <w:rFonts w:ascii="黑体" w:hAnsi="黑体" w:eastAsia="黑体"/>
          <w:color w:val="0D1E0F" w:themeColor="background1" w:themeShade="1A"/>
          <w:sz w:val="32"/>
          <w:szCs w:val="28"/>
        </w:rPr>
      </w:pPr>
    </w:p>
    <w:p>
      <w:pPr>
        <w:spacing w:line="500" w:lineRule="exact"/>
        <w:rPr>
          <w:rFonts w:ascii="黑体" w:hAnsi="黑体" w:eastAsia="黑体"/>
          <w:color w:val="0D1E0F" w:themeColor="background1" w:themeShade="1A"/>
          <w:sz w:val="32"/>
          <w:szCs w:val="28"/>
        </w:rPr>
      </w:pPr>
    </w:p>
    <w:p>
      <w:pPr>
        <w:spacing w:line="500" w:lineRule="exact"/>
        <w:rPr>
          <w:rFonts w:ascii="黑体" w:hAnsi="黑体" w:eastAsia="黑体"/>
          <w:color w:val="0D1E0F" w:themeColor="background1" w:themeShade="1A"/>
          <w:sz w:val="32"/>
          <w:szCs w:val="28"/>
        </w:rPr>
      </w:pPr>
    </w:p>
    <w:p>
      <w:pPr>
        <w:spacing w:line="500" w:lineRule="exact"/>
        <w:rPr>
          <w:rFonts w:ascii="黑体" w:hAnsi="黑体" w:eastAsia="黑体"/>
          <w:color w:val="0D1E0F" w:themeColor="background1" w:themeShade="1A"/>
          <w:sz w:val="32"/>
          <w:szCs w:val="28"/>
        </w:rPr>
      </w:pPr>
    </w:p>
    <w:p>
      <w:pPr>
        <w:spacing w:line="500" w:lineRule="exact"/>
        <w:rPr>
          <w:rFonts w:ascii="仿宋_GB2312" w:hAnsi="宋体" w:eastAsia="仿宋_GB2312"/>
          <w:b/>
          <w:color w:val="0D1E0F" w:themeColor="background1" w:themeShade="1A"/>
          <w:sz w:val="28"/>
          <w:szCs w:val="28"/>
        </w:rPr>
      </w:pPr>
      <w:r>
        <w:rPr>
          <w:rFonts w:hint="eastAsia" w:ascii="黑体" w:hAnsi="黑体" w:eastAsia="黑体"/>
          <w:color w:val="0D1E0F" w:themeColor="background1" w:themeShade="1A"/>
          <w:sz w:val="32"/>
          <w:szCs w:val="28"/>
        </w:rPr>
        <w:t>附表</w:t>
      </w:r>
    </w:p>
    <w:p>
      <w:pPr>
        <w:spacing w:line="500" w:lineRule="exact"/>
        <w:rPr>
          <w:rFonts w:ascii="仿宋_GB2312" w:hAnsi="宋体" w:eastAsia="仿宋_GB2312"/>
          <w:b/>
          <w:color w:val="0D1E0F" w:themeColor="background1" w:themeShade="1A"/>
          <w:sz w:val="28"/>
          <w:szCs w:val="28"/>
        </w:rPr>
      </w:pPr>
    </w:p>
    <w:tbl>
      <w:tblPr>
        <w:tblStyle w:val="6"/>
        <w:tblW w:w="9563" w:type="dxa"/>
        <w:jc w:val="center"/>
        <w:tblInd w:w="-318" w:type="dxa"/>
        <w:tblLayout w:type="fixed"/>
        <w:tblCellMar>
          <w:top w:w="0" w:type="dxa"/>
          <w:left w:w="108" w:type="dxa"/>
          <w:bottom w:w="0" w:type="dxa"/>
          <w:right w:w="108" w:type="dxa"/>
        </w:tblCellMar>
      </w:tblPr>
      <w:tblGrid>
        <w:gridCol w:w="834"/>
        <w:gridCol w:w="992"/>
        <w:gridCol w:w="992"/>
        <w:gridCol w:w="992"/>
        <w:gridCol w:w="709"/>
        <w:gridCol w:w="709"/>
        <w:gridCol w:w="732"/>
        <w:gridCol w:w="909"/>
        <w:gridCol w:w="851"/>
        <w:gridCol w:w="890"/>
        <w:gridCol w:w="953"/>
      </w:tblGrid>
      <w:tr>
        <w:tblPrEx>
          <w:tblLayout w:type="fixed"/>
          <w:tblCellMar>
            <w:top w:w="0" w:type="dxa"/>
            <w:left w:w="108" w:type="dxa"/>
            <w:bottom w:w="0" w:type="dxa"/>
            <w:right w:w="108" w:type="dxa"/>
          </w:tblCellMar>
        </w:tblPrEx>
        <w:trPr>
          <w:trHeight w:val="450" w:hRule="atLeast"/>
          <w:jc w:val="center"/>
        </w:trPr>
        <w:tc>
          <w:tcPr>
            <w:tcW w:w="9563" w:type="dxa"/>
            <w:gridSpan w:val="11"/>
            <w:tcBorders>
              <w:top w:val="nil"/>
              <w:left w:val="nil"/>
              <w:bottom w:val="nil"/>
              <w:right w:val="nil"/>
            </w:tcBorders>
            <w:vAlign w:val="bottom"/>
          </w:tcPr>
          <w:p>
            <w:pPr>
              <w:widowControl/>
              <w:jc w:val="center"/>
              <w:rPr>
                <w:rFonts w:ascii="宋体" w:hAnsi="宋体" w:cs="宋体"/>
                <w:b/>
                <w:bCs/>
                <w:color w:val="0D1E0F" w:themeColor="background1" w:themeShade="1A"/>
                <w:kern w:val="0"/>
                <w:sz w:val="36"/>
                <w:szCs w:val="36"/>
              </w:rPr>
            </w:pPr>
            <w:r>
              <w:rPr>
                <w:rFonts w:hint="eastAsia" w:ascii="宋体" w:hAnsi="宋体" w:cs="宋体"/>
                <w:b/>
                <w:bCs/>
                <w:color w:val="0D1E0F" w:themeColor="background1" w:themeShade="1A"/>
                <w:kern w:val="0"/>
                <w:sz w:val="36"/>
                <w:szCs w:val="36"/>
              </w:rPr>
              <w:t>购销药品明细表</w:t>
            </w:r>
          </w:p>
        </w:tc>
      </w:tr>
      <w:tr>
        <w:tblPrEx>
          <w:tblLayout w:type="fixed"/>
          <w:tblCellMar>
            <w:top w:w="0" w:type="dxa"/>
            <w:left w:w="108" w:type="dxa"/>
            <w:bottom w:w="0" w:type="dxa"/>
            <w:right w:w="108" w:type="dxa"/>
          </w:tblCellMar>
        </w:tblPrEx>
        <w:trPr>
          <w:trHeight w:val="285" w:hRule="atLeast"/>
          <w:jc w:val="center"/>
        </w:trPr>
        <w:tc>
          <w:tcPr>
            <w:tcW w:w="9563" w:type="dxa"/>
            <w:gridSpan w:val="11"/>
            <w:tcBorders>
              <w:top w:val="nil"/>
              <w:left w:val="nil"/>
              <w:bottom w:val="nil"/>
              <w:right w:val="nil"/>
            </w:tcBorders>
            <w:vAlign w:val="bottom"/>
          </w:tcPr>
          <w:p>
            <w:pPr>
              <w:widowControl/>
              <w:jc w:val="center"/>
              <w:rPr>
                <w:rFonts w:ascii="宋体" w:hAnsi="宋体" w:cs="宋体"/>
                <w:color w:val="0D1E0F" w:themeColor="background1" w:themeShade="1A"/>
                <w:kern w:val="0"/>
                <w:sz w:val="24"/>
              </w:rPr>
            </w:pPr>
          </w:p>
        </w:tc>
      </w:tr>
      <w:tr>
        <w:tblPrEx>
          <w:tblLayout w:type="fixed"/>
          <w:tblCellMar>
            <w:top w:w="0" w:type="dxa"/>
            <w:left w:w="108" w:type="dxa"/>
            <w:bottom w:w="0" w:type="dxa"/>
            <w:right w:w="108" w:type="dxa"/>
          </w:tblCellMar>
        </w:tblPrEx>
        <w:trPr>
          <w:trHeight w:val="465" w:hRule="atLeast"/>
          <w:jc w:val="center"/>
        </w:trPr>
        <w:tc>
          <w:tcPr>
            <w:tcW w:w="9563" w:type="dxa"/>
            <w:gridSpan w:val="11"/>
            <w:tcBorders>
              <w:top w:val="nil"/>
              <w:left w:val="nil"/>
              <w:bottom w:val="nil"/>
              <w:right w:val="nil"/>
            </w:tcBorders>
            <w:vAlign w:val="center"/>
          </w:tcPr>
          <w:p>
            <w:pPr>
              <w:widowControl/>
              <w:jc w:val="left"/>
              <w:rPr>
                <w:rFonts w:ascii="宋体" w:hAnsi="宋体" w:cs="宋体"/>
                <w:b/>
                <w:bCs/>
                <w:color w:val="0D1E0F" w:themeColor="background1" w:themeShade="1A"/>
                <w:kern w:val="0"/>
                <w:sz w:val="28"/>
                <w:szCs w:val="28"/>
              </w:rPr>
            </w:pPr>
            <w:r>
              <w:rPr>
                <w:rFonts w:hint="eastAsia" w:ascii="宋体" w:hAnsi="宋体" w:cs="宋体"/>
                <w:b/>
                <w:bCs/>
                <w:color w:val="0D1E0F" w:themeColor="background1" w:themeShade="1A"/>
                <w:kern w:val="0"/>
                <w:sz w:val="28"/>
                <w:szCs w:val="28"/>
              </w:rPr>
              <w:t xml:space="preserve">甲方（盖章）：                                   乙方（盖章）：                                                        </w:t>
            </w:r>
          </w:p>
        </w:tc>
      </w:tr>
      <w:tr>
        <w:tblPrEx>
          <w:tblLayout w:type="fixed"/>
          <w:tblCellMar>
            <w:top w:w="0" w:type="dxa"/>
            <w:left w:w="108" w:type="dxa"/>
            <w:bottom w:w="0" w:type="dxa"/>
            <w:right w:w="108" w:type="dxa"/>
          </w:tblCellMar>
        </w:tblPrEx>
        <w:trPr>
          <w:trHeight w:val="46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D1E0F" w:themeColor="background1" w:themeShade="1A"/>
                <w:kern w:val="0"/>
                <w:sz w:val="24"/>
              </w:rPr>
            </w:pPr>
            <w:r>
              <w:rPr>
                <w:rFonts w:hint="eastAsia" w:ascii="宋体" w:hAnsi="宋体" w:cs="宋体"/>
                <w:b/>
                <w:bCs/>
                <w:color w:val="0D1E0F" w:themeColor="background1" w:themeShade="1A"/>
                <w:kern w:val="0"/>
                <w:sz w:val="24"/>
              </w:rPr>
              <w:t>序号</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D1E0F" w:themeColor="background1" w:themeShade="1A"/>
                <w:kern w:val="0"/>
                <w:sz w:val="24"/>
              </w:rPr>
            </w:pPr>
            <w:r>
              <w:rPr>
                <w:rFonts w:hint="eastAsia" w:ascii="宋体" w:hAnsi="宋体" w:cs="宋体"/>
                <w:b/>
                <w:bCs/>
                <w:color w:val="0D1E0F" w:themeColor="background1" w:themeShade="1A"/>
                <w:kern w:val="0"/>
                <w:sz w:val="24"/>
              </w:rPr>
              <w:t>流水号</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D1E0F" w:themeColor="background1" w:themeShade="1A"/>
                <w:kern w:val="0"/>
                <w:sz w:val="24"/>
              </w:rPr>
            </w:pPr>
            <w:r>
              <w:rPr>
                <w:rFonts w:hint="eastAsia" w:ascii="宋体" w:hAnsi="宋体" w:cs="宋体"/>
                <w:b/>
                <w:bCs/>
                <w:color w:val="0D1E0F" w:themeColor="background1" w:themeShade="1A"/>
                <w:kern w:val="0"/>
                <w:sz w:val="24"/>
              </w:rPr>
              <w:t>通用名</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D1E0F" w:themeColor="background1" w:themeShade="1A"/>
                <w:kern w:val="0"/>
                <w:sz w:val="24"/>
              </w:rPr>
            </w:pPr>
            <w:r>
              <w:rPr>
                <w:rFonts w:hint="eastAsia" w:ascii="宋体" w:hAnsi="宋体" w:cs="宋体"/>
                <w:b/>
                <w:bCs/>
                <w:color w:val="0D1E0F" w:themeColor="background1" w:themeShade="1A"/>
                <w:kern w:val="0"/>
                <w:sz w:val="24"/>
              </w:rPr>
              <w:t>商品名</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D1E0F" w:themeColor="background1" w:themeShade="1A"/>
                <w:kern w:val="0"/>
                <w:sz w:val="24"/>
              </w:rPr>
            </w:pPr>
            <w:r>
              <w:rPr>
                <w:rFonts w:hint="eastAsia" w:ascii="宋体" w:hAnsi="宋体" w:cs="宋体"/>
                <w:b/>
                <w:bCs/>
                <w:color w:val="0D1E0F" w:themeColor="background1" w:themeShade="1A"/>
                <w:kern w:val="0"/>
                <w:sz w:val="24"/>
              </w:rPr>
              <w:t>剂型</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D1E0F" w:themeColor="background1" w:themeShade="1A"/>
                <w:kern w:val="0"/>
                <w:sz w:val="24"/>
              </w:rPr>
            </w:pPr>
            <w:r>
              <w:rPr>
                <w:rFonts w:hint="eastAsia" w:ascii="宋体" w:hAnsi="宋体" w:cs="宋体"/>
                <w:b/>
                <w:bCs/>
                <w:color w:val="0D1E0F" w:themeColor="background1" w:themeShade="1A"/>
                <w:kern w:val="0"/>
                <w:sz w:val="24"/>
              </w:rPr>
              <w:t>规格</w:t>
            </w:r>
          </w:p>
        </w:tc>
        <w:tc>
          <w:tcPr>
            <w:tcW w:w="73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D1E0F" w:themeColor="background1" w:themeShade="1A"/>
                <w:kern w:val="0"/>
                <w:sz w:val="24"/>
              </w:rPr>
            </w:pPr>
            <w:r>
              <w:rPr>
                <w:rFonts w:hint="eastAsia" w:ascii="宋体" w:hAnsi="宋体" w:cs="宋体"/>
                <w:b/>
                <w:bCs/>
                <w:color w:val="0D1E0F" w:themeColor="background1" w:themeShade="1A"/>
                <w:kern w:val="0"/>
                <w:sz w:val="24"/>
              </w:rPr>
              <w:t>包装</w:t>
            </w:r>
          </w:p>
        </w:tc>
        <w:tc>
          <w:tcPr>
            <w:tcW w:w="9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D1E0F" w:themeColor="background1" w:themeShade="1A"/>
                <w:kern w:val="0"/>
                <w:sz w:val="24"/>
              </w:rPr>
            </w:pPr>
            <w:r>
              <w:rPr>
                <w:rFonts w:hint="eastAsia" w:ascii="宋体" w:hAnsi="宋体" w:cs="宋体"/>
                <w:b/>
                <w:bCs/>
                <w:color w:val="0D1E0F" w:themeColor="background1" w:themeShade="1A"/>
                <w:kern w:val="0"/>
                <w:sz w:val="24"/>
              </w:rPr>
              <w:t>生产</w:t>
            </w:r>
          </w:p>
          <w:p>
            <w:pPr>
              <w:widowControl/>
              <w:jc w:val="center"/>
              <w:rPr>
                <w:rFonts w:ascii="宋体" w:hAnsi="宋体" w:cs="宋体"/>
                <w:b/>
                <w:bCs/>
                <w:color w:val="0D1E0F" w:themeColor="background1" w:themeShade="1A"/>
                <w:kern w:val="0"/>
                <w:sz w:val="24"/>
              </w:rPr>
            </w:pPr>
            <w:r>
              <w:rPr>
                <w:rFonts w:hint="eastAsia" w:ascii="宋体" w:hAnsi="宋体" w:cs="宋体"/>
                <w:b/>
                <w:bCs/>
                <w:color w:val="0D1E0F" w:themeColor="background1" w:themeShade="1A"/>
                <w:kern w:val="0"/>
                <w:sz w:val="24"/>
              </w:rPr>
              <w:t>企业</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D1E0F" w:themeColor="background1" w:themeShade="1A"/>
                <w:kern w:val="0"/>
                <w:sz w:val="24"/>
              </w:rPr>
            </w:pPr>
            <w:r>
              <w:rPr>
                <w:rFonts w:hint="eastAsia" w:ascii="宋体" w:hAnsi="宋体" w:cs="宋体"/>
                <w:b/>
                <w:bCs/>
                <w:color w:val="0D1E0F" w:themeColor="background1" w:themeShade="1A"/>
                <w:kern w:val="0"/>
                <w:sz w:val="24"/>
              </w:rPr>
              <w:t>采购</w:t>
            </w:r>
          </w:p>
          <w:p>
            <w:pPr>
              <w:widowControl/>
              <w:jc w:val="center"/>
              <w:rPr>
                <w:rFonts w:ascii="宋体" w:hAnsi="宋体" w:cs="宋体"/>
                <w:b/>
                <w:bCs/>
                <w:color w:val="0D1E0F" w:themeColor="background1" w:themeShade="1A"/>
                <w:kern w:val="0"/>
                <w:sz w:val="24"/>
              </w:rPr>
            </w:pPr>
            <w:r>
              <w:rPr>
                <w:rFonts w:hint="eastAsia" w:ascii="宋体" w:hAnsi="宋体" w:cs="宋体"/>
                <w:b/>
                <w:bCs/>
                <w:color w:val="0D1E0F" w:themeColor="background1" w:themeShade="1A"/>
                <w:kern w:val="0"/>
                <w:sz w:val="24"/>
              </w:rPr>
              <w:t>价格</w:t>
            </w:r>
          </w:p>
        </w:tc>
        <w:tc>
          <w:tcPr>
            <w:tcW w:w="89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D1E0F" w:themeColor="background1" w:themeShade="1A"/>
                <w:kern w:val="0"/>
                <w:sz w:val="24"/>
              </w:rPr>
            </w:pPr>
            <w:r>
              <w:rPr>
                <w:rFonts w:hint="eastAsia" w:ascii="宋体" w:hAnsi="宋体" w:cs="宋体"/>
                <w:b/>
                <w:bCs/>
                <w:color w:val="0D1E0F" w:themeColor="background1" w:themeShade="1A"/>
                <w:kern w:val="0"/>
                <w:sz w:val="24"/>
              </w:rPr>
              <w:t>采购</w:t>
            </w:r>
          </w:p>
          <w:p>
            <w:pPr>
              <w:widowControl/>
              <w:jc w:val="center"/>
              <w:rPr>
                <w:rFonts w:ascii="宋体" w:hAnsi="宋体" w:cs="宋体"/>
                <w:b/>
                <w:bCs/>
                <w:color w:val="0D1E0F" w:themeColor="background1" w:themeShade="1A"/>
                <w:kern w:val="0"/>
                <w:sz w:val="24"/>
              </w:rPr>
            </w:pPr>
            <w:r>
              <w:rPr>
                <w:rFonts w:hint="eastAsia" w:ascii="宋体" w:hAnsi="宋体" w:cs="宋体"/>
                <w:b/>
                <w:bCs/>
                <w:color w:val="0D1E0F" w:themeColor="background1" w:themeShade="1A"/>
                <w:kern w:val="0"/>
                <w:sz w:val="24"/>
              </w:rPr>
              <w:t>数量</w:t>
            </w:r>
          </w:p>
        </w:tc>
        <w:tc>
          <w:tcPr>
            <w:tcW w:w="95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D1E0F" w:themeColor="background1" w:themeShade="1A"/>
                <w:kern w:val="0"/>
                <w:sz w:val="24"/>
              </w:rPr>
            </w:pPr>
            <w:r>
              <w:rPr>
                <w:rFonts w:hint="eastAsia" w:ascii="宋体" w:hAnsi="宋体" w:cs="宋体"/>
                <w:b/>
                <w:bCs/>
                <w:color w:val="0D1E0F" w:themeColor="background1" w:themeShade="1A"/>
                <w:kern w:val="0"/>
                <w:sz w:val="24"/>
              </w:rPr>
              <w:t>采购</w:t>
            </w:r>
          </w:p>
          <w:p>
            <w:pPr>
              <w:widowControl/>
              <w:jc w:val="center"/>
              <w:rPr>
                <w:rFonts w:ascii="宋体" w:hAnsi="宋体" w:cs="宋体"/>
                <w:b/>
                <w:bCs/>
                <w:color w:val="0D1E0F" w:themeColor="background1" w:themeShade="1A"/>
                <w:kern w:val="0"/>
                <w:sz w:val="24"/>
              </w:rPr>
            </w:pPr>
            <w:r>
              <w:rPr>
                <w:rFonts w:hint="eastAsia" w:ascii="宋体" w:hAnsi="宋体" w:cs="宋体"/>
                <w:b/>
                <w:bCs/>
                <w:color w:val="0D1E0F" w:themeColor="background1" w:themeShade="1A"/>
                <w:kern w:val="0"/>
                <w:sz w:val="24"/>
              </w:rPr>
              <w:t>时间</w:t>
            </w:r>
          </w:p>
        </w:tc>
      </w:tr>
      <w:tr>
        <w:tblPrEx>
          <w:tblLayout w:type="fixed"/>
          <w:tblCellMar>
            <w:top w:w="0" w:type="dxa"/>
            <w:left w:w="108" w:type="dxa"/>
            <w:bottom w:w="0" w:type="dxa"/>
            <w:right w:w="108" w:type="dxa"/>
          </w:tblCellMar>
        </w:tblPrEx>
        <w:trPr>
          <w:trHeight w:val="499" w:hRule="atLeast"/>
          <w:jc w:val="center"/>
        </w:trPr>
        <w:tc>
          <w:tcPr>
            <w:tcW w:w="834"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709"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709"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73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09"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851"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890"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53"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r>
      <w:tr>
        <w:tblPrEx>
          <w:tblLayout w:type="fixed"/>
          <w:tblCellMar>
            <w:top w:w="0" w:type="dxa"/>
            <w:left w:w="108" w:type="dxa"/>
            <w:bottom w:w="0" w:type="dxa"/>
            <w:right w:w="108" w:type="dxa"/>
          </w:tblCellMar>
        </w:tblPrEx>
        <w:trPr>
          <w:trHeight w:val="499" w:hRule="atLeast"/>
          <w:jc w:val="center"/>
        </w:trPr>
        <w:tc>
          <w:tcPr>
            <w:tcW w:w="834"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709"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709"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73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09"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851"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890"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53"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r>
      <w:tr>
        <w:tblPrEx>
          <w:tblLayout w:type="fixed"/>
          <w:tblCellMar>
            <w:top w:w="0" w:type="dxa"/>
            <w:left w:w="108" w:type="dxa"/>
            <w:bottom w:w="0" w:type="dxa"/>
            <w:right w:w="108" w:type="dxa"/>
          </w:tblCellMar>
        </w:tblPrEx>
        <w:trPr>
          <w:trHeight w:val="499" w:hRule="atLeast"/>
          <w:jc w:val="center"/>
        </w:trPr>
        <w:tc>
          <w:tcPr>
            <w:tcW w:w="834"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709"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709"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73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09"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851"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890"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53"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r>
      <w:tr>
        <w:tblPrEx>
          <w:tblLayout w:type="fixed"/>
          <w:tblCellMar>
            <w:top w:w="0" w:type="dxa"/>
            <w:left w:w="108" w:type="dxa"/>
            <w:bottom w:w="0" w:type="dxa"/>
            <w:right w:w="108" w:type="dxa"/>
          </w:tblCellMar>
        </w:tblPrEx>
        <w:trPr>
          <w:trHeight w:val="499" w:hRule="atLeast"/>
          <w:jc w:val="center"/>
        </w:trPr>
        <w:tc>
          <w:tcPr>
            <w:tcW w:w="834"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709"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709"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73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09"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851"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890"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53"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r>
      <w:tr>
        <w:tblPrEx>
          <w:tblLayout w:type="fixed"/>
          <w:tblCellMar>
            <w:top w:w="0" w:type="dxa"/>
            <w:left w:w="108" w:type="dxa"/>
            <w:bottom w:w="0" w:type="dxa"/>
            <w:right w:w="108" w:type="dxa"/>
          </w:tblCellMar>
        </w:tblPrEx>
        <w:trPr>
          <w:trHeight w:val="499" w:hRule="atLeast"/>
          <w:jc w:val="center"/>
        </w:trPr>
        <w:tc>
          <w:tcPr>
            <w:tcW w:w="834"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709"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709"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73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09"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851"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890"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53"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r>
      <w:tr>
        <w:tblPrEx>
          <w:tblLayout w:type="fixed"/>
          <w:tblCellMar>
            <w:top w:w="0" w:type="dxa"/>
            <w:left w:w="108" w:type="dxa"/>
            <w:bottom w:w="0" w:type="dxa"/>
            <w:right w:w="108" w:type="dxa"/>
          </w:tblCellMar>
        </w:tblPrEx>
        <w:trPr>
          <w:trHeight w:val="499" w:hRule="atLeast"/>
          <w:jc w:val="center"/>
        </w:trPr>
        <w:tc>
          <w:tcPr>
            <w:tcW w:w="834"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709"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709"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73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09"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851"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890"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53"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r>
      <w:tr>
        <w:tblPrEx>
          <w:tblLayout w:type="fixed"/>
          <w:tblCellMar>
            <w:top w:w="0" w:type="dxa"/>
            <w:left w:w="108" w:type="dxa"/>
            <w:bottom w:w="0" w:type="dxa"/>
            <w:right w:w="108" w:type="dxa"/>
          </w:tblCellMar>
        </w:tblPrEx>
        <w:trPr>
          <w:trHeight w:val="499" w:hRule="atLeast"/>
          <w:jc w:val="center"/>
        </w:trPr>
        <w:tc>
          <w:tcPr>
            <w:tcW w:w="834"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709"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709"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73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09"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851"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890"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53"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r>
      <w:tr>
        <w:tblPrEx>
          <w:tblLayout w:type="fixed"/>
          <w:tblCellMar>
            <w:top w:w="0" w:type="dxa"/>
            <w:left w:w="108" w:type="dxa"/>
            <w:bottom w:w="0" w:type="dxa"/>
            <w:right w:w="108" w:type="dxa"/>
          </w:tblCellMar>
        </w:tblPrEx>
        <w:trPr>
          <w:trHeight w:val="499" w:hRule="atLeast"/>
          <w:jc w:val="center"/>
        </w:trPr>
        <w:tc>
          <w:tcPr>
            <w:tcW w:w="834"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709"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709"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732"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09"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851"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890"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c>
          <w:tcPr>
            <w:tcW w:w="953" w:type="dxa"/>
            <w:tcBorders>
              <w:top w:val="nil"/>
              <w:left w:val="nil"/>
              <w:bottom w:val="single" w:color="auto" w:sz="4" w:space="0"/>
              <w:right w:val="single" w:color="auto" w:sz="4" w:space="0"/>
            </w:tcBorders>
            <w:vAlign w:val="bottom"/>
          </w:tcPr>
          <w:p>
            <w:pPr>
              <w:widowControl/>
              <w:jc w:val="left"/>
              <w:rPr>
                <w:rFonts w:ascii="宋体" w:hAnsi="宋体" w:cs="宋体"/>
                <w:color w:val="0D1E0F" w:themeColor="background1" w:themeShade="1A"/>
                <w:kern w:val="0"/>
                <w:sz w:val="24"/>
              </w:rPr>
            </w:pPr>
            <w:r>
              <w:rPr>
                <w:rFonts w:hint="eastAsia" w:ascii="宋体" w:hAnsi="宋体" w:cs="宋体"/>
                <w:color w:val="0D1E0F" w:themeColor="background1" w:themeShade="1A"/>
                <w:kern w:val="0"/>
                <w:sz w:val="24"/>
              </w:rPr>
              <w:t>　</w:t>
            </w:r>
          </w:p>
        </w:tc>
      </w:tr>
    </w:tbl>
    <w:p>
      <w:pPr>
        <w:spacing w:beforeLines="100"/>
        <w:ind w:firstLine="480" w:firstLineChars="200"/>
        <w:rPr>
          <w:rFonts w:ascii="仿宋_GB2312" w:eastAsia="仿宋_GB2312"/>
          <w:color w:val="0D1E0F" w:themeColor="background1" w:themeShade="1A"/>
          <w:sz w:val="24"/>
          <w:szCs w:val="24"/>
        </w:rPr>
      </w:pPr>
      <w:r>
        <w:rPr>
          <w:rFonts w:hint="eastAsia" w:ascii="仿宋_GB2312" w:eastAsia="仿宋_GB2312"/>
          <w:color w:val="0D1E0F" w:themeColor="background1" w:themeShade="1A"/>
          <w:sz w:val="24"/>
          <w:szCs w:val="24"/>
        </w:rPr>
        <w:t>注意：乙方的配送批量以</w:t>
      </w:r>
      <w:r>
        <w:rPr>
          <w:rFonts w:hint="eastAsia" w:ascii="仿宋_GB2312" w:hAnsi="宋体" w:eastAsia="仿宋_GB2312"/>
          <w:color w:val="0D1E0F" w:themeColor="background1" w:themeShade="1A"/>
          <w:sz w:val="24"/>
          <w:szCs w:val="24"/>
        </w:rPr>
        <w:t>自治区药械集中采购网</w:t>
      </w:r>
      <w:r>
        <w:rPr>
          <w:rFonts w:hint="eastAsia" w:ascii="仿宋_GB2312" w:hAnsi="宋体" w:eastAsia="仿宋_GB2312" w:cs="宋体"/>
          <w:color w:val="0D1E0F" w:themeColor="background1" w:themeShade="1A"/>
          <w:sz w:val="24"/>
          <w:szCs w:val="24"/>
        </w:rPr>
        <w:t>平台交易系统中甲乙双方交易订单号所体现的信息为准。</w:t>
      </w:r>
    </w:p>
    <w:p>
      <w:pPr>
        <w:rPr>
          <w:color w:val="0D1E0F" w:themeColor="background1" w:themeShade="1A"/>
        </w:rPr>
      </w:pPr>
    </w:p>
    <w:p>
      <w:pPr>
        <w:spacing w:line="580" w:lineRule="exact"/>
        <w:ind w:firstLine="562" w:firstLineChars="200"/>
        <w:rPr>
          <w:rFonts w:ascii="仿宋_GB2312" w:hAnsi="宋体" w:eastAsia="仿宋_GB2312"/>
          <w:b/>
          <w:color w:val="0D1E0F" w:themeColor="background1" w:themeShade="1A"/>
          <w:sz w:val="28"/>
          <w:szCs w:val="28"/>
        </w:rPr>
      </w:pPr>
    </w:p>
    <w:p>
      <w:pPr>
        <w:spacing w:line="580" w:lineRule="exact"/>
        <w:ind w:firstLine="420" w:firstLineChars="200"/>
        <w:rPr>
          <w:color w:val="0D1E0F" w:themeColor="background1" w:themeShade="1A"/>
        </w:rPr>
      </w:pPr>
    </w:p>
    <w:p>
      <w:pPr>
        <w:rPr>
          <w:color w:val="0D1E0F" w:themeColor="background1" w:themeShade="1A"/>
        </w:rPr>
      </w:pPr>
    </w:p>
    <w:p>
      <w:pPr>
        <w:widowControl/>
        <w:jc w:val="left"/>
        <w:rPr>
          <w:rFonts w:ascii="仿宋_GB2312" w:eastAsia="仿宋_GB2312"/>
          <w:color w:val="0D1E0F" w:themeColor="background1" w:themeShade="1A"/>
          <w:sz w:val="32"/>
          <w:szCs w:val="32"/>
        </w:rPr>
      </w:pPr>
      <w:r>
        <w:rPr>
          <w:rFonts w:ascii="仿宋_GB2312" w:eastAsia="仿宋_GB2312"/>
          <w:color w:val="0D1E0F" w:themeColor="background1" w:themeShade="1A"/>
          <w:sz w:val="32"/>
          <w:szCs w:val="32"/>
        </w:rPr>
        <w:br w:type="page"/>
      </w:r>
    </w:p>
    <w:p>
      <w:pPr>
        <w:adjustRightInd w:val="0"/>
        <w:snapToGrid w:val="0"/>
        <w:spacing w:line="560" w:lineRule="exact"/>
        <w:rPr>
          <w:rFonts w:ascii="黑体" w:eastAsia="黑体"/>
          <w:color w:val="0D1E0F" w:themeColor="background1" w:themeShade="1A"/>
          <w:sz w:val="32"/>
          <w:szCs w:val="32"/>
        </w:rPr>
      </w:pPr>
      <w:r>
        <w:rPr>
          <w:rFonts w:hint="eastAsia" w:ascii="黑体" w:eastAsia="黑体"/>
          <w:color w:val="0D1E0F" w:themeColor="background1" w:themeShade="1A"/>
          <w:sz w:val="32"/>
          <w:szCs w:val="32"/>
        </w:rPr>
        <w:t>附件2</w:t>
      </w:r>
    </w:p>
    <w:p>
      <w:pPr>
        <w:adjustRightInd w:val="0"/>
        <w:snapToGrid w:val="0"/>
        <w:spacing w:line="560" w:lineRule="exact"/>
        <w:rPr>
          <w:rFonts w:ascii="黑体" w:eastAsia="黑体"/>
          <w:color w:val="0D1E0F" w:themeColor="background1" w:themeShade="1A"/>
          <w:sz w:val="32"/>
          <w:szCs w:val="32"/>
        </w:rPr>
      </w:pPr>
    </w:p>
    <w:p>
      <w:pPr>
        <w:spacing w:line="560" w:lineRule="exact"/>
        <w:jc w:val="center"/>
        <w:rPr>
          <w:rFonts w:ascii="方正小标宋简体" w:hAnsi="??" w:eastAsia="方正小标宋简体"/>
          <w:color w:val="0D1E0F" w:themeColor="background1" w:themeShade="1A"/>
          <w:sz w:val="44"/>
          <w:szCs w:val="44"/>
        </w:rPr>
      </w:pPr>
      <w:r>
        <w:rPr>
          <w:rFonts w:hint="eastAsia" w:ascii="方正小标宋简体" w:hAnsi="??" w:eastAsia="方正小标宋简体"/>
          <w:color w:val="0D1E0F" w:themeColor="background1" w:themeShade="1A"/>
          <w:sz w:val="44"/>
          <w:szCs w:val="44"/>
        </w:rPr>
        <w:t>广西壮族自治区医疗卫生机构医药产品</w:t>
      </w:r>
    </w:p>
    <w:p>
      <w:pPr>
        <w:spacing w:line="560" w:lineRule="exact"/>
        <w:jc w:val="center"/>
        <w:rPr>
          <w:rFonts w:ascii="方正小标宋简体" w:hAnsi="宋体" w:eastAsia="方正小标宋简体"/>
          <w:color w:val="0D1E0F" w:themeColor="background1" w:themeShade="1A"/>
          <w:sz w:val="44"/>
          <w:szCs w:val="44"/>
        </w:rPr>
      </w:pPr>
      <w:r>
        <w:rPr>
          <w:rFonts w:hint="eastAsia" w:ascii="方正小标宋简体" w:hAnsi="??" w:eastAsia="方正小标宋简体"/>
          <w:color w:val="0D1E0F" w:themeColor="background1" w:themeShade="1A"/>
          <w:sz w:val="44"/>
          <w:szCs w:val="44"/>
        </w:rPr>
        <w:t>购销廉洁协议</w:t>
      </w:r>
      <w:r>
        <w:rPr>
          <w:rFonts w:hint="eastAsia" w:ascii="方正小标宋简体" w:hAnsi="宋体" w:eastAsia="方正小标宋简体"/>
          <w:color w:val="0D1E0F" w:themeColor="background1" w:themeShade="1A"/>
          <w:sz w:val="44"/>
          <w:szCs w:val="44"/>
        </w:rPr>
        <w:t>（范本）</w:t>
      </w:r>
    </w:p>
    <w:p>
      <w:pPr>
        <w:spacing w:line="560" w:lineRule="exact"/>
        <w:ind w:firstLine="640" w:firstLineChars="200"/>
        <w:rPr>
          <w:rFonts w:ascii="楷体_GB2312" w:hAnsi="宋体" w:eastAsia="楷体_GB2312"/>
          <w:color w:val="0D1E0F" w:themeColor="background1" w:themeShade="1A"/>
          <w:sz w:val="32"/>
          <w:szCs w:val="32"/>
        </w:rPr>
      </w:pPr>
    </w:p>
    <w:p>
      <w:pPr>
        <w:spacing w:line="560" w:lineRule="exact"/>
        <w:ind w:firstLine="562" w:firstLineChars="200"/>
        <w:rPr>
          <w:rFonts w:ascii="仿宋_GB2312" w:hAnsi="宋体" w:eastAsia="仿宋_GB2312"/>
          <w:color w:val="0D1E0F" w:themeColor="background1" w:themeShade="1A"/>
          <w:sz w:val="28"/>
          <w:szCs w:val="28"/>
          <w:u w:val="single"/>
        </w:rPr>
      </w:pPr>
      <w:r>
        <w:rPr>
          <w:rFonts w:hint="eastAsia" w:ascii="仿宋_GB2312" w:hAnsi="宋体" w:eastAsia="仿宋_GB2312"/>
          <w:b/>
          <w:color w:val="0D1E0F" w:themeColor="background1" w:themeShade="1A"/>
          <w:sz w:val="28"/>
          <w:szCs w:val="28"/>
        </w:rPr>
        <w:t>甲方：</w:t>
      </w:r>
      <w:r>
        <w:rPr>
          <w:rFonts w:hint="eastAsia" w:ascii="仿宋_GB2312" w:hAnsi="宋体" w:eastAsia="仿宋_GB2312"/>
          <w:color w:val="0D1E0F" w:themeColor="background1" w:themeShade="1A"/>
          <w:sz w:val="28"/>
          <w:szCs w:val="28"/>
          <w:u w:val="single"/>
        </w:rPr>
        <w:t>（医疗卫生机构）</w:t>
      </w:r>
    </w:p>
    <w:p>
      <w:pPr>
        <w:spacing w:line="560" w:lineRule="exact"/>
        <w:ind w:firstLine="562" w:firstLineChars="200"/>
        <w:rPr>
          <w:rFonts w:ascii="仿宋_GB2312" w:hAnsi="宋体" w:eastAsia="仿宋_GB2312"/>
          <w:color w:val="0D1E0F" w:themeColor="background1" w:themeShade="1A"/>
          <w:sz w:val="28"/>
          <w:szCs w:val="28"/>
          <w:u w:val="single"/>
        </w:rPr>
      </w:pPr>
      <w:r>
        <w:rPr>
          <w:rFonts w:hint="eastAsia" w:ascii="仿宋_GB2312" w:hAnsi="宋体" w:eastAsia="仿宋_GB2312"/>
          <w:b/>
          <w:color w:val="0D1E0F" w:themeColor="background1" w:themeShade="1A"/>
          <w:sz w:val="28"/>
          <w:szCs w:val="28"/>
        </w:rPr>
        <w:t>乙方：</w:t>
      </w:r>
      <w:r>
        <w:rPr>
          <w:rFonts w:hint="eastAsia" w:ascii="仿宋_GB2312" w:hAnsi="宋体" w:eastAsia="仿宋_GB2312"/>
          <w:color w:val="0D1E0F" w:themeColor="background1" w:themeShade="1A"/>
          <w:sz w:val="28"/>
          <w:szCs w:val="28"/>
          <w:u w:val="single"/>
        </w:rPr>
        <w:t>（生产商或配送商）</w:t>
      </w:r>
    </w:p>
    <w:p>
      <w:pPr>
        <w:spacing w:line="560" w:lineRule="exact"/>
        <w:ind w:firstLine="560" w:firstLineChars="200"/>
        <w:rPr>
          <w:rFonts w:ascii="仿宋_GB2312" w:hAnsi="宋体" w:eastAsia="仿宋_GB2312"/>
          <w:color w:val="0D1E0F" w:themeColor="background1" w:themeShade="1A"/>
          <w:sz w:val="28"/>
          <w:szCs w:val="28"/>
        </w:rPr>
      </w:pPr>
    </w:p>
    <w:p>
      <w:pPr>
        <w:spacing w:line="56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为进一步加强医疗卫生行风建设，规范医疗卫生机构医药购销行为，有效防范商业贿赂行为，营造公平交易、诚实守信的购销环境，经甲、乙双方协商，同意签订本协议，并共同遵守：</w:t>
      </w:r>
    </w:p>
    <w:p>
      <w:pPr>
        <w:spacing w:line="56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一、甲乙双方按照《合同法》及医药产品购销合同约定购销药品。</w:t>
      </w:r>
    </w:p>
    <w:p>
      <w:pPr>
        <w:spacing w:line="56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二、甲方应当严格执行医药产品购销协议验收、入库制度，对采购医药产品及发票进行查验，不得违反有关规定协议外采购、违价采购或从非规定渠道采购。</w:t>
      </w:r>
    </w:p>
    <w:p>
      <w:pPr>
        <w:spacing w:line="56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三、甲方严禁接受乙方以任何名义、形式给予的回扣，不得将接受捐赠、资助与采购挂钩。甲方工作人员不得参加乙方安排并支付费用的营业性娱乐场所的娱乐活动，不得以任何形式向乙方索要和收受现金、有价证券、支付凭证和贵重礼品等。被迫接受乙方给予的钱物，应予退还，无法退还的，有责任如实向有关纪检监察部门反映情况。</w:t>
      </w:r>
    </w:p>
    <w:p>
      <w:pPr>
        <w:spacing w:line="56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六、乙方指定</w:t>
      </w:r>
      <w:r>
        <w:rPr>
          <w:rFonts w:hint="eastAsia" w:ascii="仿宋_GB2312" w:hAnsi="宋体" w:eastAsia="仿宋_GB2312"/>
          <w:color w:val="0D1E0F" w:themeColor="background1" w:themeShade="1A"/>
          <w:sz w:val="28"/>
          <w:szCs w:val="28"/>
          <w:u w:val="single"/>
        </w:rPr>
        <w:t xml:space="preserve">                  </w:t>
      </w:r>
      <w:r>
        <w:rPr>
          <w:rFonts w:hint="eastAsia" w:ascii="仿宋_GB2312" w:hAnsi="宋体" w:eastAsia="仿宋_GB2312"/>
          <w:color w:val="0D1E0F" w:themeColor="background1" w:themeShade="1A"/>
          <w:sz w:val="28"/>
          <w:szCs w:val="28"/>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七、乙方如违反本协议，一经发现，甲方有权终止购销合同，并向有关卫生计生行政部门报告。如乙方被列入商业贿赂不良记录，则严格按照《国家卫生计生委关于建立医药购销领域商业贿赂不良记录的规定》（国卫法制发〔2013〕50号）、《广西壮族自治区医药购销领域商业贿赂不良记录实施办法》（桂卫药政发〔2014〕2号）相关规定处理。</w:t>
      </w:r>
    </w:p>
    <w:p>
      <w:pPr>
        <w:spacing w:line="56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八、本协议作为医药产品购销合同的重要组成部分，与购销合同一并执行，具有同等的法律效力。</w:t>
      </w:r>
    </w:p>
    <w:p>
      <w:pPr>
        <w:spacing w:line="560" w:lineRule="exact"/>
        <w:ind w:firstLine="560" w:firstLineChars="200"/>
        <w:rPr>
          <w:rFonts w:ascii="仿宋_GB2312" w:hAnsi="宋体" w:eastAsia="仿宋_GB2312"/>
          <w:color w:val="0D1E0F" w:themeColor="background1" w:themeShade="1A"/>
          <w:sz w:val="28"/>
          <w:szCs w:val="28"/>
        </w:rPr>
      </w:pPr>
      <w:r>
        <w:rPr>
          <w:rFonts w:hint="eastAsia" w:ascii="仿宋_GB2312" w:hAnsi="宋体" w:eastAsia="仿宋_GB2312"/>
          <w:color w:val="0D1E0F" w:themeColor="background1" w:themeShade="1A"/>
          <w:sz w:val="28"/>
          <w:szCs w:val="28"/>
        </w:rPr>
        <w:t>九、本协议一式三份，甲、乙双方各执一份，甲方纪检监察部门（基层医疗卫生机构上报上级卫生计生行政部门）执一份，并从签订之日起生效。</w:t>
      </w:r>
    </w:p>
    <w:p>
      <w:pPr>
        <w:spacing w:line="560" w:lineRule="exact"/>
        <w:ind w:firstLine="560" w:firstLineChars="200"/>
        <w:rPr>
          <w:rFonts w:ascii="仿宋_GB2312" w:hAnsi="宋体" w:eastAsia="仿宋_GB2312"/>
          <w:color w:val="0D1E0F" w:themeColor="background1" w:themeShade="1A"/>
          <w:sz w:val="28"/>
          <w:szCs w:val="28"/>
        </w:rPr>
      </w:pPr>
    </w:p>
    <w:p>
      <w:pPr>
        <w:spacing w:line="560" w:lineRule="exact"/>
        <w:rPr>
          <w:rFonts w:ascii="仿宋_GB2312" w:hAnsi="宋体" w:eastAsia="仿宋_GB2312"/>
          <w:b/>
          <w:color w:val="0D1E0F" w:themeColor="background1" w:themeShade="1A"/>
          <w:sz w:val="28"/>
          <w:szCs w:val="28"/>
        </w:rPr>
      </w:pPr>
      <w:r>
        <w:rPr>
          <w:rFonts w:hint="eastAsia" w:ascii="仿宋_GB2312" w:hAnsi="宋体" w:eastAsia="仿宋_GB2312"/>
          <w:b/>
          <w:color w:val="0D1E0F" w:themeColor="background1" w:themeShade="1A"/>
          <w:sz w:val="28"/>
          <w:szCs w:val="28"/>
        </w:rPr>
        <w:t>甲方（盖章）：                        乙方（盖章）：</w:t>
      </w:r>
    </w:p>
    <w:p>
      <w:pPr>
        <w:spacing w:line="560" w:lineRule="exact"/>
        <w:rPr>
          <w:rFonts w:ascii="仿宋_GB2312" w:hAnsi="宋体" w:eastAsia="仿宋_GB2312"/>
          <w:b/>
          <w:color w:val="0D1E0F" w:themeColor="background1" w:themeShade="1A"/>
          <w:sz w:val="28"/>
          <w:szCs w:val="28"/>
        </w:rPr>
      </w:pPr>
      <w:r>
        <w:rPr>
          <w:rFonts w:hint="eastAsia" w:ascii="仿宋_GB2312" w:hAnsi="宋体" w:eastAsia="仿宋_GB2312"/>
          <w:b/>
          <w:color w:val="0D1E0F" w:themeColor="background1" w:themeShade="1A"/>
          <w:sz w:val="28"/>
          <w:szCs w:val="28"/>
        </w:rPr>
        <w:t>法定代表人（负责人）：                法定代表人（负责人）：</w:t>
      </w:r>
    </w:p>
    <w:p>
      <w:pPr>
        <w:spacing w:line="560" w:lineRule="exact"/>
        <w:rPr>
          <w:rFonts w:ascii="仿宋_GB2312" w:hAnsi="宋体" w:eastAsia="仿宋_GB2312"/>
          <w:b/>
          <w:color w:val="0D1E0F" w:themeColor="background1" w:themeShade="1A"/>
          <w:sz w:val="28"/>
          <w:szCs w:val="28"/>
        </w:rPr>
      </w:pPr>
      <w:r>
        <w:rPr>
          <w:rFonts w:hint="eastAsia" w:ascii="仿宋_GB2312" w:hAnsi="宋体" w:eastAsia="仿宋_GB2312"/>
          <w:b/>
          <w:color w:val="0D1E0F" w:themeColor="background1" w:themeShade="1A"/>
          <w:sz w:val="28"/>
          <w:szCs w:val="28"/>
        </w:rPr>
        <w:t>经办人签名：                         经办人签名：</w:t>
      </w:r>
    </w:p>
    <w:p>
      <w:pPr>
        <w:spacing w:line="560" w:lineRule="exact"/>
        <w:ind w:firstLine="562" w:firstLineChars="200"/>
        <w:rPr>
          <w:rFonts w:ascii="仿宋_GB2312" w:hAnsi="宋体" w:eastAsia="仿宋_GB2312"/>
          <w:b/>
          <w:color w:val="0D1E0F" w:themeColor="background1" w:themeShade="1A"/>
          <w:sz w:val="28"/>
          <w:szCs w:val="28"/>
        </w:rPr>
      </w:pPr>
      <w:r>
        <w:rPr>
          <w:rFonts w:hint="eastAsia" w:ascii="仿宋_GB2312" w:hAnsi="宋体" w:eastAsia="仿宋_GB2312"/>
          <w:b/>
          <w:color w:val="0D1E0F" w:themeColor="background1" w:themeShade="1A"/>
          <w:sz w:val="28"/>
          <w:szCs w:val="28"/>
        </w:rPr>
        <w:t>年  月  日                           年  月  日</w:t>
      </w:r>
    </w:p>
    <w:p>
      <w:pPr>
        <w:spacing w:line="560" w:lineRule="exact"/>
        <w:rPr>
          <w:rFonts w:ascii="楷体_GB2312" w:eastAsia="楷体_GB2312"/>
          <w:b/>
          <w:color w:val="0D1E0F" w:themeColor="background1" w:themeShade="1A"/>
          <w:sz w:val="32"/>
          <w:szCs w:val="32"/>
        </w:rPr>
      </w:pPr>
    </w:p>
    <w:p>
      <w:pPr>
        <w:spacing w:line="560" w:lineRule="exact"/>
        <w:rPr>
          <w:rFonts w:ascii="仿宋_GB2312" w:eastAsia="仿宋_GB2312"/>
          <w:sz w:val="32"/>
          <w:szCs w:val="32"/>
        </w:rPr>
        <w:sectPr>
          <w:footerReference r:id="rId3" w:type="default"/>
          <w:footerReference r:id="rId4" w:type="even"/>
          <w:pgSz w:w="11906" w:h="16838"/>
          <w:pgMar w:top="1701" w:right="1418" w:bottom="1418" w:left="1701" w:header="851" w:footer="992" w:gutter="0"/>
          <w:pgNumType w:fmt="numberInDash"/>
          <w:cols w:space="425" w:num="1"/>
          <w:docGrid w:type="lines" w:linePitch="312" w:charSpace="0"/>
        </w:sect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28"/>
          <w:szCs w:val="28"/>
        </w:rPr>
      </w:pPr>
      <w:bookmarkStart w:id="0" w:name="_GoBack"/>
      <w:bookmarkEnd w:id="0"/>
    </w:p>
    <w:sectPr>
      <w:footerReference r:id="rId5" w:type="even"/>
      <w:pgSz w:w="11906" w:h="16838"/>
      <w:pgMar w:top="1701" w:right="1418" w:bottom="1418" w:left="1701"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28157"/>
    </w:sdtPr>
    <w:sdtContent>
      <w:p>
        <w:pPr>
          <w:pStyle w:val="2"/>
          <w:jc w:val="right"/>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13 -</w:t>
        </w:r>
        <w:r>
          <w:rPr>
            <w:rFonts w:hint="eastAsia" w:ascii="仿宋_GB2312" w:eastAsia="仿宋_GB2312"/>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28159"/>
    </w:sdtPr>
    <w:sdtContent>
      <w:p>
        <w:pPr>
          <w:pStyle w:val="2"/>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12 -</w:t>
        </w:r>
        <w:r>
          <w:rPr>
            <w:rFonts w:hint="eastAsia" w:ascii="仿宋_GB2312" w:eastAsia="仿宋_GB2312"/>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14C1E15"/>
    <w:rsid w:val="00227E78"/>
    <w:rsid w:val="00405071"/>
    <w:rsid w:val="00410DD4"/>
    <w:rsid w:val="00415056"/>
    <w:rsid w:val="0056134A"/>
    <w:rsid w:val="008543BC"/>
    <w:rsid w:val="009A7910"/>
    <w:rsid w:val="00A03AF0"/>
    <w:rsid w:val="00BC1C97"/>
    <w:rsid w:val="00C96D2E"/>
    <w:rsid w:val="00D73EE0"/>
    <w:rsid w:val="00DF5662"/>
    <w:rsid w:val="00F4698A"/>
    <w:rsid w:val="00F72EA9"/>
    <w:rsid w:val="0ED533FF"/>
    <w:rsid w:val="2F780121"/>
    <w:rsid w:val="60D70119"/>
    <w:rsid w:val="614C1E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Pages>
  <Words>1138</Words>
  <Characters>6490</Characters>
  <Lines>54</Lines>
  <Paragraphs>15</Paragraphs>
  <TotalTime>0</TotalTime>
  <ScaleCrop>false</ScaleCrop>
  <LinksUpToDate>false</LinksUpToDate>
  <CharactersWithSpaces>7613</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2017-08-22T03:46:00Z</dcterms:created>
  <dc:creator>Administrator</dc:creator>
  <cp:lastModifiedBy>DELL</cp:lastModifiedBy>
  <cp:lastPrinted>2017-08-24T02:05:00Z</cp:lastPrinted>
  <dcterms:modified xsi:type="dcterms:W3CDTF">2017-08-24T10:16:20Z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