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left"/>
        <w:rPr>
          <w:rFonts w:hint="eastAsia" w:ascii="黑体" w:hAnsi="黑体" w:eastAsia="黑体" w:cs="黑体"/>
          <w:color w:val="auto"/>
          <w:sz w:val="32"/>
          <w:szCs w:val="32"/>
          <w:lang w:val="en-US" w:eastAsia="zh-CN"/>
        </w:rPr>
      </w:pPr>
      <w:r>
        <w:rPr>
          <w:rFonts w:hint="eastAsia" w:ascii="黑体" w:hAnsi="黑体" w:cs="黑体"/>
          <w:color w:val="auto"/>
          <w:sz w:val="32"/>
          <w:szCs w:val="32"/>
        </w:rPr>
        <w:t>附件</w:t>
      </w:r>
      <w:bookmarkStart w:id="0" w:name="_GoBack"/>
      <w:bookmarkEnd w:id="0"/>
    </w:p>
    <w:p>
      <w:pPr>
        <w:pStyle w:val="8"/>
        <w:spacing w:line="560" w:lineRule="exact"/>
        <w:jc w:val="center"/>
        <w:rPr>
          <w:rFonts w:ascii="方正小标宋简体" w:eastAsia="方正小标宋简体"/>
          <w:color w:val="auto"/>
          <w:sz w:val="44"/>
          <w:szCs w:val="44"/>
        </w:rPr>
      </w:pPr>
      <w:r>
        <w:rPr>
          <w:rFonts w:hint="eastAsia" w:ascii="方正小标宋简体" w:hAnsi="方正小标宋简体" w:eastAsia="方正小标宋简体" w:cs="方正小标宋简体"/>
          <w:color w:val="auto"/>
          <w:sz w:val="44"/>
          <w:szCs w:val="44"/>
        </w:rPr>
        <w:t>深入推广福建省三明市医改经验实施方案</w:t>
      </w:r>
      <w:r>
        <w:rPr>
          <w:rFonts w:hint="eastAsia" w:ascii="方正小标宋简体" w:eastAsia="方正小标宋简体" w:cs="方正小标宋简体"/>
          <w:color w:val="auto"/>
          <w:sz w:val="44"/>
          <w:szCs w:val="44"/>
        </w:rPr>
        <w:t>重点任务分工表</w:t>
      </w:r>
    </w:p>
    <w:p>
      <w:pPr>
        <w:pStyle w:val="7"/>
        <w:spacing w:line="560" w:lineRule="exact"/>
        <w:rPr>
          <w:rFonts w:cs="Times New Roman"/>
          <w:color w:val="auto"/>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2"/>
        <w:gridCol w:w="880"/>
        <w:gridCol w:w="6357"/>
        <w:gridCol w:w="2490"/>
        <w:gridCol w:w="3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blHeader/>
          <w:jc w:val="center"/>
        </w:trPr>
        <w:tc>
          <w:tcPr>
            <w:tcW w:w="1542" w:type="dxa"/>
            <w:tcBorders>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项目</w:t>
            </w:r>
          </w:p>
        </w:tc>
        <w:tc>
          <w:tcPr>
            <w:tcW w:w="880" w:type="dxa"/>
            <w:tcBorders>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序号</w:t>
            </w:r>
          </w:p>
        </w:tc>
        <w:tc>
          <w:tcPr>
            <w:tcW w:w="6357" w:type="dxa"/>
            <w:tcBorders>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任务</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牵头部门</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配合部门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1542" w:type="dxa"/>
            <w:vMerge w:val="restart"/>
            <w:tcBorders>
              <w:top w:val="single" w:color="auto" w:sz="4" w:space="0"/>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楷体_GB2312"/>
                <w:color w:val="auto"/>
                <w:sz w:val="24"/>
                <w:szCs w:val="24"/>
                <w:lang w:eastAsia="zh-CN"/>
              </w:rPr>
            </w:pPr>
            <w:r>
              <w:rPr>
                <w:rFonts w:hint="eastAsia" w:ascii="楷体_GB2312" w:hAnsi="楷体_GB2312" w:eastAsia="楷体_GB2312" w:cs="楷体_GB2312"/>
                <w:color w:val="auto"/>
                <w:sz w:val="24"/>
                <w:szCs w:val="24"/>
              </w:rPr>
              <w:t>（一）</w:t>
            </w:r>
            <w:r>
              <w:rPr>
                <w:rFonts w:hint="eastAsia" w:ascii="楷体_GB2312" w:hAnsi="楷体_GB2312" w:eastAsia="楷体_GB2312" w:cs="楷体_GB2312"/>
                <w:color w:val="auto"/>
                <w:sz w:val="24"/>
                <w:szCs w:val="24"/>
                <w:lang w:eastAsia="zh-CN"/>
              </w:rPr>
              <w:t>高位推动</w:t>
            </w:r>
            <w:r>
              <w:rPr>
                <w:rFonts w:hint="eastAsia" w:ascii="楷体_GB2312" w:hAnsi="楷体_GB2312" w:eastAsia="楷体_GB2312" w:cs="楷体_GB2312"/>
                <w:color w:val="auto"/>
                <w:sz w:val="24"/>
                <w:szCs w:val="24"/>
              </w:rPr>
              <w:t>三明</w:t>
            </w:r>
            <w:r>
              <w:rPr>
                <w:rFonts w:hint="eastAsia" w:ascii="楷体_GB2312" w:hAnsi="楷体_GB2312" w:eastAsia="楷体_GB2312" w:cs="楷体_GB2312"/>
                <w:color w:val="auto"/>
                <w:sz w:val="24"/>
                <w:szCs w:val="24"/>
                <w:lang w:eastAsia="zh-CN"/>
              </w:rPr>
              <w:t>市</w:t>
            </w:r>
            <w:r>
              <w:rPr>
                <w:rFonts w:hint="eastAsia" w:ascii="楷体_GB2312" w:hAnsi="楷体_GB2312" w:eastAsia="楷体_GB2312" w:cs="楷体_GB2312"/>
                <w:color w:val="auto"/>
                <w:sz w:val="24"/>
                <w:szCs w:val="24"/>
              </w:rPr>
              <w:t>医改经验</w:t>
            </w:r>
            <w:r>
              <w:rPr>
                <w:rFonts w:hint="eastAsia" w:ascii="楷体_GB2312" w:hAnsi="楷体_GB2312" w:eastAsia="楷体_GB2312" w:cs="楷体_GB2312"/>
                <w:color w:val="auto"/>
                <w:sz w:val="24"/>
                <w:szCs w:val="24"/>
                <w:lang w:eastAsia="zh-CN"/>
              </w:rPr>
              <w:t>落实</w:t>
            </w: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p>
        </w:tc>
        <w:tc>
          <w:tcPr>
            <w:tcW w:w="635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由地方党委和政府主要负责同志或一位主要负责同志担任医改领导小组组长。</w:t>
            </w:r>
          </w:p>
        </w:tc>
        <w:tc>
          <w:tcPr>
            <w:tcW w:w="2490" w:type="dxa"/>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val="en-US" w:eastAsia="zh-CN"/>
              </w:rPr>
              <w:t>自治区医改领导小组秘书处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各市</w:t>
            </w:r>
            <w:r>
              <w:rPr>
                <w:rFonts w:hint="eastAsia" w:ascii="仿宋_GB2312" w:hAnsi="仿宋_GB2312" w:eastAsia="仿宋_GB2312" w:cs="仿宋_GB2312"/>
                <w:color w:val="auto"/>
                <w:sz w:val="24"/>
                <w:szCs w:val="24"/>
                <w:lang w:val="en-US" w:eastAsia="zh-CN"/>
              </w:rPr>
              <w:t>医改领导小组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p>
        </w:tc>
        <w:tc>
          <w:tcPr>
            <w:tcW w:w="635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各级党委常委会每年至少专题研究</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次医改工作。</w:t>
            </w:r>
          </w:p>
        </w:tc>
        <w:tc>
          <w:tcPr>
            <w:tcW w:w="2490" w:type="dxa"/>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val="en-US" w:eastAsia="zh-CN"/>
              </w:rPr>
              <w:t>自治区医改领导小组秘书处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各市</w:t>
            </w:r>
            <w:r>
              <w:rPr>
                <w:rFonts w:hint="eastAsia" w:ascii="仿宋_GB2312" w:hAnsi="仿宋_GB2312" w:eastAsia="仿宋_GB2312" w:cs="仿宋_GB2312"/>
                <w:color w:val="auto"/>
                <w:sz w:val="24"/>
                <w:szCs w:val="24"/>
                <w:lang w:val="en-US" w:eastAsia="zh-CN"/>
              </w:rPr>
              <w:t>医改领导小组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p>
        </w:tc>
        <w:tc>
          <w:tcPr>
            <w:tcW w:w="635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推进医疗联合体建设，逐步提高县域内就诊率和基层医疗卫生机构就诊率。“十四五”期未，县域就诊率达</w:t>
            </w:r>
            <w:r>
              <w:rPr>
                <w:rFonts w:ascii="仿宋_GB2312" w:hAnsi="仿宋_GB2312" w:eastAsia="仿宋_GB2312" w:cs="仿宋_GB2312"/>
                <w:color w:val="auto"/>
                <w:sz w:val="24"/>
                <w:szCs w:val="24"/>
              </w:rPr>
              <w:t>90</w:t>
            </w:r>
            <w:r>
              <w:rPr>
                <w:rFonts w:hint="eastAsia" w:ascii="仿宋_GB2312" w:hAnsi="仿宋_GB2312" w:eastAsia="仿宋_GB2312" w:cs="仿宋_GB2312"/>
                <w:color w:val="auto"/>
                <w:sz w:val="24"/>
                <w:szCs w:val="24"/>
              </w:rPr>
              <w:t>％以上，县域内基层就诊率达到</w:t>
            </w:r>
            <w:r>
              <w:rPr>
                <w:rFonts w:ascii="仿宋_GB2312" w:hAnsi="仿宋_GB2312" w:eastAsia="仿宋_GB2312" w:cs="仿宋_GB2312"/>
                <w:color w:val="auto"/>
                <w:sz w:val="24"/>
                <w:szCs w:val="24"/>
              </w:rPr>
              <w:t>65%</w:t>
            </w:r>
            <w:r>
              <w:rPr>
                <w:rFonts w:hint="eastAsia" w:ascii="仿宋_GB2312" w:hAnsi="仿宋_GB2312" w:eastAsia="仿宋_GB2312" w:cs="仿宋_GB2312"/>
                <w:color w:val="auto"/>
                <w:sz w:val="24"/>
                <w:szCs w:val="24"/>
              </w:rPr>
              <w:t>以上。</w:t>
            </w:r>
          </w:p>
        </w:tc>
        <w:tc>
          <w:tcPr>
            <w:tcW w:w="2490" w:type="dxa"/>
            <w:tcBorders>
              <w:left w:val="single" w:color="auto" w:sz="4" w:space="0"/>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tcBorders>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10"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w:t>
            </w:r>
          </w:p>
        </w:tc>
        <w:tc>
          <w:tcPr>
            <w:tcW w:w="635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常态化制度化开展药品耗材集中带量采购工作，逐步扩大采购范围。“十四五”期未，国家和自治区集中带量采购药品品种达到</w:t>
            </w:r>
            <w:r>
              <w:rPr>
                <w:rFonts w:ascii="仿宋_GB2312" w:hAnsi="仿宋_GB2312" w:eastAsia="仿宋_GB2312" w:cs="仿宋_GB2312"/>
                <w:color w:val="auto"/>
                <w:sz w:val="24"/>
                <w:szCs w:val="24"/>
              </w:rPr>
              <w:t>500</w:t>
            </w:r>
            <w:r>
              <w:rPr>
                <w:rFonts w:hint="eastAsia" w:ascii="仿宋_GB2312" w:hAnsi="仿宋_GB2312" w:eastAsia="仿宋_GB2312" w:cs="仿宋_GB2312"/>
                <w:color w:val="auto"/>
                <w:sz w:val="24"/>
                <w:szCs w:val="24"/>
              </w:rPr>
              <w:t>个以上。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kern w:val="2"/>
                <w:sz w:val="24"/>
                <w:szCs w:val="24"/>
              </w:rPr>
              <w:t>自治区工业和信息化厅、自治区财政厅、自治区商务厅、</w:t>
            </w:r>
            <w:r>
              <w:rPr>
                <w:rFonts w:hint="eastAsia" w:ascii="仿宋_GB2312" w:hAnsi="仿宋_GB2312" w:eastAsia="仿宋_GB2312" w:cs="仿宋_GB2312"/>
                <w:color w:val="auto"/>
                <w:sz w:val="24"/>
                <w:szCs w:val="24"/>
              </w:rPr>
              <w:t>自治区卫生健康委</w:t>
            </w:r>
            <w:r>
              <w:rPr>
                <w:rFonts w:hint="eastAsia" w:ascii="仿宋_GB2312" w:hAnsi="仿宋_GB2312" w:eastAsia="仿宋_GB2312" w:cs="仿宋_GB2312"/>
                <w:color w:val="auto"/>
                <w:kern w:val="2"/>
                <w:sz w:val="24"/>
                <w:szCs w:val="24"/>
              </w:rPr>
              <w:t>、自治区市场监管局、自治区中医药局、自治区药监局、自治区机关事务管理局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tcBorders>
              <w:top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w:t>
            </w:r>
          </w:p>
        </w:tc>
        <w:tc>
          <w:tcPr>
            <w:tcW w:w="6357" w:type="dxa"/>
            <w:tcBorders>
              <w:top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落实药品耗材集中采购医保资金结余留用政策。</w:t>
            </w:r>
          </w:p>
        </w:tc>
        <w:tc>
          <w:tcPr>
            <w:tcW w:w="2490" w:type="dxa"/>
            <w:tcBorders>
              <w:top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tcBorders>
              <w:top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kern w:val="2"/>
                <w:sz w:val="24"/>
                <w:szCs w:val="24"/>
              </w:rPr>
              <w:t>自治区财政厅</w:t>
            </w:r>
            <w:r>
              <w:rPr>
                <w:rFonts w:hint="eastAsia" w:ascii="仿宋_GB2312" w:hAnsi="仿宋_GB2312" w:eastAsia="仿宋_GB2312" w:cs="仿宋_GB2312"/>
                <w:color w:val="auto"/>
                <w:sz w:val="24"/>
                <w:szCs w:val="24"/>
              </w:rPr>
              <w:t>、自治区卫生健康委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6</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全面深化公立医院薪酬制度改革，根据“两个允许”合理核定公立医院薪酬总量。</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3" w:hRule="atLeast"/>
          <w:jc w:val="center"/>
        </w:trPr>
        <w:tc>
          <w:tcPr>
            <w:tcW w:w="1542" w:type="dxa"/>
            <w:vMerge w:val="restart"/>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（一）</w:t>
            </w:r>
            <w:r>
              <w:rPr>
                <w:rFonts w:hint="eastAsia" w:ascii="楷体_GB2312" w:hAnsi="楷体_GB2312" w:eastAsia="楷体_GB2312" w:cs="楷体_GB2312"/>
                <w:color w:val="auto"/>
                <w:sz w:val="24"/>
                <w:szCs w:val="24"/>
                <w:lang w:eastAsia="zh-CN"/>
              </w:rPr>
              <w:t>高位推动</w:t>
            </w:r>
            <w:r>
              <w:rPr>
                <w:rFonts w:hint="eastAsia" w:ascii="楷体_GB2312" w:hAnsi="楷体_GB2312" w:eastAsia="楷体_GB2312" w:cs="楷体_GB2312"/>
                <w:color w:val="auto"/>
                <w:sz w:val="24"/>
                <w:szCs w:val="24"/>
              </w:rPr>
              <w:t>三明</w:t>
            </w:r>
            <w:r>
              <w:rPr>
                <w:rFonts w:hint="eastAsia" w:ascii="楷体_GB2312" w:hAnsi="楷体_GB2312" w:eastAsia="楷体_GB2312" w:cs="楷体_GB2312"/>
                <w:color w:val="auto"/>
                <w:sz w:val="24"/>
                <w:szCs w:val="24"/>
                <w:lang w:eastAsia="zh-CN"/>
              </w:rPr>
              <w:t>市</w:t>
            </w:r>
            <w:r>
              <w:rPr>
                <w:rFonts w:hint="eastAsia" w:ascii="楷体_GB2312" w:hAnsi="楷体_GB2312" w:eastAsia="楷体_GB2312" w:cs="楷体_GB2312"/>
                <w:color w:val="auto"/>
                <w:sz w:val="24"/>
                <w:szCs w:val="24"/>
              </w:rPr>
              <w:t>医改经验</w:t>
            </w:r>
            <w:r>
              <w:rPr>
                <w:rFonts w:hint="eastAsia" w:ascii="楷体_GB2312" w:hAnsi="楷体_GB2312" w:eastAsia="楷体_GB2312" w:cs="楷体_GB2312"/>
                <w:color w:val="auto"/>
                <w:sz w:val="24"/>
                <w:szCs w:val="24"/>
                <w:lang w:eastAsia="zh-CN"/>
              </w:rPr>
              <w:t>落实</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7</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落实医疗服务价格动态调整机制，每年开展一次医疗服务价格调整工作评估，符合调整条件的</w:t>
            </w:r>
            <w:r>
              <w:rPr>
                <w:rFonts w:hint="eastAsia" w:ascii="仿宋_GB2312" w:hAnsi="仿宋_GB2312" w:eastAsia="仿宋_GB2312" w:cs="仿宋_GB2312"/>
                <w:color w:val="auto"/>
                <w:sz w:val="24"/>
                <w:szCs w:val="24"/>
                <w:lang w:eastAsia="zh-CN"/>
              </w:rPr>
              <w:t>在</w:t>
            </w:r>
            <w:r>
              <w:rPr>
                <w:rFonts w:hint="eastAsia" w:ascii="仿宋_GB2312" w:hAnsi="仿宋_GB2312" w:eastAsia="仿宋_GB2312" w:cs="仿宋_GB2312"/>
                <w:color w:val="auto"/>
                <w:sz w:val="24"/>
                <w:szCs w:val="24"/>
              </w:rPr>
              <w:t>价格调整总量范围内突出重点、有升有降进行调整，根据医保基金承受能力，按规定及时</w:t>
            </w:r>
            <w:r>
              <w:rPr>
                <w:rFonts w:hint="eastAsia" w:ascii="仿宋_GB2312" w:hAnsi="仿宋_GB2312" w:eastAsia="仿宋_GB2312" w:cs="仿宋_GB2312"/>
                <w:color w:val="auto"/>
                <w:sz w:val="24"/>
                <w:szCs w:val="24"/>
                <w:lang w:eastAsia="zh-CN"/>
              </w:rPr>
              <w:t>将医疗服务价格项目</w:t>
            </w:r>
            <w:r>
              <w:rPr>
                <w:rFonts w:hint="eastAsia" w:ascii="仿宋_GB2312" w:hAnsi="仿宋_GB2312" w:eastAsia="仿宋_GB2312" w:cs="仿宋_GB2312"/>
                <w:color w:val="auto"/>
                <w:sz w:val="24"/>
                <w:szCs w:val="24"/>
              </w:rPr>
              <w:t>纳入医保支付范围。</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r>
              <w:rPr>
                <w:rFonts w:hint="eastAsia" w:ascii="仿宋_GB2312" w:hAnsi="仿宋_GB2312" w:eastAsia="仿宋_GB2312" w:cs="仿宋_GB2312"/>
                <w:color w:val="auto"/>
                <w:kern w:val="2"/>
                <w:sz w:val="24"/>
                <w:szCs w:val="24"/>
              </w:rPr>
              <w:t>自治区市场监管局、</w:t>
            </w:r>
            <w:r>
              <w:rPr>
                <w:rFonts w:hint="eastAsia" w:ascii="仿宋_GB2312" w:hAnsi="仿宋_GB2312" w:eastAsia="仿宋_GB2312" w:cs="仿宋_GB2312"/>
                <w:color w:val="auto"/>
                <w:sz w:val="24"/>
                <w:szCs w:val="24"/>
              </w:rPr>
              <w:t>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jc w:val="center"/>
        </w:trPr>
        <w:tc>
          <w:tcPr>
            <w:tcW w:w="1542" w:type="dxa"/>
            <w:vMerge w:val="continue"/>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8</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深化医保支付方式改革，推行以疾病诊断相关分组（DRG）付费为主的多元复合式医保支付方式，完善按病种、按床日、按人头等付费</w:t>
            </w:r>
            <w:r>
              <w:rPr>
                <w:rFonts w:hint="eastAsia" w:ascii="仿宋_GB2312" w:hAnsi="仿宋_GB2312" w:eastAsia="仿宋_GB2312" w:cs="仿宋_GB2312"/>
                <w:color w:val="auto"/>
                <w:sz w:val="24"/>
                <w:szCs w:val="24"/>
                <w:lang w:eastAsia="zh-CN"/>
              </w:rPr>
              <w:t>方式改革</w:t>
            </w:r>
            <w:r>
              <w:rPr>
                <w:rFonts w:hint="eastAsia" w:ascii="仿宋_GB2312" w:hAnsi="仿宋_GB2312" w:eastAsia="仿宋_GB2312" w:cs="仿宋_GB2312"/>
                <w:color w:val="auto"/>
                <w:sz w:val="24"/>
                <w:szCs w:val="24"/>
              </w:rPr>
              <w:t>。</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kern w:val="2"/>
                <w:sz w:val="24"/>
                <w:szCs w:val="24"/>
              </w:rPr>
            </w:pPr>
            <w:r>
              <w:rPr>
                <w:rFonts w:hint="eastAsia" w:ascii="仿宋_GB2312" w:hAnsi="仿宋_GB2312" w:eastAsia="仿宋_GB2312" w:cs="仿宋_GB2312"/>
                <w:color w:val="auto"/>
                <w:kern w:val="2"/>
                <w:sz w:val="24"/>
                <w:szCs w:val="24"/>
              </w:rPr>
              <w:t>自治区财政厅、</w:t>
            </w:r>
          </w:p>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542" w:type="dxa"/>
            <w:vMerge w:val="continue"/>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9</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完善医疗服务行为规范，加强监督力度，提升医疗服务规范化水平。</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jc w:val="center"/>
        </w:trPr>
        <w:tc>
          <w:tcPr>
            <w:tcW w:w="1542" w:type="dxa"/>
            <w:vMerge w:val="continue"/>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10</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建立健全公立医院医药费用合理增长机制，将医药费用控制情况纳入公立医院院长考核范畴。</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（二）</w:t>
            </w:r>
            <w:r>
              <w:rPr>
                <w:rFonts w:hint="eastAsia" w:ascii="楷体_GB2312" w:hAnsi="楷体_GB2312" w:eastAsia="楷体_GB2312" w:cs="楷体_GB2312"/>
                <w:color w:val="auto"/>
                <w:sz w:val="24"/>
                <w:szCs w:val="24"/>
                <w:lang w:eastAsia="zh-CN"/>
              </w:rPr>
              <w:t>持续推进医疗体系高质量发展</w:t>
            </w:r>
          </w:p>
        </w:tc>
        <w:tc>
          <w:tcPr>
            <w:tcW w:w="880"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11</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推进紧密型县域医共体建设试点。</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4"/>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各部门按职责牵头制定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探索对紧密型县域医共体实行医保资金总额付费，结余留用，合理超支分担。</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8"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理顺紧密型县域医共体成员间的人财物关系，探索将基本公共卫生服务经费、基本药物制度补助等相关经费打包给紧密型县域医共体统筹使用。</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自治区卫生健康委、自治区财政厅</w:t>
            </w:r>
          </w:p>
        </w:tc>
        <w:tc>
          <w:tcPr>
            <w:tcW w:w="3198" w:type="dxa"/>
            <w:noWrap w:val="0"/>
            <w:vAlign w:val="center"/>
          </w:tcPr>
          <w:p>
            <w:pPr>
              <w:pStyle w:val="7"/>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s="Times New Roman"/>
                <w:color w:val="auto"/>
                <w:sz w:val="24"/>
                <w:szCs w:val="24"/>
              </w:rPr>
            </w:pPr>
            <w:r>
              <w:rPr>
                <w:rFonts w:hint="eastAsia" w:ascii="仿宋_GB2312" w:hAnsi="仿宋_GB2312" w:eastAsia="仿宋_GB2312" w:cs="仿宋_GB2312"/>
                <w:color w:val="auto"/>
                <w:sz w:val="24"/>
                <w:szCs w:val="24"/>
              </w:rPr>
              <w:t>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（二）</w:t>
            </w:r>
            <w:r>
              <w:rPr>
                <w:rFonts w:hint="eastAsia" w:ascii="楷体_GB2312" w:hAnsi="楷体_GB2312" w:eastAsia="楷体_GB2312" w:cs="楷体_GB2312"/>
                <w:color w:val="auto"/>
                <w:sz w:val="24"/>
                <w:szCs w:val="24"/>
                <w:lang w:eastAsia="zh-CN"/>
              </w:rPr>
              <w:t>持续推进医疗体系高质量发展</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12</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eastAsia="zh-CN"/>
              </w:rPr>
              <w:t>探索</w:t>
            </w:r>
            <w:r>
              <w:rPr>
                <w:rFonts w:hint="eastAsia" w:ascii="仿宋_GB2312" w:hAnsi="仿宋_GB2312" w:eastAsia="仿宋_GB2312" w:cs="仿宋_GB2312"/>
                <w:color w:val="auto"/>
                <w:sz w:val="24"/>
                <w:szCs w:val="24"/>
              </w:rPr>
              <w:t>开展紧密型城市医疗集团试点，探索创新对紧密型城市医疗集团的医保支付和财政补助方式。</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ind w:firstLine="240" w:firstLineChars="1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自治区财政厅、</w:t>
            </w:r>
          </w:p>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color w:val="auto"/>
                <w:sz w:val="24"/>
                <w:szCs w:val="24"/>
              </w:rPr>
            </w:pPr>
            <w:r>
              <w:rPr>
                <w:rFonts w:hint="eastAsia" w:ascii="仿宋_GB2312" w:hAnsi="仿宋_GB2312" w:eastAsia="仿宋_GB2312" w:cs="仿宋_GB2312"/>
                <w:color w:val="auto"/>
                <w:sz w:val="24"/>
                <w:szCs w:val="24"/>
              </w:rPr>
              <w:t>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13</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推进专科联盟和远程医疗协作网发展。</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加强对紧密型县域医共体、紧密型城市医疗集团的绩效考核和监督管理。</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15</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对国家组织集中带量采购以外、用量大、采购金额高的药品耗材，以省或省际联盟为单位实施带量采购。</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kern w:val="2"/>
                <w:sz w:val="24"/>
                <w:szCs w:val="24"/>
              </w:rPr>
              <w:t>自治区工业和信息化厅、自治区财政厅、自治区商务厅、</w:t>
            </w:r>
            <w:r>
              <w:rPr>
                <w:rFonts w:hint="eastAsia" w:ascii="仿宋_GB2312" w:hAnsi="仿宋_GB2312" w:eastAsia="仿宋_GB2312" w:cs="仿宋_GB2312"/>
                <w:color w:val="auto"/>
                <w:sz w:val="24"/>
                <w:szCs w:val="24"/>
              </w:rPr>
              <w:t>自治区卫生健康委、</w:t>
            </w:r>
            <w:r>
              <w:rPr>
                <w:rFonts w:hint="eastAsia" w:ascii="仿宋_GB2312" w:hAnsi="仿宋_GB2312" w:eastAsia="仿宋_GB2312" w:cs="仿宋_GB2312"/>
                <w:color w:val="auto"/>
                <w:kern w:val="2"/>
                <w:sz w:val="24"/>
                <w:szCs w:val="24"/>
              </w:rPr>
              <w:t>自治区市场监管局、</w:t>
            </w:r>
            <w:r>
              <w:rPr>
                <w:rFonts w:hint="eastAsia" w:ascii="仿宋_GB2312" w:hAnsi="仿宋_GB2312" w:eastAsia="仿宋_GB2312" w:cs="仿宋_GB2312"/>
                <w:color w:val="auto"/>
                <w:sz w:val="24"/>
                <w:szCs w:val="24"/>
              </w:rPr>
              <w:t>自治区中医药局</w:t>
            </w:r>
            <w:r>
              <w:rPr>
                <w:rFonts w:hint="eastAsia" w:ascii="仿宋_GB2312" w:hAnsi="仿宋_GB2312" w:eastAsia="仿宋_GB2312" w:cs="仿宋_GB2312"/>
                <w:color w:val="auto"/>
                <w:kern w:val="2"/>
                <w:sz w:val="24"/>
                <w:szCs w:val="24"/>
              </w:rPr>
              <w:t>、自治区药监局、自治区机关事务管理局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16</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kern w:val="2"/>
                <w:sz w:val="24"/>
                <w:szCs w:val="24"/>
                <w:lang w:eastAsia="zh-CN"/>
              </w:rPr>
              <w:t>落实</w:t>
            </w:r>
            <w:r>
              <w:rPr>
                <w:rFonts w:hint="eastAsia" w:ascii="仿宋_GB2312" w:hAnsi="仿宋_GB2312" w:eastAsia="仿宋_GB2312" w:cs="仿宋_GB2312"/>
                <w:color w:val="auto"/>
                <w:kern w:val="2"/>
                <w:sz w:val="24"/>
                <w:szCs w:val="24"/>
              </w:rPr>
              <w:t>新增医疗服务项目管理政策，简化新增价格项目申报流程，支持医疗新技术进入临床应用。</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17</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探索事业编制内部挖潜、创新管理的有效方式，逐步消化现有编制外聘用的专业技术人员。</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自治区党委编办</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自治区人力资源社会保障厅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18</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探索在条件成熟的设区市三级医院试点开展高级职称自主评审。</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（二）</w:t>
            </w:r>
            <w:r>
              <w:rPr>
                <w:rFonts w:hint="eastAsia" w:ascii="楷体_GB2312" w:hAnsi="楷体_GB2312" w:eastAsia="楷体_GB2312" w:cs="楷体_GB2312"/>
                <w:color w:val="auto"/>
                <w:sz w:val="24"/>
                <w:szCs w:val="24"/>
                <w:lang w:eastAsia="zh-CN"/>
              </w:rPr>
              <w:t>持续推进医疗体系高质量发展</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19</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highlight w:val="none"/>
              </w:rPr>
              <w:t>深化公立医院薪酬制度改革，探索实行年薪制、岗位薪酬制、协议工资制、项目工资等</w:t>
            </w:r>
            <w:r>
              <w:rPr>
                <w:rFonts w:hint="eastAsia" w:ascii="仿宋_GB2312" w:hAnsi="仿宋_GB2312" w:eastAsia="仿宋_GB2312" w:cs="仿宋_GB2312"/>
                <w:color w:val="auto"/>
                <w:sz w:val="24"/>
                <w:szCs w:val="24"/>
                <w:highlight w:val="none"/>
                <w:lang w:eastAsia="zh-CN"/>
              </w:rPr>
              <w:t>特殊工资制度</w:t>
            </w:r>
            <w:r>
              <w:rPr>
                <w:rFonts w:hint="eastAsia" w:ascii="仿宋_GB2312" w:hAnsi="仿宋_GB2312" w:eastAsia="仿宋_GB2312" w:cs="仿宋_GB2312"/>
                <w:color w:val="auto"/>
                <w:sz w:val="24"/>
                <w:szCs w:val="24"/>
                <w:highlight w:val="none"/>
              </w:rPr>
              <w:t>。</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自治区教育厅、自治区财政厅、自治区中医药局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20</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探索有利于调动基层医疗卫生机构服务积极性的薪酬分配政策。改革完善公立医院薪酬总量核定办法，维护公立医院公益性。</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8"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21</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推进高水平医院和国家区域医疗中心、自治区区域医疗中心、防城港国际医学开放试验区建设，规划推进“十四五”临床专科能力建设。</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（三）加快构建分级诊疗就医新格局</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22</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指导鹿寨县、恭城瑶族自治区县开展构建优质高效医疗卫生服务体系、实现全民健康覆盖试点项目。</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23</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推动公立医院高质量发展，深入开展“优质服务基层行”。</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24</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加强基层医疗卫生人才队伍建设，探索县管乡用、乡聘村用，落实乡村医生待遇。</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25</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实施基层中医药壮瑶医药服务能力提升工程，强化基层中医馆建设。</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（三）加快构建分级诊疗就医新格局</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26</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健全重特大疾病医疗保险和救助制度，建立</w:t>
            </w:r>
            <w:r>
              <w:rPr>
                <w:rFonts w:hint="eastAsia" w:ascii="仿宋_GB2312" w:hAnsi="仿宋_GB2312" w:eastAsia="仿宋_GB2312" w:cs="仿宋_GB2312"/>
                <w:color w:val="auto"/>
                <w:sz w:val="24"/>
                <w:szCs w:val="24"/>
                <w:lang w:eastAsia="zh-CN"/>
              </w:rPr>
              <w:t>健全</w:t>
            </w:r>
            <w:r>
              <w:rPr>
                <w:rFonts w:hint="eastAsia" w:ascii="仿宋_GB2312" w:hAnsi="仿宋_GB2312" w:eastAsia="仿宋_GB2312" w:cs="仿宋_GB2312"/>
                <w:color w:val="auto"/>
                <w:sz w:val="24"/>
                <w:szCs w:val="24"/>
              </w:rPr>
              <w:t>职工医保门诊共济保障机制，完善异地就医结算管理和服务。</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自治区财政厅、</w:t>
            </w:r>
          </w:p>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27</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全面贯彻落实基本药物制度，建立上下级医疗机构用药衔接机制，助力分级诊疗，促进各级医疗机构病人实现上下互转。</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（四）促进医防协同工作创新发展</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28</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抓好新冠肺炎疫情常态化防控，推动完善公共卫生重大风险评估、研判、决策机制。</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楷体_GB2312" w:hAnsi="楷体_GB2312" w:eastAsia="楷体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29</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推进各级公共卫生应急指挥中心、卫生应急队伍和</w:t>
            </w:r>
            <w:r>
              <w:rPr>
                <w:rFonts w:ascii="仿宋_GB2312" w:hAnsi="仿宋_GB2312" w:eastAsia="仿宋_GB2312" w:cs="仿宋_GB2312"/>
                <w:color w:val="auto"/>
                <w:sz w:val="24"/>
                <w:szCs w:val="24"/>
              </w:rPr>
              <w:t>120</w:t>
            </w:r>
            <w:r>
              <w:rPr>
                <w:rFonts w:hint="eastAsia" w:ascii="仿宋_GB2312" w:hAnsi="仿宋_GB2312" w:eastAsia="仿宋_GB2312" w:cs="仿宋_GB2312"/>
                <w:color w:val="auto"/>
                <w:sz w:val="24"/>
                <w:szCs w:val="24"/>
              </w:rPr>
              <w:t>急救中心建设，加强公共卫生应急物资供应体系、储备体系和物流运输体系建设。</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自治区卫生健康委、自治区工业和信息化厅</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自治区商务厅、自治区发展改革委、自治区财政厅、自治区中医药局、自治区药监局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30</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加强公共卫生机构人才队伍和实验室建设，推进重大疫情救治基地、传染病医院和公立医院传染病区建设。</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31</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将疾病预防和妇幼保健工作职责与辖区医疗联合体、医疗共同体业务相融合同步发展，强化技术指导、人员培训、督导评价等职能。</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32</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加强艾滋病、地方病、职业病等重大疾病防治。</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33</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推动老年健康服务体系建设，增加医养结合服务供给。</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自治区民政厅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Times New Roman"/>
                <w:color w:val="auto"/>
                <w:sz w:val="24"/>
                <w:szCs w:val="24"/>
              </w:rPr>
            </w:pPr>
            <w:r>
              <w:rPr>
                <w:rFonts w:hint="eastAsia" w:ascii="楷体_GB2312" w:hAnsi="楷体_GB2312" w:eastAsia="楷体_GB2312" w:cs="楷体_GB2312"/>
                <w:color w:val="auto"/>
                <w:sz w:val="24"/>
                <w:szCs w:val="24"/>
              </w:rPr>
              <w:t>（五）强化支撑保障能力</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34</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kern w:val="2"/>
                <w:sz w:val="24"/>
                <w:szCs w:val="24"/>
              </w:rPr>
            </w:pPr>
            <w:r>
              <w:rPr>
                <w:rFonts w:hint="eastAsia" w:ascii="仿宋_GB2312" w:hAnsi="仿宋_GB2312" w:eastAsia="仿宋_GB2312" w:cs="仿宋_GB2312"/>
                <w:color w:val="auto"/>
                <w:sz w:val="24"/>
                <w:szCs w:val="24"/>
              </w:rPr>
              <w:t>推动卫生健康信息互联互通，促进数据整合共享。</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自治区卫生健康委、自治区大数据局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542" w:type="dxa"/>
            <w:vMerge w:val="continue"/>
            <w:noWrap w:val="0"/>
            <w:vAlign w:val="center"/>
          </w:tcPr>
          <w:p>
            <w:pPr>
              <w:pStyle w:val="7"/>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Times New Roman"/>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35</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kern w:val="2"/>
                <w:sz w:val="24"/>
                <w:szCs w:val="24"/>
              </w:rPr>
            </w:pPr>
            <w:r>
              <w:rPr>
                <w:rFonts w:hint="eastAsia" w:ascii="仿宋_GB2312" w:hAnsi="仿宋_GB2312" w:eastAsia="仿宋_GB2312" w:cs="仿宋_GB2312"/>
                <w:color w:val="auto"/>
                <w:sz w:val="24"/>
                <w:szCs w:val="24"/>
              </w:rPr>
              <w:t>加强智慧医院建设，加快完善分时段预约诊疗制订，优化预约诊疗流程，规范互联网诊疗服务，完善处方流转流程。</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36</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继续实施农村订单定向医学生免费培养项目，实施医学专业高校毕业生免试申请乡村医生注册政策。</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37</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加强住院医师规范化培训制度建设，对经住院医师规范化培训合格的本科学历临床医师，在招聘、职称晋升、岗位聘用、薪酬待遇等方面与硕士研究生同等对待。</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38</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完善医疗卫生行业综合监管督察机制，加强监管结果公开和责任追究。</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39</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按照财政事权和支出责任划分改革原则落实政府对医疗卫生的投入责任，加大对公共卫生、基层等的倾斜力度，提升公共卫生和基层医疗卫生服务能力。</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各级人民政府</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1542" w:type="dxa"/>
            <w:vMerge w:val="restart"/>
            <w:noWrap w:val="0"/>
            <w:vAlign w:val="center"/>
          </w:tcPr>
          <w:p>
            <w:pPr>
              <w:pStyle w:val="7"/>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rPr>
              <w:t>（六）组织</w:t>
            </w:r>
          </w:p>
          <w:p>
            <w:pPr>
              <w:pStyle w:val="7"/>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实施</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40</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建立推广三明医改经验的台账，跟踪监测和及时通报医改工作进展，加强工作指导，督促协调各成员单位落实责任。</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自治区医改领导小组秘书处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41</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研究解决重点难点问题，及时向当地医改领导小组提出落实医改工作政策、措施的建议。</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自治区医改领导小组秘书处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42</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发挥基层首创精神，以人民健康为中心，解放思想、大胆创新，结合实际探索更多原创性、差异化、创新性改革。</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各级医改领导小组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43</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各有关部门要深刻认识创新对医改工作重要性认识，结合部门职责将健康融入所有政策，对地方的探索创新工作加强指导并给予政策支持</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自治区医改领导小组各成员部门</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44</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建立督查考评机制，相关督查考核指标纳入全面深化改革和政府目标管理绩效考核重要内容。对工作推进滞后或工作不力的单位和个人督促整改。</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各级医改领导小组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45</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对医改典型经验的大力宣传，及时全面反映医改实践工作成效。加强医改工作交流学习，适时开展福建省和三明市医改经验的宣传培训。坚持正确的舆论导向，及时回应社会关切，合理引导社会预期，为深化医改营造良好氛围。</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各级医改领导小组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bl>
    <w:p>
      <w:pPr>
        <w:sectPr>
          <w:pgSz w:w="16838" w:h="11906" w:orient="landscape"/>
          <w:pgMar w:top="1701" w:right="1417" w:bottom="1417" w:left="1417" w:header="851" w:footer="992" w:gutter="0"/>
          <w:cols w:space="720" w:num="1"/>
          <w:rtlGutter w:val="0"/>
          <w:docGrid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A3BF0"/>
    <w:rsid w:val="1BEA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小标宋简体" w:cs="Times New Roman"/>
      <w:kern w:val="2"/>
      <w:sz w:val="21"/>
      <w:szCs w:val="20"/>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line="600" w:lineRule="exact"/>
      <w:ind w:firstLine="200" w:firstLineChars="200"/>
    </w:pPr>
  </w:style>
  <w:style w:type="paragraph" w:styleId="3">
    <w:name w:val="Body Text"/>
    <w:basedOn w:val="1"/>
    <w:qFormat/>
    <w:uiPriority w:val="0"/>
    <w:rPr>
      <w:sz w:val="28"/>
      <w:szCs w:val="28"/>
    </w:rPr>
  </w:style>
  <w:style w:type="paragraph" w:styleId="4">
    <w:name w:val="annotation text"/>
    <w:basedOn w:val="1"/>
    <w:unhideWhenUsed/>
    <w:qFormat/>
    <w:uiPriority w:val="99"/>
    <w:pPr>
      <w:jc w:val="left"/>
    </w:pPr>
  </w:style>
  <w:style w:type="paragraph" w:customStyle="1" w:styleId="7">
    <w:name w:val="标题1"/>
    <w:basedOn w:val="8"/>
    <w:next w:val="8"/>
    <w:qFormat/>
    <w:uiPriority w:val="99"/>
    <w:pPr>
      <w:spacing w:line="240" w:lineRule="atLeast"/>
      <w:jc w:val="center"/>
    </w:pPr>
    <w:rPr>
      <w:rFonts w:ascii="Arial" w:hAnsi="Arial" w:eastAsia="黑体" w:cs="Arial"/>
      <w:sz w:val="52"/>
      <w:szCs w:val="52"/>
    </w:rPr>
  </w:style>
  <w:style w:type="paragraph" w:customStyle="1" w:styleId="8">
    <w:name w:val="正文1"/>
    <w:next w:val="7"/>
    <w:qFormat/>
    <w:uiPriority w:val="0"/>
    <w:pPr>
      <w:widowControl w:val="0"/>
      <w:jc w:val="both"/>
    </w:pPr>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2022-06-10T11:22:00Z</dcterms:created>
  <dc:creator>莹子．</dc:creator>
  <cp:lastModifiedBy>莹子．</cp:lastModifiedBy>
  <dcterms:modified xsi:type="dcterms:W3CDTF">2022-06-10T11:23:57Z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