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hint="eastAsia" w:eastAsia="宋体"/>
        </w:rPr>
      </w:pPr>
    </w:p>
    <w:p>
      <w:pPr>
        <w:pStyle w:val="22"/>
      </w:pPr>
    </w:p>
    <w:p>
      <w:pPr>
        <w:pStyle w:val="23"/>
        <w:jc w:val="right"/>
        <w:rPr>
          <w:rFonts w:hint="eastAsia"/>
        </w:rPr>
      </w:pPr>
      <w:r>
        <w:rPr>
          <w:rFonts w:hint="eastAsia"/>
        </w:rPr>
        <w:t>DBS45</w:t>
      </w:r>
    </w:p>
    <w:p>
      <w:pPr>
        <w:pStyle w:val="25"/>
        <w:framePr w:w="0" w:hRule="auto" w:vSpace="0" w:wrap="auto" w:vAnchor="margin" w:hAnchor="text" w:xAlign="left" w:yAlign="inline"/>
        <w:rPr>
          <w:rFonts w:ascii="Times New Roman" w:hAnsi="Times New Roman"/>
        </w:rPr>
      </w:pPr>
      <w:bookmarkStart w:id="0" w:name="c6"/>
      <w:r>
        <w:fldChar w:fldCharType="begin">
          <w:ffData>
            <w:name w:val="c6"/>
            <w:enabled/>
            <w:calcOnExit w:val="0"/>
            <w:textInput/>
          </w:ffData>
        </w:fldChar>
      </w:r>
      <w:r>
        <w:instrText xml:space="preserve"> FORMTEXT </w:instrText>
      </w:r>
      <w:r>
        <w:fldChar w:fldCharType="separate"/>
      </w:r>
      <w:r>
        <w:rPr>
          <w:rFonts w:hint="eastAsia"/>
          <w:lang w:val="en-US" w:eastAsia="zh-CN"/>
        </w:rPr>
        <w:t>广西壮族自治区</w:t>
      </w:r>
      <w:r>
        <w:fldChar w:fldCharType="end"/>
      </w:r>
      <w:bookmarkEnd w:id="0"/>
      <w:r>
        <w:rPr>
          <w:rFonts w:hint="eastAsia"/>
        </w:rPr>
        <w:t>地方标</w:t>
      </w:r>
      <w:r>
        <w:rPr>
          <w:rFonts w:hint="eastAsia" w:ascii="Times New Roman" w:hAnsi="Times New Roman"/>
        </w:rPr>
        <w:t>准</w:t>
      </w:r>
    </w:p>
    <w:p>
      <w:pPr>
        <w:pStyle w:val="26"/>
        <w:framePr w:w="0" w:hRule="auto" w:wrap="auto" w:vAnchor="margin" w:hAnchor="text" w:xAlign="left" w:yAlign="inline"/>
        <w:wordWrap w:val="0"/>
        <w:rPr>
          <w:rFonts w:hint="eastAsia"/>
        </w:rPr>
      </w:pPr>
      <w:r>
        <w:rPr>
          <w:rFonts w:hint="eastAsia" w:ascii="Times New Roman" w:hAnsi="Times New Roman"/>
        </w:rPr>
        <w:t xml:space="preserve">DBS </w:t>
      </w:r>
      <w:r>
        <w:rPr>
          <w:rFonts w:hint="eastAsia"/>
        </w:rPr>
        <w:t>45/06</w:t>
      </w:r>
      <w:r>
        <w:t>4—</w:t>
      </w:r>
      <w:r>
        <w:rPr>
          <w:rFonts w:hint="eastAsia"/>
        </w:rPr>
        <w:t>2020</w:t>
      </w:r>
    </w:p>
    <w:tbl>
      <w:tblPr>
        <w:tblStyle w:val="1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l2br w:val="nil"/>
              <w:tr2bl w:val="nil"/>
            </w:tcBorders>
          </w:tcPr>
          <w:p>
            <w:pPr>
              <w:pStyle w:val="27"/>
              <w:framePr w:w="0" w:hRule="auto" w:wrap="auto" w:vAnchor="margin" w:hAnchor="text" w:xAlign="left" w:yAlign="inline"/>
              <w:wordWrap w:val="0"/>
            </w:pPr>
          </w:p>
        </w:tc>
      </w:tr>
    </w:tbl>
    <w:p>
      <w:pPr>
        <w:pStyle w:val="26"/>
        <w:framePr w:w="0" w:hRule="auto" w:wrap="auto" w:vAnchor="margin" w:hAnchor="text" w:xAlign="left" w:yAlign="inline"/>
      </w:pPr>
    </w:p>
    <w:p>
      <w:pPr>
        <w:pStyle w:val="26"/>
        <w:framePr w:w="0" w:hRule="auto" w:wrap="auto" w:vAnchor="margin" w:hAnchor="text" w:xAlign="left" w:yAlign="inline"/>
      </w:pPr>
    </w:p>
    <w:p>
      <w:pPr>
        <w:pStyle w:val="7"/>
      </w:pPr>
    </w:p>
    <w:p>
      <w:pPr>
        <w:pStyle w:val="7"/>
      </w:pPr>
    </w:p>
    <w:p>
      <w:pPr>
        <w:pStyle w:val="7"/>
      </w:pPr>
    </w:p>
    <w:p>
      <w:pPr>
        <w:pStyle w:val="28"/>
        <w:framePr w:w="0" w:hSpace="0" w:vSpace="0" w:wrap="auto" w:vAnchor="margin" w:hAnchor="text" w:xAlign="left" w:yAlign="inline"/>
        <w:rPr>
          <w:rFonts w:hint="eastAsia"/>
        </w:rPr>
      </w:pPr>
      <w:r>
        <w:rPr>
          <w:rFonts w:hint="eastAsia"/>
        </w:rPr>
        <w:t>食品安全地方标准</w:t>
      </w:r>
    </w:p>
    <w:p>
      <w:pPr>
        <w:pStyle w:val="29"/>
        <w:framePr w:w="0" w:hSpace="0" w:vSpace="0" w:wrap="auto" w:vAnchor="margin" w:hAnchor="text" w:xAlign="left" w:yAlign="inline"/>
        <w:spacing w:before="0" w:line="680" w:lineRule="exact"/>
        <w:rPr>
          <w:rFonts w:hint="eastAsia" w:ascii="黑体"/>
          <w:sz w:val="52"/>
          <w:szCs w:val="20"/>
        </w:rPr>
      </w:pPr>
      <w:r>
        <w:rPr>
          <w:rFonts w:hint="eastAsia" w:ascii="黑体"/>
          <w:sz w:val="52"/>
          <w:szCs w:val="20"/>
        </w:rPr>
        <w:t>干制牛大力</w:t>
      </w:r>
    </w:p>
    <w:p>
      <w:pPr>
        <w:pStyle w:val="30"/>
        <w:framePr w:w="0" w:hSpace="0" w:vSpace="0" w:wrap="auto" w:vAnchor="margin" w:hAnchor="text" w:xAlign="left" w:yAlign="inline"/>
      </w:pPr>
    </w:p>
    <w:p>
      <w:pPr>
        <w:pStyle w:val="10"/>
      </w:pPr>
    </w:p>
    <w:p/>
    <w:p/>
    <w:p/>
    <w:p/>
    <w:p/>
    <w:p>
      <w:bookmarkStart w:id="3" w:name="_GoBack"/>
      <w:bookmarkEnd w:id="3"/>
    </w:p>
    <w:p/>
    <w:p/>
    <w:p/>
    <w:p/>
    <w:p/>
    <w:tbl>
      <w:tblPr>
        <w:tblStyle w:val="17"/>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1" w:type="dxa"/>
            <w:tcBorders>
              <w:top w:val="nil"/>
              <w:left w:val="nil"/>
              <w:bottom w:val="nil"/>
              <w:right w:val="nil"/>
              <w:tl2br w:val="nil"/>
              <w:tr2bl w:val="nil"/>
            </w:tcBorders>
          </w:tcPr>
          <w:p>
            <w:pPr>
              <w:pStyle w:val="24"/>
              <w:framePr w:w="0" w:hSpace="0" w:vSpace="0" w:wrap="auto" w:vAnchor="margin" w:hAnchor="text" w:xAlign="left" w:yAlign="in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1" w:type="dxa"/>
            <w:tcBorders>
              <w:top w:val="nil"/>
              <w:left w:val="nil"/>
              <w:bottom w:val="nil"/>
              <w:right w:val="nil"/>
              <w:tl2br w:val="nil"/>
              <w:tr2bl w:val="nil"/>
            </w:tcBorders>
          </w:tcPr>
          <w:p>
            <w:pPr>
              <w:pStyle w:val="31"/>
              <w:framePr w:w="0" w:hSpace="0" w:vSpace="0" w:wrap="auto" w:vAnchor="margin" w:hAnchor="text" w:xAlign="left" w:yAlign="inline"/>
            </w:pPr>
          </w:p>
        </w:tc>
      </w:tr>
    </w:tbl>
    <w:p>
      <w:pPr>
        <w:pStyle w:val="33"/>
        <w:framePr w:w="0" w:hRule="auto" w:hSpace="0" w:wrap="auto" w:vAnchor="margin" w:hAnchor="text" w:xAlign="left" w:yAlign="inline"/>
        <w:jc w:val="left"/>
        <w:rPr>
          <w:rFonts w:hint="eastAsia"/>
        </w:rPr>
      </w:pPr>
      <w:r>
        <w:rPr>
          <w:w w:val="100"/>
          <w:lang w:val="en-US" w:eastAsia="zh-CN"/>
        </w:rPr>
        <mc:AlternateContent>
          <mc:Choice Requires="wps">
            <w:drawing>
              <wp:anchor distT="0" distB="0" distL="114935" distR="114935" simplePos="0" relativeHeight="1024" behindDoc="1" locked="0" layoutInCell="1" allowOverlap="1">
                <wp:simplePos x="0" y="0"/>
                <wp:positionH relativeFrom="column">
                  <wp:posOffset>-31115</wp:posOffset>
                </wp:positionH>
                <wp:positionV relativeFrom="paragraph">
                  <wp:posOffset>369570</wp:posOffset>
                </wp:positionV>
                <wp:extent cx="6118225" cy="0"/>
                <wp:effectExtent l="0" t="0" r="0" b="0"/>
                <wp:wrapNone/>
                <wp:docPr id="9" name="直线 11"/>
                <wp:cNvGraphicFramePr/>
                <a:graphic xmlns:a="http://schemas.openxmlformats.org/drawingml/2006/main">
                  <a:graphicData uri="http://schemas.microsoft.com/office/word/2010/wordprocessingShape">
                    <wps:wsp>
                      <wps:cNvCnPr/>
                      <wps:spPr>
                        <a:xfrm>
                          <a:off x="0" y="0"/>
                          <a:ext cx="6118225" cy="0"/>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11" o:spid="_x0000_s1026" o:spt="20" style="position:absolute;left:0pt;margin-left:-2.45pt;margin-top:29.1pt;height:0pt;width:481.75pt;z-index:-503315456;mso-width-relative:page;mso-height-relative:page;" fillcolor="#FFFFFF" filled="t" stroked="t" coordsize="21600,21600" o:gfxdata="UEsDBAoAAAAAAIdO4kAAAAAAAAAAAAAAAAAEAAAAZHJzL1BLAwQUAAAACACHTuJA25Kke9kAAAAL&#10;AQAADwAAAGRycy9kb3ducmV2LnhtbE2PzU7DMBCE70i8g7VI3FqnAVVtGqcSSDmBqEjh0Jsbb5NA&#10;vE5t94e3ZytVgtvuzmj2m3x5tr04og+dIwWTcQICqXamo0bBx7oczUCEqMno3hEq+MEAy+L2JteZ&#10;cSd6x2MVG8EhFDKtoI1xyKQMdYtWh7EbkFjbOW915NU30nh94nDbyzRJptLqjvhDqwd8brH+rg5W&#10;wQ7fPl+Cx/3rfvW0KavVl23KtVL3d5NkASLiOf6Z4YLP6FAw09YdyATRKxilszlbWUgfpyDYMX+4&#10;DNvrRRa5/N+h+AVQSwMEFAAAAAgAh07iQN0D9zT8AQAA+QMAAA4AAABkcnMvZTJvRG9jLnhtbK1T&#10;S44TMRDdI3EHy3vS3VEyzLTSGaFEQUgIIgEHcNx2tyX/KDvphKtwDVZsOM5cY8pOJskAK0Qv3C5X&#10;+fm95/Lsfm802QkIytmGVqOSEmG5a5XtGvrl8+rVLSUhMtsy7axo6EEEej9/+WI2+FqMXe90K4Ag&#10;iA314Bvax+jrogi8F4aFkfPCYlI6MCxiCF3RAhsQ3ehiXJY3xeCg9eC4CAFXl8cknWd8KQWPH6UM&#10;IhLdUOQW8wh53KSxmM9Y3QHzveInGuwfWBimLB56hlqyyMgW1B9QRnFwwck44s4UTkrFRdaAaqry&#10;NzWfeuZF1oLmBH+2Kfw/WP5htwai2obeUWKZwSt6+P7j4ecvUlXJnMGHGmsWdg2nKPg1JKV7CSb9&#10;UQPZZ0MPZ0PFPhKOizdVdTseTynhT7nistFDiG+FMyRNGqqVTVpZzXbvQ8TDsPSpJC0Hp1W7Ulrn&#10;ALrNQgPZMbzXVf4SW9zyrExbMqCyaabAsL2kZhHZGI+Cg+3yec92hGvgMn9/A07Eliz0RwIZIZWx&#10;2qgoklPIRFv8Jf+OjqXZxrUHtBvfCwruHXyjZMDeQy5ftwwEJfqdxcu9qyaT1Kw5mExfjzGA68zm&#10;OsMsR6iGorDjdBGPDb71oLoeT6qyTuvebKOTKnt7YXMiif2VWZ/eQmrg6zhXXV7s/B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qR72QAAAAsBAAAPAAAAAAAAAAEAIAAAACIAAABkcnMvZG93bnJl&#10;di54bWxQSwECFAAUAAAACACHTuJA3QP3NPwBAAD5AwAADgAAAAAAAAABACAAAAAoAQAAZHJzL2Uy&#10;b0RvYy54bWxQSwUGAAAAAAYABgBZAQAAlgUAAAAA&#10;">
                <v:fill on="t" focussize="0,0"/>
                <v:stroke color="#000000" joinstyle="miter"/>
                <v:imagedata o:title=""/>
                <o:lock v:ext="edit" aspectratio="f"/>
              </v:line>
            </w:pict>
          </mc:Fallback>
        </mc:AlternateContent>
      </w:r>
      <w:r>
        <w:rPr>
          <w:rFonts w:hint="eastAsia" w:ascii="黑体"/>
        </w:rPr>
        <w:t>2021</w:t>
      </w:r>
      <w:r>
        <w:t xml:space="preserve"> </w:t>
      </w:r>
      <w:r>
        <w:rPr>
          <w:rFonts w:hint="eastAsia" w:ascii="黑体"/>
        </w:rPr>
        <w:t>-</w:t>
      </w:r>
      <w:r>
        <w:t xml:space="preserve"> </w:t>
      </w:r>
      <w:r>
        <w:rPr>
          <w:rFonts w:hint="eastAsia" w:ascii="黑体"/>
        </w:rPr>
        <w:t>05</w:t>
      </w:r>
      <w:r>
        <w:t xml:space="preserve"> </w:t>
      </w:r>
      <w:r>
        <w:rPr>
          <w:rFonts w:hint="eastAsia" w:ascii="黑体"/>
        </w:rPr>
        <w:t>-</w:t>
      </w:r>
      <w:r>
        <w:t xml:space="preserve"> </w:t>
      </w:r>
      <w:r>
        <w:rPr>
          <w:rFonts w:hint="eastAsia" w:ascii="黑体"/>
        </w:rPr>
        <w:t>30</w:t>
      </w:r>
      <w:r>
        <w:rPr>
          <w:rFonts w:hint="eastAsia"/>
        </w:rPr>
        <w:t>发布</w:t>
      </w:r>
      <w:r>
        <mc:AlternateContent>
          <mc:Choice Requires="wps">
            <w:drawing>
              <wp:anchor distT="0" distB="0" distL="114300" distR="114300" simplePos="0" relativeHeight="1024" behindDoc="0" locked="1" layoutInCell="1" allowOverlap="1">
                <wp:simplePos x="0" y="0"/>
                <wp:positionH relativeFrom="column">
                  <wp:posOffset>-127000</wp:posOffset>
                </wp:positionH>
                <wp:positionV relativeFrom="page">
                  <wp:posOffset>2584450</wp:posOffset>
                </wp:positionV>
                <wp:extent cx="6119495" cy="0"/>
                <wp:effectExtent l="0" t="0" r="0" b="0"/>
                <wp:wrapSquare wrapText="bothSides"/>
                <wp:docPr id="3" name="直线 10"/>
                <wp:cNvGraphicFramePr/>
                <a:graphic xmlns:a="http://schemas.openxmlformats.org/drawingml/2006/main">
                  <a:graphicData uri="http://schemas.microsoft.com/office/word/2010/wordprocessingShape">
                    <wps:wsp>
                      <wps:cNvCnPr/>
                      <wps:spPr>
                        <a:xfrm>
                          <a:off x="0" y="0"/>
                          <a:ext cx="6119495" cy="0"/>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10" o:spid="_x0000_s1026" o:spt="20" style="position:absolute;left:0pt;margin-left:-10pt;margin-top:203.5pt;height:0pt;width:481.85pt;mso-position-vertical-relative:page;mso-wrap-distance-bottom:0pt;mso-wrap-distance-left:9pt;mso-wrap-distance-right:9pt;mso-wrap-distance-top:0pt;z-index:1024;mso-width-relative:page;mso-height-relative:page;" fillcolor="#FFFFFF" filled="t" stroked="t" coordsize="21600,21600" o:gfxdata="UEsDBAoAAAAAAIdO4kAAAAAAAAAAAAAAAAAEAAAAZHJzL1BLAwQUAAAACACHTuJANGvfmtoAAAAL&#10;AQAADwAAAGRycy9kb3ducmV2LnhtbE2PzU7DMBCE70i8g7VI3Fo7RIUS4lQCKScQVVN64ObG2yQQ&#10;r9PY/eHtWSQkuO3ujGa/yRdn14sjjqHzpCGZKhBItbcdNRre1uVkDiJEQ9b0nlDDFwZYFJcXucms&#10;P9EKj1VsBIdQyIyGNsYhkzLULToTpn5AYm3nR2cir2Mj7WhOHO56eaPUrXSmI/7QmgGfWqw/q4PT&#10;sMPXzXMYcf+yXz6+l9XywzXlWuvrq0Q9gIh4jn9m+MFndCiYaesPZIPoNUxSxV2ihlky44Ed92l6&#10;B2L7e5FFLv93KL4BUEsDBBQAAAAIAIdO4kCk6CBt/AEAAPkDAAAOAAAAZHJzL2Uyb0RvYy54bWyt&#10;U0uOEzEQ3SNxB8t70umQDKSVzgglCkJCEAk4gOO2uy35R9lJJ1yFa7Biw3HmGlN2MklmhhWiF26X&#10;q/z83nN5drs3muwEBOVsTcvBkBJhuWuUbWv67evq1VtKQmS2YdpZUdODCPR2/vLFrPeVGLnO6UYA&#10;QRAbqt7XtIvRV0UReCcMCwPnhcWkdGBYxBDaogHWI7rRxWg4vCl6B40Hx0UIuLo8Juk840spePws&#10;ZRCR6Joit5hHyOMmjcV8xqoWmO8UP9Fg/8DCMGXx0DPUkkVGtqCeQRnFwQUn44A7UzgpFRdZA6op&#10;h0/UfOmYF1kLmhP82abw/2D5p90aiGpq+poSywxe0d3PX3e//5Aym9P7UGHNwq4BrUpR8GtISvcS&#10;TPqjBrLPhh7Ohop9JBwXb8pyOp5OKOEPueKy0UOI74UzJE1qqpVNWlnFdh9DxMOw9KEkLQenVbNS&#10;WucA2s1CA9kxvNdV/tJV4pZHZdqSvqbTyShRYNheUrOIU+NRcLBtPu/RjnANPMzf34ATsSUL3ZFA&#10;Rji2klFRJKeQibb4uziWZhvXHNBufC8ouHPwg5Ieew+5fN8yEJToDxYvd1qOx6lZczCevBlhANeZ&#10;zXWGWY5QNUVhx+kiHht860G1HZ5UZp3WvdtGJ1X29sLmRBL7K7M+vYXUwNdxrrq82Pk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GvfmtoAAAALAQAADwAAAAAAAAABACAAAAAiAAAAZHJzL2Rvd25y&#10;ZXYueG1sUEsBAhQAFAAAAAgAh07iQKToIG38AQAA+QMAAA4AAAAAAAAAAQAgAAAAKQEAAGRycy9l&#10;Mm9Eb2MueG1sUEsFBgAAAAAGAAYAWQEAAJcFAAAAAA==&#10;">
                <v:fill on="t" focussize="0,0"/>
                <v:stroke color="#000000" joinstyle="miter"/>
                <v:imagedata o:title=""/>
                <o:lock v:ext="edit" aspectratio="f"/>
                <w10:wrap type="square"/>
                <w10:anchorlock/>
              </v:line>
            </w:pict>
          </mc:Fallback>
        </mc:AlternateContent>
      </w:r>
      <w:r>
        <w:rPr>
          <w:rFonts w:hint="eastAsia"/>
          <w:lang w:val="en-US" w:eastAsia="zh-CN"/>
        </w:rPr>
        <w:t xml:space="preserve">                                 </w:t>
      </w:r>
      <w:r>
        <w:rPr>
          <w:rFonts w:hint="eastAsia" w:ascii="黑体"/>
        </w:rPr>
        <w:t>2021</w:t>
      </w:r>
      <w:r>
        <w:t xml:space="preserve"> </w:t>
      </w:r>
      <w:r>
        <w:rPr>
          <w:rFonts w:hint="eastAsia" w:ascii="黑体"/>
        </w:rPr>
        <w:t>-</w:t>
      </w:r>
      <w:r>
        <w:t xml:space="preserve"> </w:t>
      </w:r>
      <w:r>
        <w:rPr>
          <w:rFonts w:hint="eastAsia" w:ascii="黑体"/>
        </w:rPr>
        <w:t>06</w:t>
      </w:r>
      <w:r>
        <w:t xml:space="preserve"> </w:t>
      </w:r>
      <w:r>
        <w:rPr>
          <w:rFonts w:hint="eastAsia" w:ascii="黑体"/>
        </w:rPr>
        <w:t>-</w:t>
      </w:r>
      <w:r>
        <w:t xml:space="preserve"> 3</w:t>
      </w:r>
      <w:r>
        <w:rPr>
          <w:rFonts w:hint="eastAsia" w:ascii="黑体"/>
        </w:rPr>
        <w:t>0</w:t>
      </w:r>
      <w:r>
        <w:rPr>
          <w:rFonts w:hint="eastAsia"/>
        </w:rPr>
        <w:t>实施</w:t>
      </w:r>
    </w:p>
    <w:p>
      <w:pPr>
        <w:pStyle w:val="34"/>
      </w:pPr>
    </w:p>
    <w:p>
      <w:pPr>
        <w:pStyle w:val="34"/>
      </w:pPr>
    </w:p>
    <w:p>
      <w:pPr>
        <w:pStyle w:val="35"/>
        <w:framePr w:w="0" w:hRule="auto" w:hSpace="0" w:vSpace="0" w:wrap="auto" w:vAnchor="margin" w:hAnchor="text" w:xAlign="left" w:yAlign="inline"/>
      </w:pPr>
      <w:bookmarkStart w:id="1" w:name="fm"/>
      <w:r>
        <w:fldChar w:fldCharType="begin">
          <w:ffData>
            <w:name w:val="fm"/>
            <w:enabled/>
            <w:calcOnExit w:val="0"/>
            <w:textInput/>
          </w:ffData>
        </w:fldChar>
      </w:r>
      <w:r>
        <w:instrText xml:space="preserve"> FORMTEXT </w:instrText>
      </w:r>
      <w:r>
        <w:fldChar w:fldCharType="separate"/>
      </w:r>
      <w:r>
        <w:rPr>
          <w:rFonts w:hint="eastAsia"/>
          <w:lang w:val="en-US" w:eastAsia="zh-CN"/>
        </w:rPr>
        <w:t>广西壮族自治区卫生健康委员会</w:t>
      </w:r>
      <w:r>
        <w:fldChar w:fldCharType="end"/>
      </w:r>
      <w:bookmarkEnd w:id="1"/>
      <w:r>
        <w:t>   </w:t>
      </w:r>
      <w:r>
        <w:rPr>
          <w:rStyle w:val="36"/>
          <w:rFonts w:hint="eastAsia"/>
        </w:rPr>
        <w:t>发布</w:t>
      </w:r>
    </w:p>
    <w:p>
      <w:pPr>
        <w:pStyle w:val="34"/>
        <w:rPr>
          <w:rFonts w:hint="eastAsia" w:ascii="黑体" w:eastAsia="黑体"/>
          <w:sz w:val="52"/>
          <w:lang w:val="en-US" w:eastAsia="zh-CN"/>
        </w:rPr>
        <w:sectPr>
          <w:headerReference r:id="rId3" w:type="default"/>
          <w:headerReference r:id="rId4" w:type="even"/>
          <w:footerReference r:id="rId5" w:type="even"/>
          <w:pgSz w:w="11906" w:h="16838"/>
          <w:pgMar w:top="567" w:right="1134" w:bottom="1134" w:left="1417" w:header="0" w:footer="0" w:gutter="0"/>
          <w:pgNumType w:start="1"/>
          <w:docGrid w:type="lines" w:linePitch="312" w:charSpace="0"/>
        </w:sectPr>
      </w:pPr>
    </w:p>
    <w:p>
      <w:pPr>
        <w:pStyle w:val="37"/>
        <w:rPr>
          <w:rFonts w:hint="eastAsia"/>
        </w:rPr>
      </w:pPr>
      <w:r>
        <w:rPr>
          <w:rFonts w:hint="eastAsia"/>
        </w:rPr>
        <w:t>前</w:t>
      </w:r>
      <w:bookmarkStart w:id="2" w:name="BKQY"/>
      <w:r>
        <w:t>  </w:t>
      </w:r>
      <w:r>
        <w:rPr>
          <w:rFonts w:hint="eastAsia"/>
        </w:rPr>
        <w:t>言</w:t>
      </w:r>
      <w:bookmarkEnd w:id="2"/>
    </w:p>
    <w:p>
      <w:pPr>
        <w:pStyle w:val="34"/>
        <w:rPr>
          <w:szCs w:val="22"/>
        </w:rPr>
      </w:pPr>
      <w:r>
        <w:rPr>
          <w:rFonts w:hint="eastAsia" w:ascii="宋体"/>
          <w:kern w:val="0"/>
          <w:szCs w:val="22"/>
        </w:rPr>
        <w:t>本</w:t>
      </w:r>
      <w:r>
        <w:rPr>
          <w:rFonts w:hint="eastAsia" w:ascii="宋体"/>
          <w:kern w:val="0"/>
          <w:szCs w:val="22"/>
          <w:highlight w:val="none"/>
        </w:rPr>
        <w:t>文件</w:t>
      </w:r>
      <w:r>
        <w:rPr>
          <w:rFonts w:hint="eastAsia" w:ascii="宋体"/>
          <w:kern w:val="0"/>
          <w:szCs w:val="22"/>
        </w:rPr>
        <w:t>按GB/T 1.1</w:t>
      </w:r>
      <w:r>
        <w:rPr>
          <w:szCs w:val="22"/>
        </w:rPr>
        <w:t>—</w:t>
      </w:r>
      <w:r>
        <w:rPr>
          <w:rFonts w:hint="eastAsia" w:ascii="宋体"/>
          <w:kern w:val="0"/>
          <w:szCs w:val="22"/>
        </w:rPr>
        <w:t>2020的格式编写</w:t>
      </w:r>
      <w:r>
        <w:rPr>
          <w:rFonts w:hint="eastAsia"/>
          <w:szCs w:val="22"/>
        </w:rPr>
        <w:t>。</w:t>
      </w:r>
    </w:p>
    <w:p>
      <w:pPr>
        <w:pStyle w:val="34"/>
      </w:pPr>
      <w:r>
        <w:rPr>
          <w:rFonts w:hint="eastAsia"/>
          <w:szCs w:val="22"/>
        </w:rPr>
        <w:t>本文件由</w:t>
      </w:r>
      <w:r>
        <w:rPr>
          <w:rFonts w:hint="eastAsia"/>
        </w:rPr>
        <w:t>广西壮族自治区药用植物园提出。</w:t>
      </w:r>
    </w:p>
    <w:p>
      <w:pPr>
        <w:pStyle w:val="34"/>
        <w:rPr>
          <w:szCs w:val="22"/>
        </w:rPr>
      </w:pPr>
      <w:r>
        <w:rPr>
          <w:rFonts w:hint="eastAsia"/>
        </w:rPr>
        <w:t>本</w:t>
      </w:r>
      <w:r>
        <w:rPr>
          <w:rFonts w:hint="eastAsia"/>
          <w:szCs w:val="22"/>
        </w:rPr>
        <w:t>文件</w:t>
      </w:r>
      <w:r>
        <w:rPr>
          <w:rFonts w:hint="eastAsia"/>
        </w:rPr>
        <w:t>负责起草单</w:t>
      </w:r>
      <w:r>
        <w:rPr>
          <w:rFonts w:hint="eastAsia" w:ascii="宋体"/>
          <w:kern w:val="0"/>
          <w:szCs w:val="22"/>
        </w:rPr>
        <w:t>位：广西壮族自治区药用植物园、广西壮族自治区轻工产品质量检验站。</w:t>
      </w:r>
    </w:p>
    <w:p>
      <w:pPr>
        <w:ind w:firstLine="420" w:firstLineChars="200"/>
        <w:rPr>
          <w:rFonts w:hint="eastAsia" w:ascii="宋体"/>
          <w:kern w:val="0"/>
          <w:szCs w:val="20"/>
        </w:rPr>
      </w:pPr>
      <w:r>
        <w:rPr>
          <w:rFonts w:hint="eastAsia" w:ascii="宋体"/>
          <w:kern w:val="0"/>
          <w:szCs w:val="22"/>
        </w:rPr>
        <w:t>本</w:t>
      </w:r>
      <w:r>
        <w:rPr>
          <w:rFonts w:hint="eastAsia"/>
          <w:szCs w:val="22"/>
        </w:rPr>
        <w:t>文件</w:t>
      </w:r>
      <w:r>
        <w:rPr>
          <w:rFonts w:hint="eastAsia" w:ascii="宋体"/>
          <w:kern w:val="0"/>
          <w:szCs w:val="22"/>
        </w:rPr>
        <w:t>起草人：胡东南、白芸、</w:t>
      </w:r>
      <w:r>
        <w:rPr>
          <w:rFonts w:hint="eastAsia"/>
          <w:szCs w:val="22"/>
        </w:rPr>
        <w:t>张占江、</w:t>
      </w:r>
      <w:r>
        <w:rPr>
          <w:rFonts w:hint="eastAsia" w:ascii="宋体"/>
          <w:kern w:val="0"/>
          <w:szCs w:val="22"/>
        </w:rPr>
        <w:t>欧一忠、</w:t>
      </w:r>
      <w:r>
        <w:rPr>
          <w:rFonts w:hint="eastAsia"/>
          <w:szCs w:val="22"/>
        </w:rPr>
        <w:t>周旻、</w:t>
      </w:r>
      <w:r>
        <w:rPr>
          <w:rFonts w:hint="eastAsia" w:ascii="宋体"/>
          <w:kern w:val="0"/>
          <w:szCs w:val="22"/>
        </w:rPr>
        <w:t>胡永志、杨益林、劳燕文、黎颖青、韦柱杨、</w:t>
      </w:r>
      <w:r>
        <w:rPr>
          <w:rFonts w:hint="eastAsia" w:ascii="宋体" w:eastAsia="宋体"/>
          <w:color w:val="000000"/>
          <w:kern w:val="0"/>
          <w:sz w:val="21"/>
          <w:szCs w:val="22"/>
        </w:rPr>
        <w:t>韦莹、姚绍嫦、刘颖颖、翟勇进</w:t>
      </w:r>
      <w:r>
        <w:rPr>
          <w:rFonts w:hint="eastAsia" w:ascii="宋体"/>
          <w:kern w:val="0"/>
          <w:szCs w:val="22"/>
        </w:rPr>
        <w:t>、</w:t>
      </w:r>
      <w:r>
        <w:rPr>
          <w:rFonts w:hint="eastAsia"/>
          <w:szCs w:val="22"/>
        </w:rPr>
        <w:t>陈志林</w:t>
      </w:r>
      <w:r>
        <w:rPr>
          <w:rFonts w:hint="eastAsia" w:ascii="宋体"/>
          <w:kern w:val="0"/>
          <w:szCs w:val="20"/>
        </w:rPr>
        <w:t>。</w:t>
      </w:r>
    </w:p>
    <w:p>
      <w:pPr>
        <w:pStyle w:val="34"/>
        <w:sectPr>
          <w:headerReference r:id="rId6" w:type="default"/>
          <w:footerReference r:id="rId7" w:type="default"/>
          <w:pgSz w:w="11906" w:h="16838"/>
          <w:pgMar w:top="567" w:right="1134" w:bottom="1134" w:left="1417" w:header="1418" w:footer="1134" w:gutter="0"/>
          <w:pgNumType w:fmt="upperRoman" w:start="1"/>
          <w:formProt w:val="0"/>
          <w:docGrid w:type="lines" w:linePitch="312" w:charSpace="0"/>
        </w:sectPr>
      </w:pPr>
    </w:p>
    <w:p>
      <w:pPr>
        <w:pStyle w:val="38"/>
        <w:spacing w:before="0" w:after="0"/>
        <w:rPr>
          <w:rFonts w:hint="eastAsia"/>
        </w:rPr>
      </w:pPr>
      <w:r>
        <w:rPr>
          <w:rFonts w:hint="eastAsia"/>
        </w:rPr>
        <w:t>食品安全地方标准</w:t>
      </w:r>
    </w:p>
    <w:p>
      <w:pPr>
        <w:pStyle w:val="34"/>
        <w:ind w:firstLine="0" w:firstLineChars="0"/>
        <w:jc w:val="center"/>
        <w:rPr>
          <w:rFonts w:hint="eastAsia" w:ascii="黑体" w:eastAsia="黑体"/>
          <w:sz w:val="32"/>
          <w:szCs w:val="32"/>
          <w:lang w:eastAsia="zh-CN"/>
        </w:rPr>
      </w:pPr>
      <w:r>
        <w:rPr>
          <w:rFonts w:hint="eastAsia" w:ascii="黑体" w:eastAsia="黑体"/>
          <w:sz w:val="32"/>
          <w:szCs w:val="32"/>
        </w:rPr>
        <w:t>干制</w:t>
      </w:r>
      <w:r>
        <w:rPr>
          <w:rFonts w:hint="eastAsia" w:ascii="黑体" w:eastAsia="黑体"/>
          <w:sz w:val="32"/>
          <w:szCs w:val="32"/>
          <w:lang w:eastAsia="zh-CN"/>
        </w:rPr>
        <w:t>牛大力</w:t>
      </w:r>
    </w:p>
    <w:p>
      <w:pPr>
        <w:pStyle w:val="39"/>
        <w:rPr>
          <w:rFonts w:hint="eastAsia"/>
        </w:rPr>
      </w:pPr>
      <w:r>
        <w:rPr>
          <w:rFonts w:hint="eastAsia"/>
        </w:rPr>
        <w:t>范围</w:t>
      </w:r>
    </w:p>
    <w:p>
      <w:pPr>
        <w:pStyle w:val="34"/>
      </w:pPr>
      <w:r>
        <w:rPr>
          <w:rFonts w:hint="eastAsia"/>
        </w:rPr>
        <w:t>本文件规定了干制牛大力的术语和定义、要求、食品添加剂、生产加工过程卫生要求、检验方法、检验规则、其他要求。</w:t>
      </w:r>
    </w:p>
    <w:p>
      <w:pPr>
        <w:pStyle w:val="34"/>
        <w:rPr>
          <w:rFonts w:hint="eastAsia"/>
        </w:rPr>
      </w:pPr>
      <w:r>
        <w:rPr>
          <w:rFonts w:hint="eastAsia"/>
        </w:rPr>
        <w:t>本文件适用</w:t>
      </w:r>
      <w:r>
        <w:rPr>
          <w:rFonts w:hint="eastAsia"/>
          <w:szCs w:val="22"/>
        </w:rPr>
        <w:t>于以新鲜牛大力薯块或根为原料，经拣选、清洗、去表皮、切片或切段、干燥等工艺加工制成的干制牛大力</w:t>
      </w:r>
      <w:r>
        <w:rPr>
          <w:rFonts w:hint="eastAsia"/>
        </w:rPr>
        <w:t>。</w:t>
      </w:r>
    </w:p>
    <w:p>
      <w:pPr>
        <w:pStyle w:val="39"/>
        <w:rPr>
          <w:rFonts w:hint="eastAsia"/>
        </w:rPr>
      </w:pPr>
      <w:r>
        <w:rPr>
          <w:rFonts w:hint="eastAsia"/>
        </w:rPr>
        <w:t>规范性引用文件</w:t>
      </w:r>
    </w:p>
    <w:p>
      <w:pPr>
        <w:pStyle w:val="34"/>
        <w:rPr>
          <w:rFonts w:hint="eastAsia"/>
          <w:color w:val="FF0000"/>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4"/>
      </w:pPr>
      <w:r>
        <w:t xml:space="preserve">GB 2760  </w:t>
      </w:r>
      <w:r>
        <w:rPr>
          <w:rFonts w:hint="eastAsia"/>
        </w:rPr>
        <w:t>食品安全国家标准</w:t>
      </w:r>
      <w:r>
        <w:t xml:space="preserve">  </w:t>
      </w:r>
      <w:r>
        <w:rPr>
          <w:rFonts w:hint="eastAsia"/>
        </w:rPr>
        <w:t>食品添加剂使用标准</w:t>
      </w:r>
    </w:p>
    <w:p>
      <w:pPr>
        <w:pStyle w:val="34"/>
      </w:pPr>
      <w:r>
        <w:t xml:space="preserve">GB 2762  </w:t>
      </w:r>
      <w:r>
        <w:rPr>
          <w:rFonts w:hint="eastAsia"/>
        </w:rPr>
        <w:t>食品安全国家标准</w:t>
      </w:r>
      <w:r>
        <w:t xml:space="preserve">  </w:t>
      </w:r>
      <w:r>
        <w:rPr>
          <w:rFonts w:hint="eastAsia"/>
        </w:rPr>
        <w:t>食品中污染物限量</w:t>
      </w:r>
    </w:p>
    <w:p>
      <w:pPr>
        <w:pStyle w:val="34"/>
        <w:rPr>
          <w:szCs w:val="22"/>
        </w:rPr>
      </w:pPr>
      <w:r>
        <w:t>GB 500</w:t>
      </w:r>
      <w:r>
        <w:rPr>
          <w:rFonts w:hint="eastAsia" w:ascii="宋体"/>
          <w:kern w:val="0"/>
          <w:szCs w:val="22"/>
        </w:rPr>
        <w:t>9.3  食品安全国家标准  食品中水分的测定</w:t>
      </w:r>
    </w:p>
    <w:p>
      <w:pPr>
        <w:pStyle w:val="34"/>
        <w:rPr>
          <w:szCs w:val="22"/>
        </w:rPr>
      </w:pPr>
      <w:r>
        <w:rPr>
          <w:rFonts w:hint="eastAsia" w:ascii="宋体"/>
          <w:kern w:val="0"/>
          <w:szCs w:val="22"/>
        </w:rPr>
        <w:t>GB 5009.11  食品安全国家标准  食品中总砷及无机砷的测定</w:t>
      </w:r>
    </w:p>
    <w:p>
      <w:pPr>
        <w:pStyle w:val="34"/>
        <w:rPr>
          <w:szCs w:val="22"/>
        </w:rPr>
      </w:pPr>
      <w:r>
        <w:rPr>
          <w:rFonts w:hint="eastAsia" w:ascii="宋体"/>
          <w:kern w:val="0"/>
          <w:szCs w:val="22"/>
        </w:rPr>
        <w:t>GB 5009.12  食品安全国家标准  食品中铅的测定</w:t>
      </w:r>
    </w:p>
    <w:p>
      <w:pPr>
        <w:pStyle w:val="34"/>
        <w:rPr>
          <w:szCs w:val="22"/>
        </w:rPr>
      </w:pPr>
      <w:r>
        <w:rPr>
          <w:rFonts w:hint="eastAsia" w:ascii="宋体"/>
          <w:kern w:val="0"/>
          <w:szCs w:val="22"/>
        </w:rPr>
        <w:t>GB 5009.15  食品安全国家标准  食品中镉的测定</w:t>
      </w:r>
      <w:r>
        <w:rPr>
          <w:szCs w:val="22"/>
        </w:rPr>
        <w:t> </w:t>
      </w:r>
      <w:r>
        <w:rPr>
          <w:rFonts w:hint="eastAsia" w:ascii="宋体"/>
          <w:kern w:val="0"/>
          <w:szCs w:val="22"/>
        </w:rPr>
        <w:t xml:space="preserve"> </w:t>
      </w:r>
    </w:p>
    <w:p>
      <w:pPr>
        <w:pStyle w:val="34"/>
        <w:rPr>
          <w:szCs w:val="22"/>
        </w:rPr>
      </w:pPr>
      <w:r>
        <w:rPr>
          <w:rFonts w:hint="eastAsia" w:ascii="宋体"/>
          <w:kern w:val="0"/>
          <w:szCs w:val="22"/>
        </w:rPr>
        <w:t>GB 5009.17  食品安全国家标准  食品中总汞及有机汞的测定</w:t>
      </w:r>
    </w:p>
    <w:p>
      <w:pPr>
        <w:pStyle w:val="34"/>
        <w:rPr>
          <w:szCs w:val="22"/>
        </w:rPr>
      </w:pPr>
      <w:r>
        <w:rPr>
          <w:rFonts w:hint="eastAsia" w:ascii="宋体"/>
          <w:kern w:val="0"/>
          <w:szCs w:val="22"/>
        </w:rPr>
        <w:t>GB 5009.123  食品安全国家标准  食品中铬的测定</w:t>
      </w:r>
      <w:r>
        <w:rPr>
          <w:szCs w:val="22"/>
        </w:rPr>
        <w:t> </w:t>
      </w:r>
    </w:p>
    <w:p>
      <w:pPr>
        <w:pStyle w:val="34"/>
      </w:pPr>
      <w:r>
        <w:t xml:space="preserve">GB 5749  </w:t>
      </w:r>
      <w:r>
        <w:rPr>
          <w:rFonts w:hint="eastAsia"/>
        </w:rPr>
        <w:t>生活饮用水卫生标准</w:t>
      </w:r>
    </w:p>
    <w:p>
      <w:pPr>
        <w:pStyle w:val="34"/>
      </w:pPr>
      <w:r>
        <w:t xml:space="preserve">GB 14881  </w:t>
      </w:r>
      <w:r>
        <w:rPr>
          <w:rFonts w:hint="eastAsia"/>
        </w:rPr>
        <w:t>食品安全国家标准</w:t>
      </w:r>
      <w:r>
        <w:t xml:space="preserve">  </w:t>
      </w:r>
      <w:r>
        <w:rPr>
          <w:rFonts w:hint="eastAsia"/>
        </w:rPr>
        <w:t>食品生产通用卫生规范</w:t>
      </w:r>
    </w:p>
    <w:p>
      <w:pPr>
        <w:pStyle w:val="34"/>
        <w:rPr>
          <w:rFonts w:hint="eastAsia"/>
        </w:rPr>
      </w:pPr>
      <w:r>
        <w:rPr>
          <w:rFonts w:hint="eastAsia"/>
          <w:szCs w:val="22"/>
        </w:rPr>
        <w:t>《中华人民共和国药典》</w:t>
      </w:r>
      <w:r>
        <w:rPr>
          <w:szCs w:val="22"/>
        </w:rPr>
        <w:t xml:space="preserve"> </w:t>
      </w:r>
      <w:r>
        <w:rPr>
          <w:rFonts w:hint="eastAsia"/>
          <w:szCs w:val="22"/>
        </w:rPr>
        <w:t>一部</w:t>
      </w:r>
      <w:r>
        <w:rPr>
          <w:szCs w:val="22"/>
        </w:rPr>
        <w:t xml:space="preserve">  </w:t>
      </w:r>
      <w:r>
        <w:rPr>
          <w:rFonts w:hint="eastAsia"/>
          <w:szCs w:val="22"/>
        </w:rPr>
        <w:t>黄精</w:t>
      </w:r>
    </w:p>
    <w:p>
      <w:pPr>
        <w:pStyle w:val="39"/>
        <w:rPr>
          <w:rFonts w:hint="eastAsia"/>
        </w:rPr>
      </w:pPr>
      <w:r>
        <w:rPr>
          <w:rFonts w:hint="eastAsia"/>
        </w:rPr>
        <w:t>术语和定义</w:t>
      </w:r>
    </w:p>
    <w:p>
      <w:pPr>
        <w:pStyle w:val="34"/>
        <w:rPr>
          <w:rFonts w:hint="eastAsia"/>
          <w:color w:val="000000"/>
        </w:rPr>
      </w:pPr>
      <w:r>
        <w:rPr>
          <w:rFonts w:hint="eastAsia"/>
          <w:color w:val="000000"/>
        </w:rPr>
        <w:t>下列术语和定义适用于本文件。</w:t>
      </w:r>
    </w:p>
    <w:p>
      <w:pPr>
        <w:pStyle w:val="40"/>
        <w:rPr>
          <w:rFonts w:hint="eastAsia"/>
          <w:b/>
          <w:color w:val="000000"/>
        </w:rPr>
      </w:pPr>
    </w:p>
    <w:p>
      <w:pPr>
        <w:pStyle w:val="34"/>
        <w:rPr>
          <w:rFonts w:hint="eastAsia" w:ascii="黑体" w:eastAsia="黑体"/>
        </w:rPr>
      </w:pPr>
      <w:r>
        <w:rPr>
          <w:rFonts w:hint="eastAsia" w:ascii="黑体" w:eastAsia="黑体"/>
        </w:rPr>
        <w:t>牛大力</w:t>
      </w:r>
    </w:p>
    <w:p>
      <w:pPr>
        <w:pStyle w:val="34"/>
        <w:adjustRightInd w:val="0"/>
        <w:snapToGrid w:val="0"/>
        <w:rPr>
          <w:rFonts w:hint="eastAsia"/>
        </w:rPr>
      </w:pPr>
      <w:r>
        <w:rPr>
          <w:rFonts w:hint="eastAsia" w:ascii="宋体"/>
          <w:color w:val="auto"/>
          <w:kern w:val="0"/>
          <w:szCs w:val="22"/>
        </w:rPr>
        <w:t>牛大力为豆科植物美丽崖豆藤</w:t>
      </w:r>
      <w:r>
        <w:rPr>
          <w:rFonts w:hint="eastAsia" w:ascii="宋体"/>
          <w:i/>
          <w:iCs/>
          <w:color w:val="auto"/>
          <w:kern w:val="0"/>
          <w:szCs w:val="22"/>
        </w:rPr>
        <w:t>Millettia speciosa</w:t>
      </w:r>
      <w:r>
        <w:rPr>
          <w:rFonts w:hint="eastAsia" w:ascii="宋体"/>
          <w:color w:val="auto"/>
          <w:kern w:val="0"/>
          <w:szCs w:val="22"/>
        </w:rPr>
        <w:t xml:space="preserve">  Champ</w:t>
      </w:r>
      <w:r>
        <w:rPr>
          <w:rFonts w:hint="eastAsia"/>
          <w:szCs w:val="22"/>
        </w:rPr>
        <w:t>的薯块或根</w:t>
      </w:r>
      <w:r>
        <w:rPr>
          <w:rFonts w:hint="eastAsia"/>
        </w:rPr>
        <w:t>。</w:t>
      </w:r>
    </w:p>
    <w:p>
      <w:pPr>
        <w:pStyle w:val="40"/>
        <w:rPr>
          <w:rFonts w:hint="eastAsia"/>
          <w:b/>
          <w:color w:val="000000"/>
        </w:rPr>
      </w:pPr>
    </w:p>
    <w:p>
      <w:pPr>
        <w:pStyle w:val="34"/>
        <w:rPr>
          <w:rFonts w:hint="eastAsia" w:ascii="黑体" w:eastAsia="黑体"/>
        </w:rPr>
      </w:pPr>
      <w:r>
        <w:rPr>
          <w:rFonts w:hint="eastAsia" w:ascii="黑体" w:eastAsia="黑体"/>
        </w:rPr>
        <w:t>干制牛大力</w:t>
      </w:r>
    </w:p>
    <w:p>
      <w:pPr>
        <w:pStyle w:val="34"/>
        <w:adjustRightInd w:val="0"/>
        <w:snapToGrid w:val="0"/>
        <w:rPr>
          <w:rFonts w:hint="eastAsia"/>
          <w:szCs w:val="21"/>
        </w:rPr>
      </w:pPr>
      <w:r>
        <w:rPr>
          <w:rFonts w:hint="eastAsia"/>
          <w:szCs w:val="22"/>
        </w:rPr>
        <w:t>以新鲜牛大力薯块或根为原料，经拣选、清洗、去表皮、切片或切段、干燥等工艺制成</w:t>
      </w:r>
      <w:r>
        <w:rPr>
          <w:rFonts w:hint="eastAsia" w:ascii="宋体"/>
          <w:kern w:val="0"/>
          <w:sz w:val="21"/>
          <w:szCs w:val="22"/>
        </w:rPr>
        <w:t>片状、块状或长条根</w:t>
      </w:r>
      <w:r>
        <w:rPr>
          <w:rFonts w:hint="eastAsia"/>
          <w:szCs w:val="22"/>
        </w:rPr>
        <w:t>状的牛大力</w:t>
      </w:r>
      <w:r>
        <w:rPr>
          <w:rFonts w:hint="eastAsia"/>
          <w:szCs w:val="21"/>
        </w:rPr>
        <w:t>。</w:t>
      </w:r>
    </w:p>
    <w:p>
      <w:pPr>
        <w:pStyle w:val="39"/>
        <w:rPr>
          <w:rFonts w:hint="eastAsia"/>
        </w:rPr>
      </w:pPr>
      <w:r>
        <w:rPr>
          <w:rFonts w:hint="eastAsia"/>
        </w:rPr>
        <w:t>要求</w:t>
      </w:r>
    </w:p>
    <w:p>
      <w:pPr>
        <w:pStyle w:val="40"/>
        <w:rPr>
          <w:rFonts w:hint="eastAsia"/>
        </w:rPr>
      </w:pPr>
      <w:r>
        <w:rPr>
          <w:rFonts w:hint="eastAsia"/>
        </w:rPr>
        <w:t>原料要求</w:t>
      </w:r>
    </w:p>
    <w:p>
      <w:pPr>
        <w:pStyle w:val="41"/>
        <w:spacing w:before="156" w:after="156"/>
        <w:ind w:left="0"/>
      </w:pPr>
      <w:r>
        <w:rPr>
          <w:rFonts w:hint="eastAsia"/>
          <w:szCs w:val="22"/>
        </w:rPr>
        <w:t>新鲜牛大力薯块或根</w:t>
      </w:r>
    </w:p>
    <w:p>
      <w:pPr>
        <w:pStyle w:val="34"/>
        <w:spacing w:before="156" w:after="156"/>
        <w:rPr>
          <w:color w:val="000000"/>
          <w:szCs w:val="22"/>
        </w:rPr>
      </w:pPr>
      <w:r>
        <w:rPr>
          <w:rFonts w:hint="eastAsia"/>
          <w:szCs w:val="22"/>
        </w:rPr>
        <w:t>新鲜、成熟，无腐烂，无霉变、无病虫害，并应符合</w:t>
      </w:r>
      <w:r>
        <w:rPr>
          <w:szCs w:val="22"/>
        </w:rPr>
        <w:t>GB 2762</w:t>
      </w:r>
      <w:r>
        <w:rPr>
          <w:rFonts w:hint="eastAsia"/>
          <w:szCs w:val="22"/>
        </w:rPr>
        <w:t>的规定。</w:t>
      </w:r>
    </w:p>
    <w:p>
      <w:pPr>
        <w:pStyle w:val="41"/>
        <w:spacing w:before="156" w:after="156"/>
        <w:ind w:left="0"/>
        <w:rPr>
          <w:rFonts w:hint="eastAsia"/>
          <w:color w:val="000000"/>
        </w:rPr>
      </w:pPr>
      <w:r>
        <w:rPr>
          <w:rFonts w:hint="eastAsia"/>
          <w:color w:val="000000"/>
        </w:rPr>
        <w:t>加工用水</w:t>
      </w:r>
    </w:p>
    <w:p>
      <w:pPr>
        <w:pStyle w:val="34"/>
        <w:rPr>
          <w:rFonts w:hint="eastAsia"/>
          <w:color w:val="000000"/>
        </w:rPr>
      </w:pPr>
      <w:r>
        <w:rPr>
          <w:rFonts w:hint="eastAsia"/>
          <w:color w:val="000000"/>
        </w:rPr>
        <w:t>应符合GB 5749的规定。</w:t>
      </w:r>
    </w:p>
    <w:p>
      <w:pPr>
        <w:pStyle w:val="40"/>
        <w:rPr>
          <w:rFonts w:hint="eastAsia"/>
        </w:rPr>
      </w:pPr>
      <w:r>
        <w:rPr>
          <w:rFonts w:hint="eastAsia"/>
        </w:rPr>
        <w:t>感官要求</w:t>
      </w:r>
    </w:p>
    <w:p>
      <w:pPr>
        <w:pStyle w:val="34"/>
        <w:rPr>
          <w:rFonts w:hint="eastAsia"/>
        </w:rPr>
      </w:pPr>
      <w:r>
        <w:rPr>
          <w:rFonts w:hint="eastAsia"/>
        </w:rPr>
        <w:t>应符合表1的规定。</w:t>
      </w:r>
    </w:p>
    <w:p>
      <w:pPr>
        <w:pStyle w:val="42"/>
        <w:ind w:left="0"/>
        <w:rPr>
          <w:rFonts w:hint="eastAsia"/>
        </w:rPr>
      </w:pPr>
      <w:r>
        <w:rPr>
          <w:rFonts w:hint="eastAsia"/>
        </w:rPr>
        <w:t>感官要求</w:t>
      </w:r>
    </w:p>
    <w:tbl>
      <w:tblPr>
        <w:tblStyle w:val="1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6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93" w:type="dxa"/>
            <w:tcBorders>
              <w:top w:val="single" w:color="auto" w:sz="8" w:space="0"/>
              <w:left w:val="single" w:color="auto" w:sz="8" w:space="0"/>
              <w:bottom w:val="single" w:color="auto" w:sz="8" w:space="0"/>
              <w:tl2br w:val="nil"/>
              <w:tr2bl w:val="nil"/>
            </w:tcBorders>
          </w:tcPr>
          <w:p>
            <w:pPr>
              <w:jc w:val="center"/>
              <w:rPr>
                <w:rFonts w:hint="eastAsia" w:ascii="宋体"/>
                <w:sz w:val="18"/>
              </w:rPr>
            </w:pPr>
            <w:r>
              <w:rPr>
                <w:rFonts w:hint="eastAsia" w:ascii="宋体"/>
                <w:sz w:val="18"/>
              </w:rPr>
              <w:t>项    目</w:t>
            </w:r>
          </w:p>
        </w:tc>
        <w:tc>
          <w:tcPr>
            <w:tcW w:w="7677" w:type="dxa"/>
            <w:tcBorders>
              <w:top w:val="single" w:color="auto" w:sz="8" w:space="0"/>
              <w:bottom w:val="single" w:color="auto" w:sz="8" w:space="0"/>
              <w:right w:val="single" w:color="auto" w:sz="8" w:space="0"/>
              <w:tl2br w:val="nil"/>
              <w:tr2bl w:val="nil"/>
            </w:tcBorders>
          </w:tcPr>
          <w:p>
            <w:pPr>
              <w:jc w:val="center"/>
              <w:rPr>
                <w:rFonts w:hint="eastAsia" w:ascii="宋体"/>
                <w:sz w:val="18"/>
              </w:rPr>
            </w:pPr>
            <w:r>
              <w:rPr>
                <w:rFonts w:hint="eastAsia" w:ascii="宋体"/>
                <w:sz w:val="18"/>
              </w:rPr>
              <w:t>要    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93" w:type="dxa"/>
            <w:tcBorders>
              <w:top w:val="single" w:color="auto" w:sz="8" w:space="0"/>
              <w:left w:val="single" w:color="auto" w:sz="8" w:space="0"/>
              <w:bottom w:val="single" w:color="auto" w:sz="4" w:space="0"/>
              <w:tl2br w:val="nil"/>
              <w:tr2bl w:val="nil"/>
            </w:tcBorders>
          </w:tcPr>
          <w:p>
            <w:pPr>
              <w:jc w:val="center"/>
              <w:rPr>
                <w:rFonts w:hint="eastAsia" w:ascii="宋体"/>
                <w:sz w:val="18"/>
              </w:rPr>
            </w:pPr>
            <w:r>
              <w:rPr>
                <w:rFonts w:hint="eastAsia" w:ascii="宋体"/>
                <w:sz w:val="18"/>
              </w:rPr>
              <w:t>外    观</w:t>
            </w:r>
          </w:p>
        </w:tc>
        <w:tc>
          <w:tcPr>
            <w:tcW w:w="7677" w:type="dxa"/>
            <w:tcBorders>
              <w:top w:val="single" w:color="auto" w:sz="8" w:space="0"/>
              <w:bottom w:val="single" w:color="auto" w:sz="4" w:space="0"/>
              <w:right w:val="single" w:color="auto" w:sz="8" w:space="0"/>
              <w:tl2br w:val="nil"/>
              <w:tr2bl w:val="nil"/>
            </w:tcBorders>
          </w:tcPr>
          <w:p>
            <w:pPr>
              <w:rPr>
                <w:rFonts w:hint="eastAsia" w:ascii="宋体"/>
                <w:sz w:val="18"/>
              </w:rPr>
            </w:pPr>
            <w:r>
              <w:rPr>
                <w:rFonts w:hint="eastAsia" w:ascii="宋体"/>
                <w:sz w:val="18"/>
              </w:rPr>
              <w:t>表面呈黄褐色或淡黄色，切面呈白色或淡黄色；无霉变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893" w:type="dxa"/>
            <w:tcBorders>
              <w:top w:val="single" w:color="auto" w:sz="4" w:space="0"/>
              <w:left w:val="single" w:color="auto" w:sz="8" w:space="0"/>
              <w:bottom w:val="single" w:color="auto" w:sz="4" w:space="0"/>
              <w:tl2br w:val="nil"/>
              <w:tr2bl w:val="nil"/>
            </w:tcBorders>
          </w:tcPr>
          <w:p>
            <w:pPr>
              <w:jc w:val="center"/>
              <w:rPr>
                <w:rFonts w:hint="eastAsia" w:ascii="宋体"/>
                <w:sz w:val="18"/>
              </w:rPr>
            </w:pPr>
            <w:r>
              <w:rPr>
                <w:rFonts w:hint="eastAsia" w:ascii="宋体"/>
                <w:sz w:val="18"/>
              </w:rPr>
              <w:t>气味、滋味</w:t>
            </w:r>
          </w:p>
        </w:tc>
        <w:tc>
          <w:tcPr>
            <w:tcW w:w="7677" w:type="dxa"/>
            <w:tcBorders>
              <w:top w:val="single" w:color="auto" w:sz="4" w:space="0"/>
              <w:bottom w:val="single" w:color="auto" w:sz="4" w:space="0"/>
              <w:right w:val="single" w:color="auto" w:sz="8" w:space="0"/>
              <w:tl2br w:val="nil"/>
              <w:tr2bl w:val="nil"/>
            </w:tcBorders>
          </w:tcPr>
          <w:p>
            <w:pPr>
              <w:rPr>
                <w:rFonts w:hint="eastAsia" w:ascii="宋体"/>
                <w:sz w:val="18"/>
              </w:rPr>
            </w:pPr>
            <w:r>
              <w:rPr>
                <w:rFonts w:hint="eastAsia" w:ascii="宋体"/>
                <w:sz w:val="18"/>
              </w:rPr>
              <w:t>具有本品固有的气味和滋味，无异味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93" w:type="dxa"/>
            <w:tcBorders>
              <w:top w:val="single" w:color="auto" w:sz="4" w:space="0"/>
              <w:left w:val="single" w:color="auto" w:sz="8" w:space="0"/>
              <w:bottom w:val="single" w:color="auto" w:sz="4" w:space="0"/>
              <w:tl2br w:val="nil"/>
              <w:tr2bl w:val="nil"/>
            </w:tcBorders>
          </w:tcPr>
          <w:p>
            <w:pPr>
              <w:jc w:val="center"/>
              <w:rPr>
                <w:rFonts w:hint="eastAsia" w:ascii="宋体"/>
                <w:sz w:val="18"/>
              </w:rPr>
            </w:pPr>
            <w:r>
              <w:rPr>
                <w:rFonts w:hint="eastAsia" w:ascii="宋体"/>
                <w:sz w:val="18"/>
              </w:rPr>
              <w:t>组织形态</w:t>
            </w:r>
          </w:p>
        </w:tc>
        <w:tc>
          <w:tcPr>
            <w:tcW w:w="7677" w:type="dxa"/>
            <w:tcBorders>
              <w:top w:val="single" w:color="auto" w:sz="4" w:space="0"/>
              <w:bottom w:val="single" w:color="auto" w:sz="4" w:space="0"/>
              <w:right w:val="single" w:color="auto" w:sz="8" w:space="0"/>
              <w:tl2br w:val="nil"/>
              <w:tr2bl w:val="nil"/>
            </w:tcBorders>
          </w:tcPr>
          <w:p>
            <w:pPr>
              <w:rPr>
                <w:rFonts w:hint="eastAsia" w:ascii="宋体"/>
                <w:sz w:val="18"/>
              </w:rPr>
            </w:pPr>
            <w:r>
              <w:rPr>
                <w:rFonts w:hint="eastAsia" w:ascii="宋体"/>
                <w:sz w:val="18"/>
              </w:rPr>
              <w:t>片状、块状或长条根状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93" w:type="dxa"/>
            <w:tcBorders>
              <w:top w:val="single" w:color="auto" w:sz="4" w:space="0"/>
              <w:left w:val="single" w:color="auto" w:sz="8" w:space="0"/>
              <w:bottom w:val="single" w:color="auto" w:sz="8" w:space="0"/>
              <w:tl2br w:val="nil"/>
              <w:tr2bl w:val="nil"/>
            </w:tcBorders>
          </w:tcPr>
          <w:p>
            <w:pPr>
              <w:jc w:val="center"/>
              <w:rPr>
                <w:rFonts w:hint="eastAsia" w:ascii="宋体"/>
                <w:sz w:val="18"/>
              </w:rPr>
            </w:pPr>
            <w:r>
              <w:rPr>
                <w:rFonts w:hint="eastAsia" w:ascii="宋体"/>
                <w:sz w:val="18"/>
              </w:rPr>
              <w:t>杂    质</w:t>
            </w:r>
          </w:p>
        </w:tc>
        <w:tc>
          <w:tcPr>
            <w:tcW w:w="7677" w:type="dxa"/>
            <w:tcBorders>
              <w:top w:val="single" w:color="auto" w:sz="4" w:space="0"/>
              <w:bottom w:val="single" w:color="auto" w:sz="8" w:space="0"/>
              <w:right w:val="single" w:color="auto" w:sz="8" w:space="0"/>
              <w:tl2br w:val="nil"/>
              <w:tr2bl w:val="nil"/>
            </w:tcBorders>
          </w:tcPr>
          <w:p>
            <w:pPr>
              <w:rPr>
                <w:rFonts w:hint="eastAsia" w:ascii="宋体"/>
                <w:sz w:val="18"/>
              </w:rPr>
            </w:pPr>
            <w:r>
              <w:rPr>
                <w:rFonts w:hint="eastAsia" w:ascii="宋体"/>
                <w:sz w:val="18"/>
              </w:rPr>
              <w:t>无杂质</w:t>
            </w:r>
          </w:p>
        </w:tc>
      </w:tr>
    </w:tbl>
    <w:p>
      <w:pPr>
        <w:pStyle w:val="40"/>
        <w:rPr>
          <w:rFonts w:hint="eastAsia"/>
        </w:rPr>
      </w:pPr>
      <w:r>
        <w:rPr>
          <w:rFonts w:hint="eastAsia"/>
        </w:rPr>
        <w:t>理化指标</w:t>
      </w:r>
    </w:p>
    <w:p>
      <w:pPr>
        <w:pStyle w:val="34"/>
        <w:rPr>
          <w:rFonts w:hint="eastAsia"/>
        </w:rPr>
      </w:pPr>
      <w:r>
        <w:rPr>
          <w:rFonts w:hint="eastAsia"/>
        </w:rPr>
        <w:t>应符合表2的规定。</w:t>
      </w:r>
    </w:p>
    <w:p>
      <w:pPr>
        <w:pStyle w:val="42"/>
        <w:ind w:left="0"/>
        <w:rPr>
          <w:rFonts w:hint="eastAsia"/>
        </w:rPr>
      </w:pPr>
      <w:r>
        <w:rPr>
          <w:rFonts w:hint="eastAsia"/>
        </w:rPr>
        <w:t>理化指标</w:t>
      </w:r>
    </w:p>
    <w:tbl>
      <w:tblPr>
        <w:tblStyle w:val="17"/>
        <w:tblW w:w="9570" w:type="dxa"/>
        <w:tblInd w:w="0" w:type="dxa"/>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
      <w:tblGrid>
        <w:gridCol w:w="4785"/>
        <w:gridCol w:w="4785"/>
      </w:tblGrid>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auto" w:sz="8" w:space="0"/>
              <w:left w:val="single" w:color="auto" w:sz="8" w:space="0"/>
              <w:bottom w:val="single" w:color="auto" w:sz="8" w:space="0"/>
              <w:tl2br w:val="nil"/>
              <w:tr2bl w:val="nil"/>
            </w:tcBorders>
          </w:tcPr>
          <w:p>
            <w:pPr>
              <w:pStyle w:val="34"/>
              <w:ind w:firstLine="0" w:firstLineChars="0"/>
              <w:jc w:val="center"/>
              <w:rPr>
                <w:rFonts w:hint="eastAsia"/>
                <w:color w:val="000000"/>
                <w:sz w:val="18"/>
                <w:szCs w:val="18"/>
              </w:rPr>
            </w:pPr>
            <w:r>
              <w:rPr>
                <w:rFonts w:hint="eastAsia"/>
                <w:color w:val="000000"/>
                <w:sz w:val="18"/>
                <w:szCs w:val="18"/>
              </w:rPr>
              <w:t>项    目</w:t>
            </w:r>
          </w:p>
        </w:tc>
        <w:tc>
          <w:tcPr>
            <w:tcW w:w="4785" w:type="dxa"/>
            <w:tcBorders>
              <w:top w:val="single" w:color="auto" w:sz="8" w:space="0"/>
              <w:bottom w:val="single" w:color="auto" w:sz="8" w:space="0"/>
              <w:right w:val="single" w:color="auto" w:sz="8" w:space="0"/>
              <w:tl2br w:val="nil"/>
              <w:tr2bl w:val="nil"/>
            </w:tcBorders>
          </w:tcPr>
          <w:p>
            <w:pPr>
              <w:pStyle w:val="34"/>
              <w:ind w:firstLine="0" w:firstLineChars="0"/>
              <w:jc w:val="center"/>
              <w:rPr>
                <w:rFonts w:hint="eastAsia"/>
                <w:color w:val="000000"/>
                <w:sz w:val="18"/>
                <w:szCs w:val="18"/>
              </w:rPr>
            </w:pPr>
            <w:r>
              <w:rPr>
                <w:rFonts w:hint="eastAsia"/>
                <w:color w:val="000000"/>
                <w:sz w:val="18"/>
                <w:szCs w:val="18"/>
              </w:rPr>
              <w:t>指    标</w:t>
            </w:r>
          </w:p>
        </w:tc>
      </w:tr>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000000" w:sz="4" w:space="0"/>
              <w:left w:val="single" w:color="auto" w:sz="8" w:space="0"/>
              <w:bottom w:val="single" w:color="000000" w:sz="4" w:space="0"/>
              <w:tl2br w:val="nil"/>
              <w:tr2bl w:val="nil"/>
            </w:tcBorders>
          </w:tcPr>
          <w:p>
            <w:pPr>
              <w:rPr>
                <w:rFonts w:hint="eastAsia" w:ascii="宋体"/>
                <w:color w:val="000000"/>
                <w:sz w:val="18"/>
                <w:szCs w:val="18"/>
              </w:rPr>
            </w:pPr>
            <w:r>
              <w:rPr>
                <w:rFonts w:hint="eastAsia" w:ascii="宋体"/>
                <w:color w:val="000000"/>
                <w:sz w:val="18"/>
                <w:szCs w:val="18"/>
              </w:rPr>
              <w:t>水分（g/100g）                                 ≤</w:t>
            </w:r>
          </w:p>
        </w:tc>
        <w:tc>
          <w:tcPr>
            <w:tcW w:w="4785" w:type="dxa"/>
            <w:tcBorders>
              <w:top w:val="single" w:color="000000" w:sz="4" w:space="0"/>
              <w:bottom w:val="single" w:color="000000" w:sz="4" w:space="0"/>
              <w:right w:val="single" w:color="auto" w:sz="8" w:space="0"/>
              <w:tl2br w:val="nil"/>
              <w:tr2bl w:val="nil"/>
            </w:tcBorders>
            <w:vAlign w:val="center"/>
          </w:tcPr>
          <w:p>
            <w:pPr>
              <w:jc w:val="center"/>
              <w:rPr>
                <w:rFonts w:hint="eastAsia" w:ascii="宋体"/>
                <w:color w:val="000000"/>
                <w:sz w:val="18"/>
                <w:szCs w:val="18"/>
              </w:rPr>
            </w:pPr>
            <w:r>
              <w:rPr>
                <w:rFonts w:hint="eastAsia" w:ascii="宋体"/>
                <w:color w:val="000000"/>
                <w:sz w:val="18"/>
                <w:szCs w:val="18"/>
              </w:rPr>
              <w:t>10.0</w:t>
            </w:r>
          </w:p>
        </w:tc>
      </w:tr>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000000" w:sz="4" w:space="0"/>
              <w:left w:val="single" w:color="auto" w:sz="8" w:space="0"/>
              <w:bottom w:val="single" w:color="000000" w:sz="4" w:space="0"/>
              <w:tl2br w:val="nil"/>
              <w:tr2bl w:val="nil"/>
            </w:tcBorders>
            <w:vAlign w:val="center"/>
          </w:tcPr>
          <w:p>
            <w:pPr>
              <w:rPr>
                <w:rFonts w:hint="eastAsia" w:ascii="宋体"/>
                <w:sz w:val="18"/>
              </w:rPr>
            </w:pPr>
            <w:r>
              <w:rPr>
                <w:rFonts w:hint="eastAsia" w:ascii="宋体"/>
                <w:color w:val="000000"/>
                <w:sz w:val="18"/>
                <w:szCs w:val="18"/>
              </w:rPr>
              <w:t>粗多糖（以无水葡萄糖计）</w:t>
            </w:r>
            <w:r>
              <w:rPr>
                <w:rFonts w:hint="eastAsia" w:ascii="宋体"/>
                <w:sz w:val="18"/>
              </w:rPr>
              <w:t>/（g/100g）            ≥</w:t>
            </w:r>
          </w:p>
        </w:tc>
        <w:tc>
          <w:tcPr>
            <w:tcW w:w="4785" w:type="dxa"/>
            <w:tcBorders>
              <w:top w:val="single" w:color="000000" w:sz="4" w:space="0"/>
              <w:bottom w:val="single" w:color="000000" w:sz="4" w:space="0"/>
              <w:right w:val="single" w:color="auto" w:sz="8" w:space="0"/>
              <w:tl2br w:val="nil"/>
              <w:tr2bl w:val="nil"/>
            </w:tcBorders>
          </w:tcPr>
          <w:p>
            <w:pPr>
              <w:jc w:val="center"/>
              <w:rPr>
                <w:rFonts w:hint="eastAsia" w:ascii="宋体"/>
                <w:sz w:val="18"/>
              </w:rPr>
            </w:pPr>
            <w:r>
              <w:rPr>
                <w:rFonts w:hint="eastAsia" w:ascii="宋体"/>
                <w:sz w:val="18"/>
              </w:rPr>
              <w:t>3.0</w:t>
            </w:r>
          </w:p>
        </w:tc>
      </w:tr>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000000" w:sz="4" w:space="0"/>
              <w:left w:val="single" w:color="auto" w:sz="8" w:space="0"/>
              <w:bottom w:val="single" w:color="000000" w:sz="4" w:space="0"/>
              <w:tl2br w:val="nil"/>
              <w:tr2bl w:val="nil"/>
            </w:tcBorders>
          </w:tcPr>
          <w:p>
            <w:pPr>
              <w:pStyle w:val="34"/>
              <w:ind w:firstLine="0" w:firstLineChars="0"/>
              <w:rPr>
                <w:color w:val="000000"/>
                <w:sz w:val="18"/>
                <w:szCs w:val="18"/>
              </w:rPr>
            </w:pPr>
            <w:r>
              <w:rPr>
                <w:rFonts w:hint="eastAsia"/>
                <w:color w:val="000000"/>
                <w:sz w:val="18"/>
                <w:szCs w:val="18"/>
              </w:rPr>
              <w:t>铅（以</w:t>
            </w:r>
            <w:r>
              <w:rPr>
                <w:color w:val="000000"/>
                <w:sz w:val="18"/>
                <w:szCs w:val="18"/>
              </w:rPr>
              <w:t>Pb</w:t>
            </w:r>
            <w:r>
              <w:rPr>
                <w:rFonts w:hint="eastAsia"/>
                <w:color w:val="000000"/>
                <w:sz w:val="18"/>
                <w:szCs w:val="18"/>
              </w:rPr>
              <w:t>计）</w:t>
            </w:r>
            <w:r>
              <w:rPr>
                <w:color w:val="000000"/>
                <w:sz w:val="18"/>
                <w:szCs w:val="18"/>
              </w:rPr>
              <w:t>/</w:t>
            </w:r>
            <w:r>
              <w:rPr>
                <w:rFonts w:hint="eastAsia"/>
                <w:color w:val="000000"/>
                <w:sz w:val="18"/>
                <w:szCs w:val="18"/>
              </w:rPr>
              <w:t>（</w:t>
            </w:r>
            <w:r>
              <w:rPr>
                <w:color w:val="000000"/>
                <w:sz w:val="18"/>
                <w:szCs w:val="18"/>
              </w:rPr>
              <w:t>mg/kg</w:t>
            </w:r>
            <w:r>
              <w:rPr>
                <w:rFonts w:hint="eastAsia"/>
                <w:color w:val="000000"/>
                <w:sz w:val="18"/>
                <w:szCs w:val="18"/>
              </w:rPr>
              <w:t xml:space="preserve">）     </w:t>
            </w:r>
            <w:r>
              <w:rPr>
                <w:color w:val="000000"/>
                <w:sz w:val="18"/>
                <w:szCs w:val="18"/>
              </w:rPr>
              <w:t xml:space="preserve">                    </w:t>
            </w:r>
            <w:r>
              <w:rPr>
                <w:rFonts w:hint="eastAsia"/>
                <w:color w:val="000000"/>
                <w:sz w:val="18"/>
                <w:szCs w:val="18"/>
              </w:rPr>
              <w:t>≤</w:t>
            </w:r>
          </w:p>
        </w:tc>
        <w:tc>
          <w:tcPr>
            <w:tcW w:w="4785" w:type="dxa"/>
            <w:tcBorders>
              <w:top w:val="single" w:color="000000" w:sz="4" w:space="0"/>
              <w:bottom w:val="single" w:color="000000" w:sz="4" w:space="0"/>
              <w:right w:val="single" w:color="auto" w:sz="8" w:space="0"/>
              <w:tl2br w:val="nil"/>
              <w:tr2bl w:val="nil"/>
            </w:tcBorders>
          </w:tcPr>
          <w:p>
            <w:pPr>
              <w:pStyle w:val="34"/>
              <w:ind w:firstLine="0" w:firstLineChars="0"/>
              <w:jc w:val="center"/>
              <w:rPr>
                <w:color w:val="000000"/>
                <w:sz w:val="18"/>
                <w:szCs w:val="18"/>
              </w:rPr>
            </w:pPr>
            <w:r>
              <w:rPr>
                <w:color w:val="000000"/>
                <w:sz w:val="18"/>
                <w:szCs w:val="18"/>
              </w:rPr>
              <w:t xml:space="preserve">2.0 </w:t>
            </w:r>
          </w:p>
        </w:tc>
      </w:tr>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000000" w:sz="4" w:space="0"/>
              <w:left w:val="single" w:color="auto" w:sz="8" w:space="0"/>
              <w:bottom w:val="single" w:color="000000" w:sz="4" w:space="0"/>
              <w:tl2br w:val="nil"/>
              <w:tr2bl w:val="nil"/>
            </w:tcBorders>
          </w:tcPr>
          <w:p>
            <w:pPr>
              <w:pStyle w:val="34"/>
              <w:ind w:firstLine="0" w:firstLineChars="0"/>
              <w:rPr>
                <w:color w:val="000000"/>
                <w:sz w:val="18"/>
                <w:szCs w:val="18"/>
              </w:rPr>
            </w:pPr>
            <w:r>
              <w:rPr>
                <w:rFonts w:hint="eastAsia"/>
                <w:color w:val="000000"/>
                <w:sz w:val="18"/>
                <w:szCs w:val="18"/>
              </w:rPr>
              <w:t>总汞（以</w:t>
            </w:r>
            <w:r>
              <w:rPr>
                <w:color w:val="000000"/>
                <w:sz w:val="18"/>
                <w:szCs w:val="18"/>
              </w:rPr>
              <w:t>Hg</w:t>
            </w:r>
            <w:r>
              <w:rPr>
                <w:rFonts w:hint="eastAsia"/>
                <w:color w:val="000000"/>
                <w:sz w:val="18"/>
                <w:szCs w:val="18"/>
              </w:rPr>
              <w:t>计）</w:t>
            </w:r>
            <w:r>
              <w:rPr>
                <w:color w:val="000000"/>
                <w:sz w:val="18"/>
                <w:szCs w:val="18"/>
              </w:rPr>
              <w:t>/</w:t>
            </w:r>
            <w:r>
              <w:rPr>
                <w:rFonts w:hint="eastAsia"/>
                <w:color w:val="000000"/>
                <w:sz w:val="18"/>
                <w:szCs w:val="18"/>
              </w:rPr>
              <w:t>（</w:t>
            </w:r>
            <w:r>
              <w:rPr>
                <w:color w:val="000000"/>
                <w:sz w:val="18"/>
                <w:szCs w:val="18"/>
              </w:rPr>
              <w:t>mg/kg</w:t>
            </w:r>
            <w:r>
              <w:rPr>
                <w:rFonts w:hint="eastAsia"/>
                <w:color w:val="000000"/>
                <w:sz w:val="18"/>
                <w:szCs w:val="18"/>
              </w:rPr>
              <w:t xml:space="preserve">）    </w:t>
            </w:r>
            <w:r>
              <w:rPr>
                <w:color w:val="000000"/>
                <w:sz w:val="18"/>
                <w:szCs w:val="18"/>
              </w:rPr>
              <w:t xml:space="preserve">                   </w:t>
            </w:r>
            <w:r>
              <w:rPr>
                <w:rFonts w:hint="eastAsia"/>
                <w:color w:val="000000"/>
                <w:sz w:val="18"/>
                <w:szCs w:val="18"/>
              </w:rPr>
              <w:t>≤</w:t>
            </w:r>
          </w:p>
        </w:tc>
        <w:tc>
          <w:tcPr>
            <w:tcW w:w="4785" w:type="dxa"/>
            <w:tcBorders>
              <w:top w:val="single" w:color="000000" w:sz="4" w:space="0"/>
              <w:bottom w:val="single" w:color="000000" w:sz="4" w:space="0"/>
              <w:right w:val="single" w:color="auto" w:sz="8" w:space="0"/>
              <w:tl2br w:val="nil"/>
              <w:tr2bl w:val="nil"/>
            </w:tcBorders>
          </w:tcPr>
          <w:p>
            <w:pPr>
              <w:pStyle w:val="34"/>
              <w:ind w:firstLine="0" w:firstLineChars="0"/>
              <w:jc w:val="center"/>
              <w:rPr>
                <w:color w:val="000000"/>
                <w:sz w:val="18"/>
                <w:szCs w:val="18"/>
              </w:rPr>
            </w:pPr>
            <w:r>
              <w:rPr>
                <w:color w:val="000000"/>
                <w:sz w:val="18"/>
                <w:szCs w:val="18"/>
              </w:rPr>
              <w:t>0.1</w:t>
            </w:r>
          </w:p>
        </w:tc>
      </w:tr>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000000" w:sz="4" w:space="0"/>
              <w:left w:val="single" w:color="auto" w:sz="8" w:space="0"/>
              <w:bottom w:val="single" w:color="000000" w:sz="4" w:space="0"/>
              <w:tl2br w:val="nil"/>
              <w:tr2bl w:val="nil"/>
            </w:tcBorders>
          </w:tcPr>
          <w:p>
            <w:pPr>
              <w:pStyle w:val="34"/>
              <w:ind w:firstLine="0" w:firstLineChars="0"/>
              <w:rPr>
                <w:color w:val="000000"/>
                <w:sz w:val="18"/>
                <w:szCs w:val="18"/>
              </w:rPr>
            </w:pPr>
            <w:r>
              <w:rPr>
                <w:rFonts w:hint="eastAsia"/>
                <w:color w:val="000000"/>
                <w:sz w:val="18"/>
                <w:szCs w:val="18"/>
              </w:rPr>
              <w:t>总砷（以</w:t>
            </w:r>
            <w:r>
              <w:rPr>
                <w:color w:val="000000"/>
                <w:sz w:val="18"/>
                <w:szCs w:val="18"/>
              </w:rPr>
              <w:t>As</w:t>
            </w:r>
            <w:r>
              <w:rPr>
                <w:rFonts w:hint="eastAsia"/>
                <w:color w:val="000000"/>
                <w:sz w:val="18"/>
                <w:szCs w:val="18"/>
              </w:rPr>
              <w:t>计）</w:t>
            </w:r>
            <w:r>
              <w:rPr>
                <w:color w:val="000000"/>
                <w:sz w:val="18"/>
                <w:szCs w:val="18"/>
              </w:rPr>
              <w:t>/</w:t>
            </w:r>
            <w:r>
              <w:rPr>
                <w:rFonts w:hint="eastAsia"/>
                <w:color w:val="000000"/>
                <w:sz w:val="18"/>
                <w:szCs w:val="18"/>
              </w:rPr>
              <w:t>（</w:t>
            </w:r>
            <w:r>
              <w:rPr>
                <w:color w:val="000000"/>
                <w:sz w:val="18"/>
                <w:szCs w:val="18"/>
              </w:rPr>
              <w:t>mg/kg</w:t>
            </w:r>
            <w:r>
              <w:rPr>
                <w:rFonts w:hint="eastAsia"/>
                <w:color w:val="000000"/>
                <w:sz w:val="18"/>
                <w:szCs w:val="18"/>
              </w:rPr>
              <w:t xml:space="preserve">） </w:t>
            </w:r>
            <w:r>
              <w:rPr>
                <w:color w:val="000000"/>
                <w:sz w:val="18"/>
                <w:szCs w:val="18"/>
              </w:rPr>
              <w:t xml:space="preserve">                      </w:t>
            </w:r>
            <w:r>
              <w:rPr>
                <w:rFonts w:hint="eastAsia"/>
                <w:color w:val="000000"/>
                <w:sz w:val="18"/>
                <w:szCs w:val="18"/>
              </w:rPr>
              <w:t>≤</w:t>
            </w:r>
          </w:p>
        </w:tc>
        <w:tc>
          <w:tcPr>
            <w:tcW w:w="4785" w:type="dxa"/>
            <w:tcBorders>
              <w:top w:val="single" w:color="000000" w:sz="4" w:space="0"/>
              <w:bottom w:val="single" w:color="000000" w:sz="4" w:space="0"/>
              <w:right w:val="single" w:color="auto" w:sz="8" w:space="0"/>
              <w:tl2br w:val="nil"/>
              <w:tr2bl w:val="nil"/>
            </w:tcBorders>
          </w:tcPr>
          <w:p>
            <w:pPr>
              <w:pStyle w:val="34"/>
              <w:ind w:firstLine="0" w:firstLineChars="0"/>
              <w:jc w:val="center"/>
              <w:rPr>
                <w:color w:val="000000"/>
                <w:sz w:val="18"/>
                <w:szCs w:val="18"/>
              </w:rPr>
            </w:pPr>
            <w:r>
              <w:rPr>
                <w:color w:val="000000"/>
                <w:sz w:val="18"/>
                <w:szCs w:val="18"/>
              </w:rPr>
              <w:t>0.5</w:t>
            </w:r>
          </w:p>
        </w:tc>
      </w:tr>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000000" w:sz="4" w:space="0"/>
              <w:left w:val="single" w:color="auto" w:sz="8" w:space="0"/>
              <w:bottom w:val="single" w:color="000000" w:sz="4" w:space="0"/>
              <w:tl2br w:val="nil"/>
              <w:tr2bl w:val="nil"/>
            </w:tcBorders>
          </w:tcPr>
          <w:p>
            <w:pPr>
              <w:pStyle w:val="34"/>
              <w:ind w:firstLine="0" w:firstLineChars="0"/>
              <w:rPr>
                <w:color w:val="000000"/>
                <w:sz w:val="18"/>
                <w:szCs w:val="18"/>
              </w:rPr>
            </w:pPr>
            <w:r>
              <w:rPr>
                <w:rFonts w:hint="eastAsia"/>
                <w:color w:val="000000"/>
                <w:sz w:val="18"/>
                <w:szCs w:val="18"/>
              </w:rPr>
              <w:t>镉（以</w:t>
            </w:r>
            <w:r>
              <w:rPr>
                <w:color w:val="000000"/>
                <w:sz w:val="18"/>
                <w:szCs w:val="18"/>
              </w:rPr>
              <w:t>Cd</w:t>
            </w:r>
            <w:r>
              <w:rPr>
                <w:rFonts w:hint="eastAsia"/>
                <w:color w:val="000000"/>
                <w:sz w:val="18"/>
                <w:szCs w:val="18"/>
              </w:rPr>
              <w:t>计）</w:t>
            </w:r>
            <w:r>
              <w:rPr>
                <w:color w:val="000000"/>
                <w:sz w:val="18"/>
                <w:szCs w:val="18"/>
              </w:rPr>
              <w:t>/</w:t>
            </w:r>
            <w:r>
              <w:rPr>
                <w:rFonts w:hint="eastAsia"/>
                <w:color w:val="000000"/>
                <w:sz w:val="18"/>
                <w:szCs w:val="18"/>
              </w:rPr>
              <w:t>（</w:t>
            </w:r>
            <w:r>
              <w:rPr>
                <w:color w:val="000000"/>
                <w:sz w:val="18"/>
                <w:szCs w:val="18"/>
              </w:rPr>
              <w:t>mg/kg</w:t>
            </w:r>
            <w:r>
              <w:rPr>
                <w:rFonts w:hint="eastAsia"/>
                <w:color w:val="000000"/>
                <w:sz w:val="18"/>
                <w:szCs w:val="18"/>
              </w:rPr>
              <w:t>）</w:t>
            </w:r>
            <w:r>
              <w:rPr>
                <w:color w:val="000000"/>
                <w:sz w:val="18"/>
                <w:szCs w:val="18"/>
              </w:rPr>
              <w:t xml:space="preserve">                         </w:t>
            </w:r>
            <w:r>
              <w:rPr>
                <w:rFonts w:hint="eastAsia"/>
                <w:color w:val="000000"/>
                <w:sz w:val="18"/>
                <w:szCs w:val="18"/>
              </w:rPr>
              <w:t>≤</w:t>
            </w:r>
          </w:p>
        </w:tc>
        <w:tc>
          <w:tcPr>
            <w:tcW w:w="4785" w:type="dxa"/>
            <w:tcBorders>
              <w:top w:val="single" w:color="000000" w:sz="4" w:space="0"/>
              <w:bottom w:val="single" w:color="000000" w:sz="4" w:space="0"/>
              <w:right w:val="single" w:color="auto" w:sz="8" w:space="0"/>
              <w:tl2br w:val="nil"/>
              <w:tr2bl w:val="nil"/>
            </w:tcBorders>
          </w:tcPr>
          <w:p>
            <w:pPr>
              <w:pStyle w:val="34"/>
              <w:ind w:firstLine="0" w:firstLineChars="0"/>
              <w:jc w:val="center"/>
              <w:rPr>
                <w:color w:val="000000"/>
                <w:sz w:val="18"/>
                <w:szCs w:val="18"/>
              </w:rPr>
            </w:pPr>
            <w:r>
              <w:rPr>
                <w:color w:val="000000"/>
                <w:sz w:val="18"/>
                <w:szCs w:val="18"/>
              </w:rPr>
              <w:t>0.5</w:t>
            </w:r>
          </w:p>
        </w:tc>
      </w:tr>
      <w:tr>
        <w:tblPrEx>
          <w:tblBorders>
            <w:top w:val="single" w:color="FF0000" w:sz="12" w:space="0"/>
            <w:left w:val="single" w:color="FF0000" w:sz="12" w:space="0"/>
            <w:bottom w:val="single" w:color="FF0000" w:sz="12" w:space="0"/>
            <w:right w:val="single" w:color="FF0000" w:sz="12"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tcBorders>
              <w:top w:val="single" w:color="000000" w:sz="4" w:space="0"/>
              <w:left w:val="single" w:color="auto" w:sz="8" w:space="0"/>
              <w:bottom w:val="single" w:color="000000" w:sz="8" w:space="0"/>
              <w:tl2br w:val="nil"/>
              <w:tr2bl w:val="nil"/>
            </w:tcBorders>
          </w:tcPr>
          <w:p>
            <w:pPr>
              <w:pStyle w:val="34"/>
              <w:ind w:firstLine="0" w:firstLineChars="0"/>
              <w:rPr>
                <w:color w:val="000000"/>
                <w:sz w:val="18"/>
                <w:szCs w:val="18"/>
              </w:rPr>
            </w:pPr>
            <w:r>
              <w:rPr>
                <w:rFonts w:hint="eastAsia"/>
              </w:rPr>
              <w:t>铬</w:t>
            </w:r>
            <w:r>
              <w:rPr>
                <w:rFonts w:hint="eastAsia"/>
                <w:color w:val="000000"/>
                <w:sz w:val="18"/>
                <w:szCs w:val="18"/>
              </w:rPr>
              <w:t>（以</w:t>
            </w:r>
            <w:r>
              <w:rPr>
                <w:color w:val="000000"/>
                <w:sz w:val="18"/>
                <w:szCs w:val="18"/>
              </w:rPr>
              <w:t>Cr</w:t>
            </w:r>
            <w:r>
              <w:rPr>
                <w:rFonts w:hint="eastAsia"/>
                <w:color w:val="000000"/>
                <w:sz w:val="18"/>
                <w:szCs w:val="18"/>
              </w:rPr>
              <w:t>计）</w:t>
            </w:r>
            <w:r>
              <w:rPr>
                <w:color w:val="000000"/>
                <w:sz w:val="18"/>
                <w:szCs w:val="18"/>
              </w:rPr>
              <w:t>/</w:t>
            </w:r>
            <w:r>
              <w:rPr>
                <w:rFonts w:hint="eastAsia"/>
                <w:color w:val="000000"/>
                <w:sz w:val="18"/>
                <w:szCs w:val="18"/>
              </w:rPr>
              <w:t>（</w:t>
            </w:r>
            <w:r>
              <w:rPr>
                <w:color w:val="000000"/>
                <w:sz w:val="18"/>
                <w:szCs w:val="18"/>
              </w:rPr>
              <w:t>mg/kg</w:t>
            </w:r>
            <w:r>
              <w:rPr>
                <w:rFonts w:hint="eastAsia"/>
                <w:color w:val="000000"/>
                <w:sz w:val="18"/>
                <w:szCs w:val="18"/>
              </w:rPr>
              <w:t>）</w:t>
            </w:r>
            <w:r>
              <w:rPr>
                <w:color w:val="000000"/>
                <w:sz w:val="18"/>
                <w:szCs w:val="18"/>
              </w:rPr>
              <w:t xml:space="preserve">                         </w:t>
            </w:r>
            <w:r>
              <w:rPr>
                <w:rFonts w:hint="eastAsia"/>
                <w:color w:val="000000"/>
                <w:sz w:val="18"/>
                <w:szCs w:val="18"/>
              </w:rPr>
              <w:t>≤</w:t>
            </w:r>
          </w:p>
        </w:tc>
        <w:tc>
          <w:tcPr>
            <w:tcW w:w="4785" w:type="dxa"/>
            <w:tcBorders>
              <w:top w:val="single" w:color="000000" w:sz="4" w:space="0"/>
              <w:bottom w:val="single" w:color="000000" w:sz="8" w:space="0"/>
              <w:right w:val="single" w:color="auto" w:sz="8" w:space="0"/>
              <w:tl2br w:val="nil"/>
              <w:tr2bl w:val="nil"/>
            </w:tcBorders>
          </w:tcPr>
          <w:p>
            <w:pPr>
              <w:pStyle w:val="34"/>
              <w:ind w:firstLine="0" w:firstLineChars="0"/>
              <w:jc w:val="center"/>
              <w:rPr>
                <w:color w:val="000000"/>
                <w:sz w:val="18"/>
                <w:szCs w:val="18"/>
              </w:rPr>
            </w:pPr>
            <w:r>
              <w:rPr>
                <w:color w:val="000000"/>
                <w:sz w:val="18"/>
                <w:szCs w:val="18"/>
              </w:rPr>
              <w:t>1.0</w:t>
            </w:r>
          </w:p>
        </w:tc>
      </w:tr>
    </w:tbl>
    <w:p>
      <w:pPr>
        <w:pStyle w:val="39"/>
        <w:rPr>
          <w:rFonts w:hint="eastAsia"/>
        </w:rPr>
      </w:pPr>
      <w:r>
        <w:rPr>
          <w:rFonts w:hint="eastAsia"/>
        </w:rPr>
        <w:t>食品添加剂</w:t>
      </w:r>
    </w:p>
    <w:p>
      <w:pPr>
        <w:pStyle w:val="34"/>
        <w:rPr>
          <w:rFonts w:hint="eastAsia"/>
        </w:rPr>
      </w:pPr>
      <w:r>
        <w:rPr>
          <w:rFonts w:hint="eastAsia" w:cs="宋体"/>
          <w:lang w:bidi="ar-SA"/>
        </w:rPr>
        <w:t>应符合GB 2760的规定。</w:t>
      </w:r>
    </w:p>
    <w:p>
      <w:pPr>
        <w:pStyle w:val="39"/>
        <w:rPr>
          <w:rFonts w:hint="eastAsia"/>
        </w:rPr>
      </w:pPr>
      <w:r>
        <w:rPr>
          <w:rFonts w:hint="eastAsia"/>
        </w:rPr>
        <w:t>生产加工过程卫生要求</w:t>
      </w:r>
    </w:p>
    <w:p>
      <w:pPr>
        <w:pStyle w:val="34"/>
        <w:rPr>
          <w:rFonts w:hint="eastAsia"/>
        </w:rPr>
      </w:pPr>
      <w:r>
        <w:rPr>
          <w:rFonts w:hint="eastAsia"/>
        </w:rPr>
        <w:t>应符合GB 14881的规定。</w:t>
      </w:r>
    </w:p>
    <w:p>
      <w:pPr>
        <w:pStyle w:val="39"/>
        <w:rPr>
          <w:rFonts w:hint="eastAsia"/>
        </w:rPr>
      </w:pPr>
      <w:r>
        <w:rPr>
          <w:rFonts w:hint="eastAsia"/>
        </w:rPr>
        <w:t>检验方法</w:t>
      </w:r>
    </w:p>
    <w:p>
      <w:pPr>
        <w:pStyle w:val="40"/>
      </w:pPr>
      <w:r>
        <w:rPr>
          <w:rFonts w:hint="eastAsia"/>
        </w:rPr>
        <w:t>感官要求</w:t>
      </w:r>
    </w:p>
    <w:p>
      <w:pPr>
        <w:pStyle w:val="34"/>
      </w:pPr>
      <w:r>
        <w:rPr>
          <w:rFonts w:hint="eastAsia"/>
        </w:rPr>
        <w:t>取适量样品置于白色搪瓷皿中，在自然光下观察外观、组织形态和杂质，并闻其气味、品其滋味。</w:t>
      </w:r>
    </w:p>
    <w:p>
      <w:pPr>
        <w:pStyle w:val="40"/>
      </w:pPr>
      <w:r>
        <w:rPr>
          <w:rFonts w:hint="eastAsia"/>
        </w:rPr>
        <w:t>理化指标</w:t>
      </w:r>
    </w:p>
    <w:p>
      <w:pPr>
        <w:pStyle w:val="41"/>
        <w:spacing w:before="156" w:after="156"/>
        <w:ind w:left="0"/>
      </w:pPr>
      <w:r>
        <w:rPr>
          <w:rFonts w:hint="eastAsia"/>
        </w:rPr>
        <w:t>水分</w:t>
      </w:r>
    </w:p>
    <w:p>
      <w:pPr>
        <w:pStyle w:val="34"/>
      </w:pPr>
      <w:r>
        <w:rPr>
          <w:rFonts w:hint="eastAsia"/>
        </w:rPr>
        <w:t>按</w:t>
      </w:r>
      <w:r>
        <w:t>GB 5009.3</w:t>
      </w:r>
      <w:r>
        <w:rPr>
          <w:rFonts w:hint="eastAsia"/>
        </w:rPr>
        <w:t>规定的方法测定。</w:t>
      </w:r>
    </w:p>
    <w:p>
      <w:pPr>
        <w:pStyle w:val="41"/>
        <w:spacing w:before="156" w:after="156"/>
        <w:ind w:left="0"/>
      </w:pPr>
      <w:r>
        <w:rPr>
          <w:rFonts w:hint="eastAsia"/>
        </w:rPr>
        <w:t>粗多糖</w:t>
      </w:r>
    </w:p>
    <w:p>
      <w:pPr>
        <w:pStyle w:val="34"/>
      </w:pPr>
      <w:r>
        <w:rPr>
          <w:rFonts w:hint="eastAsia"/>
        </w:rPr>
        <w:t>按《中华人民</w:t>
      </w:r>
      <w:r>
        <w:rPr>
          <w:rFonts w:hint="eastAsia"/>
          <w:szCs w:val="22"/>
        </w:rPr>
        <w:t>共和国药典》一部</w:t>
      </w:r>
      <w:r>
        <w:rPr>
          <w:szCs w:val="22"/>
        </w:rPr>
        <w:t xml:space="preserve"> </w:t>
      </w:r>
      <w:r>
        <w:rPr>
          <w:rFonts w:hint="eastAsia"/>
          <w:szCs w:val="22"/>
        </w:rPr>
        <w:t>黄精</w:t>
      </w:r>
      <w:r>
        <w:rPr>
          <w:szCs w:val="22"/>
        </w:rPr>
        <w:t xml:space="preserve">  </w:t>
      </w:r>
      <w:r>
        <w:rPr>
          <w:rFonts w:hint="eastAsia"/>
          <w:szCs w:val="22"/>
        </w:rPr>
        <w:t>中多糖规定的方</w:t>
      </w:r>
      <w:r>
        <w:rPr>
          <w:rFonts w:hint="eastAsia"/>
        </w:rPr>
        <w:t>法测定。</w:t>
      </w:r>
    </w:p>
    <w:p>
      <w:pPr>
        <w:pStyle w:val="41"/>
        <w:spacing w:before="156" w:after="156"/>
        <w:ind w:left="0"/>
      </w:pPr>
      <w:r>
        <w:rPr>
          <w:rFonts w:hint="eastAsia"/>
        </w:rPr>
        <w:t>铅</w:t>
      </w:r>
    </w:p>
    <w:p>
      <w:pPr>
        <w:pStyle w:val="34"/>
      </w:pPr>
      <w:r>
        <w:rPr>
          <w:rFonts w:hint="eastAsia"/>
        </w:rPr>
        <w:t>按</w:t>
      </w:r>
      <w:r>
        <w:t>GB 5009.12</w:t>
      </w:r>
      <w:r>
        <w:rPr>
          <w:rFonts w:hint="eastAsia"/>
        </w:rPr>
        <w:t>规定的方法测定。</w:t>
      </w:r>
    </w:p>
    <w:p>
      <w:pPr>
        <w:pStyle w:val="41"/>
        <w:spacing w:before="156" w:after="156"/>
        <w:ind w:left="0"/>
      </w:pPr>
      <w:r>
        <w:rPr>
          <w:rFonts w:hint="eastAsia"/>
        </w:rPr>
        <w:t>总汞</w:t>
      </w:r>
    </w:p>
    <w:p>
      <w:pPr>
        <w:pStyle w:val="34"/>
      </w:pPr>
      <w:r>
        <w:rPr>
          <w:rFonts w:hint="eastAsia"/>
        </w:rPr>
        <w:t>按</w:t>
      </w:r>
      <w:r>
        <w:t>GB 5009.17</w:t>
      </w:r>
      <w:r>
        <w:rPr>
          <w:rFonts w:hint="eastAsia"/>
        </w:rPr>
        <w:t>规定的方法测定。</w:t>
      </w:r>
    </w:p>
    <w:p>
      <w:pPr>
        <w:pStyle w:val="41"/>
        <w:spacing w:before="156" w:after="156"/>
        <w:ind w:left="0"/>
      </w:pPr>
      <w:r>
        <w:rPr>
          <w:rFonts w:hint="eastAsia"/>
        </w:rPr>
        <w:t>总砷</w:t>
      </w:r>
    </w:p>
    <w:p>
      <w:pPr>
        <w:pStyle w:val="34"/>
      </w:pPr>
      <w:r>
        <w:rPr>
          <w:rFonts w:hint="eastAsia"/>
        </w:rPr>
        <w:t>按</w:t>
      </w:r>
      <w:r>
        <w:t>GB 5009.11</w:t>
      </w:r>
      <w:r>
        <w:rPr>
          <w:rFonts w:hint="eastAsia"/>
        </w:rPr>
        <w:t>规定的方法测定。</w:t>
      </w:r>
    </w:p>
    <w:p>
      <w:pPr>
        <w:pStyle w:val="41"/>
        <w:spacing w:before="156" w:after="156"/>
        <w:ind w:left="0"/>
      </w:pPr>
      <w:r>
        <w:rPr>
          <w:rFonts w:hint="eastAsia"/>
        </w:rPr>
        <w:t>镉</w:t>
      </w:r>
    </w:p>
    <w:p>
      <w:pPr>
        <w:pStyle w:val="34"/>
      </w:pPr>
      <w:r>
        <w:rPr>
          <w:rFonts w:hint="eastAsia"/>
        </w:rPr>
        <w:t>按</w:t>
      </w:r>
      <w:r>
        <w:t>GB 5009.15</w:t>
      </w:r>
      <w:r>
        <w:rPr>
          <w:rFonts w:hint="eastAsia"/>
        </w:rPr>
        <w:t>规定的方法测定。</w:t>
      </w:r>
    </w:p>
    <w:p>
      <w:pPr>
        <w:pStyle w:val="41"/>
        <w:spacing w:before="156" w:after="156"/>
        <w:ind w:left="0"/>
      </w:pPr>
      <w:r>
        <w:rPr>
          <w:rFonts w:hint="eastAsia"/>
        </w:rPr>
        <w:t>铬</w:t>
      </w:r>
    </w:p>
    <w:p>
      <w:pPr>
        <w:pStyle w:val="34"/>
        <w:ind w:firstLine="0" w:firstLineChars="0"/>
      </w:pPr>
      <w:r>
        <w:rPr>
          <w:szCs w:val="22"/>
        </w:rPr>
        <w:t xml:space="preserve">    </w:t>
      </w:r>
      <w:r>
        <w:rPr>
          <w:rFonts w:hint="eastAsia"/>
          <w:szCs w:val="22"/>
        </w:rPr>
        <w:t>按</w:t>
      </w:r>
      <w:r>
        <w:rPr>
          <w:szCs w:val="22"/>
        </w:rPr>
        <w:t>GB 5009.123</w:t>
      </w:r>
      <w:r>
        <w:rPr>
          <w:rFonts w:hint="eastAsia"/>
          <w:szCs w:val="22"/>
        </w:rPr>
        <w:t>规定的方法测定。</w:t>
      </w:r>
    </w:p>
    <w:p>
      <w:pPr>
        <w:pStyle w:val="40"/>
        <w:rPr>
          <w:rFonts w:hint="eastAsia"/>
        </w:rPr>
      </w:pPr>
      <w:r>
        <w:rPr>
          <w:rFonts w:hint="eastAsia"/>
        </w:rPr>
        <w:t>食品添加剂</w:t>
      </w:r>
    </w:p>
    <w:p>
      <w:pPr>
        <w:pStyle w:val="34"/>
        <w:rPr>
          <w:rFonts w:hint="eastAsia"/>
        </w:rPr>
      </w:pPr>
      <w:r>
        <w:rPr>
          <w:rFonts w:hint="eastAsia"/>
        </w:rPr>
        <w:t>按国家相应标准的规定执行。</w:t>
      </w:r>
    </w:p>
    <w:p>
      <w:pPr>
        <w:pStyle w:val="39"/>
        <w:rPr>
          <w:color w:val="000000"/>
        </w:rPr>
      </w:pPr>
      <w:r>
        <w:rPr>
          <w:rFonts w:hint="eastAsia"/>
          <w:color w:val="000000"/>
        </w:rPr>
        <w:t>检验规则</w:t>
      </w:r>
    </w:p>
    <w:p>
      <w:pPr>
        <w:pStyle w:val="40"/>
      </w:pPr>
      <w:r>
        <w:rPr>
          <w:rFonts w:hint="eastAsia"/>
        </w:rPr>
        <w:t>组批</w:t>
      </w:r>
    </w:p>
    <w:p>
      <w:pPr>
        <w:pStyle w:val="34"/>
        <w:rPr>
          <w:color w:val="000000"/>
        </w:rPr>
      </w:pPr>
      <w:r>
        <w:rPr>
          <w:rFonts w:hint="eastAsia"/>
          <w:color w:val="000000"/>
        </w:rPr>
        <w:t>以同一原料、同一班次、同一生产</w:t>
      </w:r>
      <w:r>
        <w:rPr>
          <w:rFonts w:hint="eastAsia"/>
          <w:color w:val="000000"/>
          <w:szCs w:val="22"/>
        </w:rPr>
        <w:t>线生产的同品种产品为</w:t>
      </w:r>
      <w:r>
        <w:rPr>
          <w:rFonts w:hint="eastAsia"/>
          <w:color w:val="000000"/>
        </w:rPr>
        <w:t>一组批。</w:t>
      </w:r>
    </w:p>
    <w:p>
      <w:pPr>
        <w:pStyle w:val="40"/>
      </w:pPr>
      <w:r>
        <w:rPr>
          <w:rFonts w:hint="eastAsia"/>
        </w:rPr>
        <w:t>抽样</w:t>
      </w:r>
    </w:p>
    <w:p>
      <w:pPr>
        <w:pStyle w:val="43"/>
        <w:numPr>
          <w:ilvl w:val="0"/>
          <w:numId w:val="0"/>
        </w:numPr>
        <w:ind w:left="0" w:firstLine="420" w:firstLineChars="200"/>
        <w:rPr>
          <w:color w:val="000000"/>
        </w:rPr>
      </w:pPr>
      <w:r>
        <w:rPr>
          <w:rFonts w:hint="eastAsia"/>
          <w:color w:val="000000"/>
        </w:rPr>
        <w:t>每批产品按生产批次及数量比例随机抽样，抽样数量应满足检验要求。</w:t>
      </w:r>
    </w:p>
    <w:p>
      <w:pPr>
        <w:pStyle w:val="40"/>
      </w:pPr>
      <w:r>
        <w:rPr>
          <w:rFonts w:hint="eastAsia"/>
        </w:rPr>
        <w:t>判定规则</w:t>
      </w:r>
    </w:p>
    <w:p>
      <w:pPr>
        <w:pStyle w:val="43"/>
      </w:pPr>
      <w:r>
        <w:rPr>
          <w:rFonts w:hint="eastAsia"/>
        </w:rPr>
        <w:t>检验结果全部符合本标准规定时，判定该批产品合格。</w:t>
      </w:r>
    </w:p>
    <w:p>
      <w:pPr>
        <w:pStyle w:val="43"/>
      </w:pPr>
      <w:r>
        <w:rPr>
          <w:rFonts w:hint="eastAsia"/>
        </w:rPr>
        <w:t>若理化指标、食品添加剂指标的检验结果不符合本标准规定时，允许按相关规定进行复检，以复检结果为准。</w:t>
      </w:r>
    </w:p>
    <w:p>
      <w:pPr>
        <w:pStyle w:val="39"/>
        <w:rPr>
          <w:color w:val="000000"/>
          <w:szCs w:val="22"/>
        </w:rPr>
      </w:pPr>
      <w:r>
        <w:rPr>
          <w:szCs w:val="22"/>
        </w:rPr>
        <w:t xml:space="preserve"> </w:t>
      </w:r>
      <w:r>
        <w:rPr>
          <w:rFonts w:hint="eastAsia"/>
          <w:szCs w:val="22"/>
        </w:rPr>
        <w:t>其他</w:t>
      </w:r>
      <w:r>
        <w:rPr>
          <w:rFonts w:hint="eastAsia"/>
          <w:color w:val="000000"/>
          <w:szCs w:val="22"/>
        </w:rPr>
        <w:t>要求</w:t>
      </w:r>
    </w:p>
    <w:p>
      <w:pPr>
        <w:pStyle w:val="40"/>
        <w:ind w:left="142"/>
        <w:rPr>
          <w:color w:val="000000"/>
          <w:szCs w:val="22"/>
        </w:rPr>
      </w:pPr>
      <w:r>
        <w:rPr>
          <w:rFonts w:hint="eastAsia"/>
          <w:color w:val="000000"/>
          <w:szCs w:val="22"/>
        </w:rPr>
        <w:t>食用量</w:t>
      </w:r>
    </w:p>
    <w:p>
      <w:pPr>
        <w:pStyle w:val="43"/>
        <w:numPr>
          <w:ilvl w:val="0"/>
          <w:numId w:val="0"/>
        </w:numPr>
        <w:spacing w:before="156" w:after="156"/>
        <w:ind w:left="0" w:firstLine="420" w:firstLineChars="200"/>
        <w:rPr>
          <w:rFonts w:cs="宋体"/>
          <w:szCs w:val="22"/>
          <w:lang w:bidi="ar-SA"/>
        </w:rPr>
      </w:pPr>
      <w:r>
        <w:rPr>
          <w:rFonts w:hint="eastAsia"/>
          <w:szCs w:val="22"/>
        </w:rPr>
        <w:t>建议</w:t>
      </w:r>
      <w:r>
        <w:rPr>
          <w:rFonts w:hint="eastAsia" w:cs="宋体"/>
          <w:szCs w:val="22"/>
          <w:lang w:bidi="ar-SA"/>
        </w:rPr>
        <w:t>每日食用量≤</w:t>
      </w:r>
      <w:r>
        <w:rPr>
          <w:rFonts w:cs="宋体"/>
          <w:szCs w:val="22"/>
          <w:lang w:bidi="ar-SA"/>
        </w:rPr>
        <w:t>8g</w:t>
      </w:r>
      <w:r>
        <w:rPr>
          <w:rFonts w:hint="eastAsia" w:cs="宋体"/>
          <w:szCs w:val="22"/>
          <w:lang w:bidi="ar-SA"/>
        </w:rPr>
        <w:t>。</w:t>
      </w:r>
    </w:p>
    <w:p>
      <w:pPr>
        <w:pStyle w:val="40"/>
        <w:ind w:left="142"/>
        <w:rPr>
          <w:color w:val="000000"/>
        </w:rPr>
      </w:pPr>
      <w:r>
        <w:rPr>
          <w:rFonts w:hint="eastAsia"/>
          <w:color w:val="000000"/>
        </w:rPr>
        <w:t>不适宜人群</w:t>
      </w:r>
    </w:p>
    <w:p>
      <w:pPr>
        <w:pStyle w:val="34"/>
        <w:spacing w:before="156" w:after="156"/>
        <w:rPr>
          <w:szCs w:val="22"/>
        </w:rPr>
      </w:pPr>
      <w:r>
        <w:rPr>
          <w:rFonts w:hint="eastAsia"/>
          <w:szCs w:val="22"/>
        </w:rPr>
        <w:t>孕妇、哺乳期妇女及婴幼儿不</w:t>
      </w:r>
      <w:r>
        <w:rPr>
          <w:rFonts w:hint="eastAsia" w:ascii="宋体" w:eastAsia="宋体"/>
          <w:color w:val="000000"/>
          <w:sz w:val="21"/>
          <w:szCs w:val="22"/>
        </w:rPr>
        <w:t>宜</w:t>
      </w:r>
      <w:r>
        <w:rPr>
          <w:rFonts w:hint="eastAsia"/>
          <w:szCs w:val="22"/>
        </w:rPr>
        <w:t>食用。</w:t>
      </w:r>
    </w:p>
    <w:p>
      <w:pPr>
        <w:pStyle w:val="40"/>
        <w:ind w:left="142"/>
        <w:rPr>
          <w:color w:val="000000"/>
          <w:szCs w:val="22"/>
        </w:rPr>
      </w:pPr>
      <w:r>
        <w:rPr>
          <w:rFonts w:hint="eastAsia"/>
          <w:color w:val="000000"/>
          <w:szCs w:val="22"/>
        </w:rPr>
        <w:t>产品有标签、说明书的，应当标注食用量和不适宜人群。</w:t>
      </w:r>
    </w:p>
    <w:p>
      <w:pPr>
        <w:pStyle w:val="44"/>
        <w:rPr>
          <w:rFonts w:hint="eastAsia"/>
        </w:rPr>
      </w:pPr>
      <w:r>
        <w:t>_________________________________</w:t>
      </w:r>
    </w:p>
    <w:p/>
    <w:sectPr>
      <w:pgSz w:w="11906" w:h="16838"/>
      <w:pgMar w:top="567" w:right="1134" w:bottom="1134" w:left="1417" w:header="1418" w:footer="1134" w:gutter="0"/>
      <w:pgNumType w:start="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fldChar w:fldCharType="begin"/>
    </w:r>
    <w:r>
      <w:instrText xml:space="preserve"> PAGE  \* MERGEFORMAT </w:instrText>
    </w:r>
    <w:r>
      <w:fldChar w:fldCharType="separate"/>
    </w:r>
    <w:r>
      <w:rPr>
        <w:lang w:val="en-US" w:eastAsia="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PAGE  \* MERGEFORMAT </w:instrText>
    </w:r>
    <w:r>
      <w:fldChar w:fldCharType="separate"/>
    </w:r>
    <w:r>
      <w:rPr>
        <w:lang w:val="en-US" w:eastAsia="zh-CN"/>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none" w:color="auto" w:sz="0" w:space="0"/>
        <w:left w:val="none" w:color="auto" w:sz="0" w:space="0"/>
        <w:bottom w:val="none" w:color="auto" w:sz="0" w:space="0"/>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8820" w:firstLineChars="4200"/>
    </w:pPr>
    <w:r>
      <w:t>DBS 45/068—2020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rFonts w:hint="eastAsia"/>
      </w:rPr>
    </w:pPr>
    <w:r>
      <w:rPr>
        <w:rFonts w:hint="eastAsia"/>
      </w:rPr>
      <w:t>DBS 45</w:t>
    </w:r>
    <w:r>
      <w:t>/</w:t>
    </w:r>
    <w:r>
      <w:rPr>
        <w:rFonts w:hint="eastAsia"/>
      </w:rPr>
      <w:t>06</w:t>
    </w:r>
    <w:r>
      <w:t>4—20</w:t>
    </w:r>
    <w:r>
      <w:rPr>
        <w:rFonts w:hint="eastAsia"/>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F6CF4"/>
    <w:multiLevelType w:val="multilevel"/>
    <w:tmpl w:val="23EF6CF4"/>
    <w:lvl w:ilvl="0" w:tentative="0">
      <w:start w:val="1"/>
      <w:numFmt w:val="decimal"/>
      <w:pStyle w:val="39"/>
      <w:suff w:val="nothing"/>
      <w:lvlText w:val="%1　"/>
      <w:lvlJc w:val="left"/>
      <w:pPr>
        <w:tabs>
          <w:tab w:val="left" w:pos="0"/>
        </w:tabs>
        <w:ind w:left="0" w:firstLine="0"/>
      </w:pPr>
      <w:rPr>
        <w:rFonts w:hint="eastAsia" w:ascii="黑体" w:hAnsi="黑体" w:eastAsia="黑体"/>
        <w:b w:val="0"/>
        <w:i w:val="0"/>
        <w:sz w:val="21"/>
        <w:szCs w:val="21"/>
      </w:rPr>
    </w:lvl>
    <w:lvl w:ilvl="1" w:tentative="0">
      <w:start w:val="1"/>
      <w:numFmt w:val="decimal"/>
      <w:pStyle w:val="40"/>
      <w:suff w:val="nothing"/>
      <w:lvlText w:val="%1.%2　"/>
      <w:lvlJc w:val="left"/>
      <w:pPr>
        <w:tabs>
          <w:tab w:val="left" w:pos="0"/>
        </w:tabs>
        <w:ind w:left="0" w:firstLine="0"/>
      </w:pPr>
      <w:rPr>
        <w:rFonts w:hint="eastAsia" w:ascii="黑体" w:hAnsi="黑体" w:eastAsia="黑体" w:cs="Times New Roman"/>
        <w:b w:val="0"/>
        <w:bCs w:val="0"/>
        <w:i w:val="0"/>
        <w:iCs w:val="0"/>
        <w:caps w:val="0"/>
        <w:small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3"/>
      <w:suff w:val="nothing"/>
      <w:lvlText w:val="%1.%2.%3　"/>
      <w:lvlJc w:val="left"/>
      <w:pPr>
        <w:tabs>
          <w:tab w:val="left" w:pos="0"/>
        </w:tabs>
        <w:ind w:left="42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42"/>
      <w:suff w:val="nothing"/>
      <w:lvlText w:val="表%1　"/>
      <w:lvlJc w:val="left"/>
      <w:pPr>
        <w:tabs>
          <w:tab w:val="left" w:pos="0"/>
        </w:tabs>
        <w:ind w:left="4095" w:firstLine="0"/>
      </w:pPr>
      <w:rPr>
        <w:rFonts w:hint="eastAsia" w:ascii="黑体" w:hAnsi="黑体"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E839CC"/>
    <w:rsid w:val="13F5717F"/>
    <w:rsid w:val="17DA0ABE"/>
    <w:rsid w:val="1AB176D5"/>
    <w:rsid w:val="24161371"/>
    <w:rsid w:val="279F33EF"/>
    <w:rsid w:val="2BB057A0"/>
    <w:rsid w:val="2F9C254E"/>
    <w:rsid w:val="2FDB15A1"/>
    <w:rsid w:val="3D437F99"/>
    <w:rsid w:val="3EFB2B14"/>
    <w:rsid w:val="4A4C5179"/>
    <w:rsid w:val="4B2271ED"/>
    <w:rsid w:val="54693C22"/>
    <w:rsid w:val="55101B8F"/>
    <w:rsid w:val="573B5B4D"/>
    <w:rsid w:val="61B05168"/>
    <w:rsid w:val="66026D44"/>
    <w:rsid w:val="675D08D1"/>
    <w:rsid w:val="6FB54C9E"/>
    <w:rsid w:val="747B735D"/>
    <w:rsid w:val="74F558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5">
    <w:name w:val="Default Paragraph Fon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5">
    <w:name w:val="E-mail Signature"/>
    <w:basedOn w:val="1"/>
    <w:qFormat/>
    <w:uiPriority w:val="0"/>
  </w:style>
  <w:style w:type="paragraph" w:styleId="6">
    <w:name w:val="Document Map"/>
    <w:basedOn w:val="1"/>
    <w:qFormat/>
    <w:uiPriority w:val="0"/>
    <w:pPr>
      <w:shd w:val="clear" w:color="auto" w:fill="000080"/>
    </w:pPr>
  </w:style>
  <w:style w:type="paragraph" w:styleId="7">
    <w:name w:val="Closing"/>
    <w:basedOn w:val="1"/>
    <w:qFormat/>
    <w:uiPriority w:val="0"/>
    <w:pPr>
      <w:ind w:left="4320"/>
    </w:pPr>
  </w:style>
  <w:style w:type="paragraph" w:styleId="8">
    <w:name w:val="Plain Text"/>
    <w:basedOn w:val="1"/>
    <w:qFormat/>
    <w:uiPriority w:val="0"/>
    <w:rPr>
      <w:rFonts w:ascii="Courier New" w:hAnsi="Courier New" w:eastAsia="宋体"/>
    </w:rPr>
  </w:style>
  <w:style w:type="paragraph" w:styleId="9">
    <w:name w:val="toc 8"/>
    <w:basedOn w:val="1"/>
    <w:next w:val="1"/>
    <w:qFormat/>
    <w:uiPriority w:val="0"/>
    <w:pPr>
      <w:ind w:left="2940"/>
    </w:pPr>
  </w:style>
  <w:style w:type="paragraph" w:styleId="10">
    <w:name w:val="Balloon Text"/>
    <w:basedOn w:val="1"/>
    <w:next w:val="1"/>
    <w:qFormat/>
    <w:uiPriority w:val="0"/>
    <w:rPr>
      <w:sz w:val="18"/>
    </w:rPr>
  </w:style>
  <w:style w:type="paragraph" w:styleId="11">
    <w:name w:val="List 5"/>
    <w:basedOn w:val="1"/>
    <w:qFormat/>
    <w:uiPriority w:val="0"/>
    <w:pPr>
      <w:ind w:left="2100" w:hanging="420"/>
    </w:pPr>
  </w:style>
  <w:style w:type="paragraph" w:styleId="12">
    <w:name w:val="toc 2"/>
    <w:basedOn w:val="1"/>
    <w:next w:val="1"/>
    <w:qFormat/>
    <w:uiPriority w:val="0"/>
    <w:pPr>
      <w:ind w:left="420"/>
    </w:pPr>
  </w:style>
  <w:style w:type="paragraph" w:styleId="13">
    <w:name w:val="Normal (Web)"/>
    <w:basedOn w:val="1"/>
    <w:qFormat/>
    <w:uiPriority w:val="0"/>
    <w:rPr>
      <w:sz w:val="24"/>
    </w:rPr>
  </w:style>
  <w:style w:type="paragraph" w:styleId="14">
    <w:name w:val="Title"/>
    <w:basedOn w:val="1"/>
    <w:qFormat/>
    <w:uiPriority w:val="0"/>
    <w:pPr>
      <w:spacing w:before="240" w:after="60"/>
      <w:jc w:val="center"/>
      <w:outlineLvl w:val="0"/>
    </w:pPr>
    <w:rPr>
      <w:rFonts w:ascii="Arial" w:hAnsi="Arial"/>
      <w:b/>
      <w:sz w:val="32"/>
    </w:rPr>
  </w:style>
  <w:style w:type="character" w:styleId="16">
    <w:name w:val="Strong"/>
    <w:basedOn w:val="15"/>
    <w:qFormat/>
    <w:uiPriority w:val="0"/>
    <w:rPr>
      <w:b/>
    </w:rPr>
  </w:style>
  <w:style w:type="paragraph" w:customStyle="1" w:styleId="18">
    <w:name w:val="正文文字"/>
    <w:basedOn w:val="1"/>
    <w:next w:val="1"/>
    <w:qFormat/>
    <w:uiPriority w:val="0"/>
    <w:pPr>
      <w:spacing w:after="120"/>
    </w:pPr>
  </w:style>
  <w:style w:type="paragraph" w:customStyle="1" w:styleId="19">
    <w:name w:val="正文文字 7"/>
    <w:basedOn w:val="1"/>
    <w:next w:val="1"/>
    <w:qFormat/>
    <w:uiPriority w:val="0"/>
    <w:pPr>
      <w:ind w:left="240"/>
    </w:pPr>
    <w:rPr>
      <w:sz w:val="20"/>
    </w:rPr>
  </w:style>
  <w:style w:type="paragraph" w:customStyle="1" w:styleId="20">
    <w:name w:val="正文文字 8"/>
    <w:basedOn w:val="1"/>
    <w:next w:val="1"/>
    <w:qFormat/>
    <w:uiPriority w:val="0"/>
    <w:pPr>
      <w:ind w:left="240"/>
    </w:pPr>
    <w:rPr>
      <w:sz w:val="16"/>
    </w:rPr>
  </w:style>
  <w:style w:type="paragraph" w:customStyle="1" w:styleId="21">
    <w:name w:val="公式样式 小写希腊字母"/>
    <w:qFormat/>
    <w:uiPriority w:val="0"/>
    <w:rPr>
      <w:rFonts w:ascii="Times New Roman" w:hAnsi="Times New Roman" w:eastAsia="宋体" w:cs="Times New Roman"/>
      <w:i/>
      <w:lang w:val="en-US" w:eastAsia="zh-CN" w:bidi="ar-SA"/>
    </w:rPr>
  </w:style>
  <w:style w:type="paragraph" w:customStyle="1" w:styleId="22">
    <w:name w:val="文献分类号"/>
    <w:next w:val="21"/>
    <w:qFormat/>
    <w:uiPriority w:val="0"/>
    <w:rPr>
      <w:rFonts w:ascii="黑体" w:hAnsi="Times New Roman" w:eastAsia="黑体" w:cs="Times New Roman"/>
      <w:sz w:val="21"/>
      <w:szCs w:val="21"/>
      <w:lang w:val="en-US" w:eastAsia="zh-CN" w:bidi="ar-SA"/>
    </w:rPr>
  </w:style>
  <w:style w:type="paragraph" w:customStyle="1" w:styleId="23">
    <w:name w:val="其他标准标志"/>
    <w:next w:val="24"/>
    <w:qFormat/>
    <w:uiPriority w:val="0"/>
    <w:rPr>
      <w:rFonts w:ascii="Times New Roman" w:hAnsi="Times New Roman" w:eastAsia="宋体" w:cs="Times New Roman"/>
      <w:b/>
      <w:w w:val="130"/>
      <w:sz w:val="96"/>
      <w:szCs w:val="96"/>
      <w:lang w:val="en-US" w:eastAsia="zh-CN" w:bidi="ar-SA"/>
    </w:rPr>
  </w:style>
  <w:style w:type="paragraph" w:customStyle="1" w:styleId="24">
    <w:name w:val="封面标准文稿类别"/>
    <w:next w:val="19"/>
    <w:qFormat/>
    <w:uiPriority w:val="0"/>
    <w:pPr>
      <w:framePr w:w="0" w:hSpace="181" w:vSpace="181" w:wrap="around" w:vAnchor="text" w:hAnchor="margin" w:xAlign="center" w:y="285"/>
      <w:widowControl w:val="0"/>
      <w:spacing w:before="440" w:after="160" w:line="240" w:lineRule="auto"/>
      <w:jc w:val="center"/>
      <w:textAlignment w:val="center"/>
    </w:pPr>
    <w:rPr>
      <w:rFonts w:ascii="宋体" w:hAnsi="Times New Roman" w:eastAsia="宋体" w:cs="Times New Roman"/>
      <w:sz w:val="24"/>
      <w:szCs w:val="28"/>
      <w:lang w:val="en-US" w:eastAsia="zh-CN" w:bidi="ar-SA"/>
    </w:rPr>
  </w:style>
  <w:style w:type="paragraph" w:customStyle="1" w:styleId="25">
    <w:name w:val="其他标准称谓"/>
    <w:next w:val="1"/>
    <w:qFormat/>
    <w:uiPriority w:val="0"/>
    <w:pPr>
      <w:framePr w:w="3997" w:h="471" w:hRule="exact" w:vSpace="181" w:wrap="around" w:vAnchor="page" w:hAnchor="page" w:x="1419" w:y="14097" w:anchorLock="1"/>
      <w:spacing w:line="0" w:lineRule="atLeast"/>
      <w:jc w:val="distribute"/>
    </w:pPr>
    <w:rPr>
      <w:rFonts w:ascii="黑体" w:hAnsi="Times New Roman" w:eastAsia="黑体" w:cs="Times New Roman"/>
      <w:spacing w:val="-40"/>
      <w:sz w:val="48"/>
      <w:szCs w:val="52"/>
      <w:lang w:val="en-US" w:eastAsia="zh-CN" w:bidi="ar-SA"/>
    </w:rPr>
  </w:style>
  <w:style w:type="paragraph" w:customStyle="1" w:styleId="26">
    <w:name w:val="封面标准号2"/>
    <w:next w:val="7"/>
    <w:qFormat/>
    <w:uiPriority w:val="0"/>
    <w:pPr>
      <w:framePr w:w="9639" w:h="6917" w:hRule="exact" w:wrap="around" w:vAnchor="page" w:hAnchor="page" w:xAlign="center" w:y="6408"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7">
    <w:name w:val="封面标准代替信息"/>
    <w:next w:val="16"/>
    <w:uiPriority w:val="0"/>
    <w:pPr>
      <w:framePr w:w="9639" w:h="6917" w:hRule="exact" w:wrap="around" w:vAnchor="page" w:hAnchor="page" w:xAlign="center" w:y="6408" w:anchorLock="1"/>
      <w:spacing w:before="57" w:line="280" w:lineRule="exact"/>
      <w:jc w:val="right"/>
    </w:pPr>
    <w:rPr>
      <w:rFonts w:ascii="宋体" w:hAnsi="Times New Roman" w:eastAsia="宋体" w:cs="Times New Roman"/>
      <w:sz w:val="21"/>
      <w:szCs w:val="21"/>
      <w:lang w:val="en-US" w:eastAsia="zh-CN" w:bidi="ar-SA"/>
    </w:rPr>
  </w:style>
  <w:style w:type="paragraph" w:customStyle="1" w:styleId="28">
    <w:name w:val="封面标准名称"/>
    <w:next w:val="13"/>
    <w:uiPriority w:val="0"/>
    <w:pPr>
      <w:framePr w:w="0" w:hSpace="181" w:vSpace="181" w:wrap="around" w:vAnchor="text" w:hAnchor="margin" w:xAlign="center" w:y="285"/>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9">
    <w:name w:val="封面标准英文名称"/>
    <w:next w:val="5"/>
    <w:uiPriority w:val="0"/>
    <w:pPr>
      <w:framePr w:w="0" w:hSpace="181" w:vSpace="181" w:wrap="around" w:vAnchor="text" w:hAnchor="margin" w:xAlign="center" w:y="285"/>
      <w:widowControl w:val="0"/>
      <w:spacing w:before="370" w:line="400" w:lineRule="exact"/>
      <w:jc w:val="center"/>
      <w:textAlignment w:val="center"/>
    </w:pPr>
    <w:rPr>
      <w:rFonts w:ascii="Times New Roman" w:hAnsi="Times New Roman" w:eastAsia="黑体" w:cs="Times New Roman"/>
      <w:sz w:val="28"/>
      <w:szCs w:val="28"/>
      <w:lang w:val="en-US" w:eastAsia="zh-CN" w:bidi="ar-SA"/>
    </w:rPr>
  </w:style>
  <w:style w:type="paragraph" w:customStyle="1" w:styleId="30">
    <w:name w:val="封面一致性程度标识"/>
    <w:next w:val="10"/>
    <w:uiPriority w:val="0"/>
    <w:pPr>
      <w:framePr w:w="0" w:hSpace="181" w:vSpace="181" w:wrap="around" w:vAnchor="text" w:hAnchor="margin" w:xAlign="center" w:y="285"/>
      <w:widowControl w:val="0"/>
      <w:spacing w:before="440" w:line="400" w:lineRule="exact"/>
      <w:jc w:val="center"/>
      <w:textAlignment w:val="center"/>
    </w:pPr>
    <w:rPr>
      <w:rFonts w:ascii="宋体" w:hAnsi="Times New Roman" w:eastAsia="宋体" w:cs="Times New Roman"/>
      <w:sz w:val="28"/>
      <w:szCs w:val="28"/>
      <w:lang w:val="en-US" w:eastAsia="zh-CN" w:bidi="ar-SA"/>
    </w:rPr>
  </w:style>
  <w:style w:type="paragraph" w:customStyle="1" w:styleId="31">
    <w:name w:val="封面标准文稿编辑信息"/>
    <w:next w:val="20"/>
    <w:uiPriority w:val="0"/>
    <w:pPr>
      <w:framePr w:w="0" w:hSpace="181" w:vSpace="181" w:wrap="around" w:vAnchor="text" w:hAnchor="margin" w:xAlign="center" w:y="285"/>
      <w:widowControl w:val="0"/>
      <w:spacing w:before="180" w:after="160" w:line="180" w:lineRule="exact"/>
      <w:jc w:val="center"/>
      <w:textAlignment w:val="center"/>
    </w:pPr>
    <w:rPr>
      <w:rFonts w:ascii="宋体" w:hAnsi="Times New Roman" w:eastAsia="宋体" w:cs="Times New Roman"/>
      <w:sz w:val="21"/>
      <w:szCs w:val="28"/>
      <w:lang w:val="en-US" w:eastAsia="zh-CN" w:bidi="ar-SA"/>
    </w:rPr>
  </w:style>
  <w:style w:type="paragraph" w:customStyle="1" w:styleId="32">
    <w:name w:val="其他发布日期"/>
    <w:next w:val="6"/>
    <w:qFormat/>
    <w:uiPriority w:val="0"/>
    <w:pPr>
      <w:framePr w:w="8258" w:h="1134" w:hRule="exact" w:hSpace="125" w:vSpace="181" w:wrap="around" w:vAnchor="page" w:hAnchor="page" w:x="2150" w:y="15310" w:anchorLock="1"/>
    </w:pPr>
    <w:rPr>
      <w:rFonts w:ascii="Times New Roman" w:hAnsi="Times New Roman" w:eastAsia="黑体" w:cs="Times New Roman"/>
      <w:sz w:val="28"/>
      <w:lang w:val="en-US" w:eastAsia="zh-CN" w:bidi="ar-SA"/>
    </w:rPr>
  </w:style>
  <w:style w:type="paragraph" w:customStyle="1" w:styleId="33">
    <w:name w:val="其他实施日期"/>
    <w:next w:val="34"/>
    <w:uiPriority w:val="0"/>
    <w:pPr>
      <w:framePr w:w="9140" w:h="1242" w:hRule="exact" w:hSpace="284" w:wrap="around" w:vAnchor="page" w:hAnchor="page" w:x="1645" w:y="2910" w:anchorLock="1"/>
      <w:jc w:val="right"/>
    </w:pPr>
    <w:rPr>
      <w:rFonts w:ascii="Times New Roman" w:hAnsi="Times New Roman" w:eastAsia="黑体" w:cs="Times New Roman"/>
      <w:sz w:val="28"/>
      <w:lang w:val="en-US" w:eastAsia="zh-CN" w:bidi="ar-SA"/>
    </w:rPr>
  </w:style>
  <w:style w:type="paragraph" w:customStyle="1" w:styleId="34">
    <w:name w:val="段"/>
    <w:next w:val="9"/>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其他发布部门"/>
    <w:next w:val="11"/>
    <w:uiPriority w:val="0"/>
    <w:pPr>
      <w:framePr w:w="6101" w:h="1389" w:hRule="exact" w:hSpace="181" w:vSpace="181" w:wrap="around" w:vAnchor="page" w:hAnchor="page" w:x="4673" w:y="942" w:anchorLock="1"/>
      <w:spacing w:line="0" w:lineRule="atLeast"/>
      <w:jc w:val="center"/>
    </w:pPr>
    <w:rPr>
      <w:rFonts w:ascii="黑体" w:hAnsi="Times New Roman" w:eastAsia="黑体" w:cs="Times New Roman"/>
      <w:spacing w:val="20"/>
      <w:w w:val="135"/>
      <w:sz w:val="28"/>
      <w:lang w:val="en-US" w:eastAsia="zh-CN" w:bidi="ar-SA"/>
    </w:rPr>
  </w:style>
  <w:style w:type="character" w:customStyle="1" w:styleId="36">
    <w:name w:val="发布"/>
    <w:uiPriority w:val="0"/>
    <w:rPr>
      <w:rFonts w:ascii="黑体" w:eastAsia="黑体"/>
      <w:spacing w:val="85"/>
      <w:w w:val="100"/>
      <w:position w:val="3"/>
      <w:sz w:val="28"/>
      <w:szCs w:val="28"/>
    </w:rPr>
  </w:style>
  <w:style w:type="paragraph" w:customStyle="1" w:styleId="37">
    <w:name w:val="前言、引言标题"/>
    <w:next w:val="9"/>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目次、标准名称标题"/>
    <w:next w:val="9"/>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 w:type="paragraph" w:customStyle="1" w:styleId="39">
    <w:name w:val="章标题"/>
    <w:next w:val="9"/>
    <w:qFormat/>
    <w:uiPriority w:val="0"/>
    <w:pPr>
      <w:numPr>
        <w:ilvl w:val="0"/>
        <w:numId w:val="1"/>
      </w:numPr>
      <w:spacing w:before="100" w:beforeLines="100" w:after="100" w:afterLines="100"/>
      <w:jc w:val="both"/>
      <w:outlineLvl w:val="1"/>
    </w:pPr>
    <w:rPr>
      <w:rFonts w:ascii="黑体" w:hAnsi="Times New Roman" w:eastAsia="黑体" w:cs="Times New Roman"/>
      <w:sz w:val="21"/>
      <w:lang w:val="en-US" w:eastAsia="zh-CN" w:bidi="ar-SA"/>
    </w:rPr>
  </w:style>
  <w:style w:type="paragraph" w:customStyle="1" w:styleId="40">
    <w:name w:val="一级条标题"/>
    <w:next w:val="9"/>
    <w:uiPriority w:val="0"/>
    <w:pPr>
      <w:numPr>
        <w:ilvl w:val="1"/>
        <w:numId w:val="1"/>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41">
    <w:name w:val="二级条标题"/>
    <w:next w:val="9"/>
    <w:uiPriority w:val="0"/>
    <w:pPr>
      <w:numPr>
        <w:ilvl w:val="2"/>
        <w:numId w:val="1"/>
      </w:numPr>
      <w:spacing w:before="50" w:after="50"/>
      <w:outlineLvl w:val="3"/>
    </w:pPr>
    <w:rPr>
      <w:rFonts w:ascii="黑体" w:hAnsi="Times New Roman" w:eastAsia="黑体" w:cs="Times New Roman"/>
      <w:sz w:val="21"/>
      <w:szCs w:val="21"/>
      <w:lang w:val="en-US" w:eastAsia="zh-CN" w:bidi="ar-SA"/>
    </w:rPr>
  </w:style>
  <w:style w:type="paragraph" w:customStyle="1" w:styleId="42">
    <w:name w:val="正文表标题"/>
    <w:next w:val="9"/>
    <w:uiPriority w:val="0"/>
    <w:pPr>
      <w:numPr>
        <w:ilvl w:val="0"/>
        <w:numId w:val="2"/>
      </w:numPr>
      <w:spacing w:before="50" w:beforeLines="50" w:after="50" w:afterLines="50"/>
      <w:jc w:val="center"/>
    </w:pPr>
    <w:rPr>
      <w:rFonts w:ascii="黑体" w:hAnsi="Times New Roman" w:eastAsia="黑体" w:cs="Times New Roman"/>
      <w:sz w:val="21"/>
      <w:lang w:val="en-US" w:eastAsia="zh-CN" w:bidi="ar-SA"/>
    </w:rPr>
  </w:style>
  <w:style w:type="paragraph" w:customStyle="1" w:styleId="43">
    <w:name w:val="二级无"/>
    <w:next w:val="8"/>
    <w:uiPriority w:val="0"/>
    <w:pPr>
      <w:numPr>
        <w:ilvl w:val="2"/>
        <w:numId w:val="1"/>
      </w:numPr>
      <w:spacing w:before="0" w:after="0"/>
      <w:ind w:left="0"/>
      <w:outlineLvl w:val="3"/>
    </w:pPr>
    <w:rPr>
      <w:rFonts w:ascii="宋体" w:hAnsi="Times New Roman" w:eastAsia="宋体" w:cs="Times New Roman"/>
      <w:sz w:val="21"/>
      <w:szCs w:val="21"/>
      <w:lang w:val="en-US" w:eastAsia="zh-CN" w:bidi="ar-SA"/>
    </w:rPr>
  </w:style>
  <w:style w:type="paragraph" w:customStyle="1" w:styleId="44">
    <w:name w:val="终结线"/>
    <w:next w:val="36"/>
    <w:uiPriority w:val="0"/>
    <w:rPr>
      <w:rFonts w:ascii="Times New Roman" w:hAnsi="Times New Roman" w:eastAsia="宋体" w:cs="Times New Roman"/>
      <w:kern w:val="2"/>
      <w:sz w:val="21"/>
      <w:szCs w:val="24"/>
      <w:lang w:val="en-US" w:eastAsia="zh-CN" w:bidi="ar-SA"/>
    </w:rPr>
  </w:style>
  <w:style w:type="paragraph" w:customStyle="1" w:styleId="45">
    <w:name w:val="标准书眉_偶数页"/>
    <w:next w:val="1"/>
    <w:uiPriority w:val="0"/>
    <w:pPr>
      <w:tabs>
        <w:tab w:val="center" w:pos="4154"/>
        <w:tab w:val="right" w:pos="8306"/>
      </w:tabs>
      <w:spacing w:after="220"/>
      <w:jc w:val="left"/>
    </w:pPr>
    <w:rPr>
      <w:rFonts w:ascii="黑体" w:hAnsi="Times New Roman" w:eastAsia="黑体" w:cs="Times New Roman"/>
      <w:sz w:val="21"/>
      <w:szCs w:val="21"/>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标准书脚_偶数页"/>
    <w:next w:val="18"/>
    <w:uiPriority w:val="0"/>
    <w:pPr>
      <w:spacing w:before="120"/>
      <w:ind w:left="221"/>
    </w:pPr>
    <w:rPr>
      <w:rFonts w:ascii="宋体" w:hAnsi="Times New Roman" w:eastAsia="宋体" w:cs="Times New Roman"/>
      <w:sz w:val="18"/>
      <w:szCs w:val="18"/>
      <w:lang w:val="en-US" w:eastAsia="zh-CN" w:bidi="ar-SA"/>
    </w:rPr>
  </w:style>
  <w:style w:type="paragraph" w:customStyle="1" w:styleId="48">
    <w:name w:val="标准书脚_奇数页"/>
    <w:next w:val="14"/>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Pages>
  <Words>1429</Words>
  <Characters>1751</Characters>
  <Lines>132</Lines>
  <Paragraphs>114</Paragraphs>
  <TotalTime>9</TotalTime>
  <ScaleCrop>false</ScaleCrop>
  <LinksUpToDate>false</LinksUpToDate>
  <CharactersWithSpaces>2065</CharactersWithSpaces>
  <Application>WPS Office_10.8.2.6837_F1E327BC-269C-435d-A152-05C5408002CA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2021-05-24T00:50:00Z</dcterms:created>
  <dc:creator>张逸敏</dc:creator>
  <cp:lastModifiedBy>苏燕燕</cp:lastModifiedBy>
  <dcterms:modified xsi:type="dcterms:W3CDTF">2021-05-31T01:37:01Z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