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topLinePunct/>
        <w:spacing w:line="560" w:lineRule="exact"/>
        <w:rPr>
          <w:rFonts w:eastAsia="黑体"/>
          <w:bCs/>
          <w:color w:val="auto"/>
          <w:kern w:val="21"/>
          <w:sz w:val="32"/>
          <w:szCs w:val="32"/>
          <w:u w:val="none"/>
        </w:rPr>
      </w:pPr>
      <w:r>
        <w:rPr>
          <w:rFonts w:eastAsia="黑体"/>
          <w:bCs/>
          <w:color w:val="auto"/>
          <w:kern w:val="21"/>
          <w:sz w:val="32"/>
          <w:szCs w:val="32"/>
          <w:u w:val="none"/>
        </w:rPr>
        <w:t>附件1</w:t>
      </w:r>
    </w:p>
    <w:p>
      <w:pPr>
        <w:wordWrap w:val="0"/>
        <w:topLinePunct/>
        <w:spacing w:line="560" w:lineRule="exact"/>
        <w:rPr>
          <w:rFonts w:eastAsia="黑体"/>
          <w:bCs/>
          <w:color w:val="auto"/>
          <w:kern w:val="21"/>
          <w:sz w:val="32"/>
          <w:szCs w:val="32"/>
          <w:u w:val="none"/>
        </w:rPr>
      </w:pPr>
    </w:p>
    <w:p>
      <w:pPr>
        <w:wordWrap w:val="0"/>
        <w:topLinePunct/>
        <w:spacing w:line="560" w:lineRule="exact"/>
        <w:jc w:val="center"/>
        <w:rPr>
          <w:rFonts w:eastAsia="方正小标宋简体"/>
          <w:bCs/>
          <w:color w:val="auto"/>
          <w:kern w:val="21"/>
          <w:sz w:val="44"/>
          <w:szCs w:val="44"/>
          <w:u w:val="none"/>
        </w:rPr>
      </w:pPr>
      <w:r>
        <w:rPr>
          <w:rFonts w:eastAsia="方正小标宋简体"/>
          <w:bCs/>
          <w:color w:val="auto"/>
          <w:kern w:val="21"/>
          <w:sz w:val="44"/>
          <w:szCs w:val="44"/>
          <w:u w:val="none"/>
        </w:rPr>
        <w:t>卫生系列高级职称评委会</w:t>
      </w:r>
    </w:p>
    <w:p>
      <w:pPr>
        <w:wordWrap w:val="0"/>
        <w:topLinePunct/>
        <w:spacing w:line="560" w:lineRule="exact"/>
        <w:rPr>
          <w:rFonts w:eastAsia="仿宋_GB2312"/>
          <w:color w:val="auto"/>
          <w:kern w:val="21"/>
          <w:sz w:val="32"/>
          <w:szCs w:val="32"/>
          <w:u w:val="none"/>
        </w:rPr>
      </w:pPr>
    </w:p>
    <w:p>
      <w:pPr>
        <w:wordWrap w:val="0"/>
        <w:topLinePunct/>
        <w:spacing w:line="560" w:lineRule="exact"/>
        <w:ind w:firstLine="640" w:firstLineChars="200"/>
        <w:rPr>
          <w:rFonts w:eastAsia="仿宋_GB2312"/>
          <w:color w:val="auto"/>
          <w:kern w:val="21"/>
          <w:sz w:val="32"/>
          <w:szCs w:val="32"/>
          <w:u w:val="none"/>
        </w:rPr>
      </w:pPr>
      <w:r>
        <w:rPr>
          <w:rFonts w:eastAsia="黑体"/>
          <w:color w:val="auto"/>
          <w:kern w:val="21"/>
          <w:sz w:val="32"/>
          <w:szCs w:val="32"/>
          <w:u w:val="none"/>
        </w:rPr>
        <w:t>西医内科高级职称评委会：</w:t>
      </w:r>
    </w:p>
    <w:p>
      <w:pPr>
        <w:wordWrap w:val="0"/>
        <w:topLinePunct/>
        <w:spacing w:line="560" w:lineRule="exact"/>
        <w:ind w:firstLine="640" w:firstLineChars="200"/>
        <w:rPr>
          <w:rFonts w:eastAsia="仿宋_GB2312"/>
          <w:color w:val="auto"/>
          <w:kern w:val="21"/>
          <w:sz w:val="32"/>
          <w:szCs w:val="32"/>
          <w:u w:val="none"/>
        </w:rPr>
      </w:pPr>
      <w:r>
        <w:rPr>
          <w:rFonts w:hint="eastAsia" w:eastAsia="仿宋_GB2312"/>
          <w:color w:val="auto"/>
          <w:kern w:val="21"/>
          <w:sz w:val="32"/>
          <w:szCs w:val="32"/>
          <w:u w:val="none"/>
        </w:rPr>
        <w:t>心血管内科、呼吸内科、消化内科、肾内科、神经内科、内分泌、血液病、传染病、风湿病、肿瘤内科、普通内科、结核病、老年医学、精神病、全科医学、心电图、心理学</w:t>
      </w:r>
    </w:p>
    <w:p>
      <w:pPr>
        <w:wordWrap w:val="0"/>
        <w:topLinePunct/>
        <w:spacing w:line="560" w:lineRule="exact"/>
        <w:ind w:firstLine="640" w:firstLineChars="200"/>
        <w:rPr>
          <w:rFonts w:eastAsia="仿宋_GB2312"/>
          <w:color w:val="auto"/>
          <w:kern w:val="21"/>
          <w:sz w:val="32"/>
          <w:szCs w:val="32"/>
          <w:u w:val="none"/>
        </w:rPr>
      </w:pPr>
      <w:r>
        <w:rPr>
          <w:rFonts w:eastAsia="黑体"/>
          <w:color w:val="auto"/>
          <w:kern w:val="21"/>
          <w:sz w:val="32"/>
          <w:szCs w:val="32"/>
          <w:u w:val="none"/>
        </w:rPr>
        <w:t>西医外科高级职称评委会：</w:t>
      </w:r>
    </w:p>
    <w:p>
      <w:pPr>
        <w:wordWrap w:val="0"/>
        <w:topLinePunct/>
        <w:spacing w:line="560" w:lineRule="exact"/>
        <w:ind w:firstLine="640" w:firstLineChars="200"/>
        <w:rPr>
          <w:rFonts w:eastAsia="仿宋_GB2312"/>
          <w:color w:val="auto"/>
          <w:kern w:val="21"/>
          <w:sz w:val="32"/>
          <w:szCs w:val="32"/>
          <w:u w:val="none"/>
        </w:rPr>
      </w:pPr>
      <w:r>
        <w:rPr>
          <w:rFonts w:hint="eastAsia" w:eastAsia="仿宋_GB2312"/>
          <w:color w:val="auto"/>
          <w:kern w:val="21"/>
          <w:sz w:val="32"/>
          <w:szCs w:val="32"/>
          <w:u w:val="none"/>
        </w:rPr>
        <w:t>普通外科、骨外科、胸心外科、神经外科、泌尿外科、烧伤外科、整形外科、小儿外科、肿瘤外科、麻醉学、疼痛学、男性科</w:t>
      </w:r>
    </w:p>
    <w:p>
      <w:pPr>
        <w:wordWrap w:val="0"/>
        <w:topLinePunct/>
        <w:spacing w:line="560" w:lineRule="exact"/>
        <w:ind w:firstLine="640" w:firstLineChars="200"/>
        <w:rPr>
          <w:rFonts w:eastAsia="黑体"/>
          <w:color w:val="auto"/>
          <w:kern w:val="21"/>
          <w:sz w:val="32"/>
          <w:szCs w:val="32"/>
          <w:u w:val="none"/>
        </w:rPr>
      </w:pPr>
      <w:r>
        <w:rPr>
          <w:rFonts w:eastAsia="黑体"/>
          <w:color w:val="auto"/>
          <w:kern w:val="21"/>
          <w:sz w:val="32"/>
          <w:szCs w:val="32"/>
          <w:u w:val="none"/>
        </w:rPr>
        <w:t>西医综合高级职称评委会：</w:t>
      </w:r>
    </w:p>
    <w:p>
      <w:pPr>
        <w:wordWrap w:val="0"/>
        <w:topLinePunct/>
        <w:spacing w:line="560" w:lineRule="exact"/>
        <w:ind w:firstLine="640" w:firstLineChars="200"/>
        <w:rPr>
          <w:rFonts w:eastAsia="仿宋_GB2312"/>
          <w:color w:val="auto"/>
          <w:kern w:val="21"/>
          <w:sz w:val="32"/>
          <w:szCs w:val="32"/>
          <w:u w:val="none"/>
          <w:vertAlign w:val="superscript"/>
        </w:rPr>
      </w:pPr>
      <w:r>
        <w:rPr>
          <w:rFonts w:eastAsia="仿宋_GB2312"/>
          <w:color w:val="auto"/>
          <w:kern w:val="21"/>
          <w:sz w:val="32"/>
          <w:szCs w:val="32"/>
          <w:u w:val="none"/>
        </w:rPr>
        <w:t>口腔医学、口腔内科、口腔颌面外科、口腔修复、口腔正畸、眼科、耳鼻咽喉科（头颈外科）、皮肤科、放射肿瘤治疗、病理、放射医学、核医学、超声医学、康复医学、临床医学检验、高压氧、急诊医学、重症医学、介入治疗、神经电生理</w:t>
      </w:r>
      <w:r>
        <w:rPr>
          <w:rFonts w:hint="eastAsia" w:eastAsia="仿宋_GB2312"/>
          <w:color w:val="auto"/>
          <w:kern w:val="21"/>
          <w:sz w:val="32"/>
          <w:szCs w:val="32"/>
          <w:u w:val="none"/>
        </w:rPr>
        <w:t>、临床营养、药学（临床）</w:t>
      </w:r>
    </w:p>
    <w:p>
      <w:pPr>
        <w:wordWrap w:val="0"/>
        <w:topLinePunct/>
        <w:spacing w:line="560" w:lineRule="exact"/>
        <w:ind w:firstLine="640" w:firstLineChars="200"/>
        <w:rPr>
          <w:rFonts w:eastAsia="黑体"/>
          <w:color w:val="auto"/>
          <w:kern w:val="21"/>
          <w:sz w:val="32"/>
          <w:szCs w:val="32"/>
          <w:u w:val="none"/>
        </w:rPr>
      </w:pPr>
      <w:r>
        <w:rPr>
          <w:rFonts w:eastAsia="黑体"/>
          <w:color w:val="auto"/>
          <w:kern w:val="21"/>
          <w:sz w:val="32"/>
          <w:szCs w:val="32"/>
          <w:u w:val="none"/>
        </w:rPr>
        <w:t>西医妇产科、儿科高级职称评委会：</w:t>
      </w:r>
    </w:p>
    <w:p>
      <w:pPr>
        <w:wordWrap w:val="0"/>
        <w:topLinePunct/>
        <w:spacing w:line="560" w:lineRule="exact"/>
        <w:ind w:firstLine="640" w:firstLineChars="200"/>
        <w:rPr>
          <w:rFonts w:eastAsia="仿宋_GB2312"/>
          <w:color w:val="auto"/>
          <w:kern w:val="21"/>
          <w:sz w:val="32"/>
          <w:szCs w:val="32"/>
          <w:u w:val="none"/>
        </w:rPr>
      </w:pPr>
      <w:r>
        <w:rPr>
          <w:rFonts w:eastAsia="仿宋_GB2312"/>
          <w:color w:val="auto"/>
          <w:kern w:val="21"/>
          <w:sz w:val="32"/>
          <w:szCs w:val="32"/>
          <w:u w:val="none"/>
        </w:rPr>
        <w:t>妇产科、计划生育、儿科、妇幼保健、妇女保健、儿童保健、孕产保健</w:t>
      </w:r>
    </w:p>
    <w:p>
      <w:pPr>
        <w:wordWrap w:val="0"/>
        <w:topLinePunct/>
        <w:spacing w:line="560" w:lineRule="exact"/>
        <w:ind w:firstLine="640" w:firstLineChars="200"/>
        <w:rPr>
          <w:rFonts w:eastAsia="仿宋_GB2312"/>
          <w:color w:val="auto"/>
          <w:kern w:val="21"/>
          <w:sz w:val="32"/>
          <w:szCs w:val="32"/>
          <w:u w:val="none"/>
        </w:rPr>
      </w:pPr>
      <w:r>
        <w:rPr>
          <w:rFonts w:hint="eastAsia" w:eastAsia="黑体"/>
          <w:color w:val="auto"/>
          <w:kern w:val="21"/>
          <w:sz w:val="32"/>
          <w:szCs w:val="32"/>
          <w:u w:val="none"/>
        </w:rPr>
        <w:t>公共卫生</w:t>
      </w:r>
      <w:r>
        <w:rPr>
          <w:rFonts w:eastAsia="黑体"/>
          <w:color w:val="auto"/>
          <w:kern w:val="21"/>
          <w:sz w:val="32"/>
          <w:szCs w:val="32"/>
          <w:u w:val="none"/>
        </w:rPr>
        <w:t>高级职称评委会：</w:t>
      </w:r>
    </w:p>
    <w:p>
      <w:pPr>
        <w:wordWrap w:val="0"/>
        <w:topLinePunct/>
        <w:spacing w:line="560" w:lineRule="exact"/>
        <w:ind w:firstLine="640" w:firstLineChars="200"/>
        <w:rPr>
          <w:rFonts w:eastAsia="仿宋_GB2312"/>
          <w:color w:val="auto"/>
          <w:kern w:val="21"/>
          <w:sz w:val="32"/>
          <w:szCs w:val="32"/>
          <w:u w:val="none"/>
        </w:rPr>
      </w:pPr>
      <w:r>
        <w:rPr>
          <w:rFonts w:hint="eastAsia" w:eastAsia="仿宋_GB2312"/>
          <w:color w:val="auto"/>
          <w:kern w:val="21"/>
          <w:sz w:val="32"/>
          <w:szCs w:val="32"/>
          <w:u w:val="none"/>
        </w:rPr>
        <w:t>传染性疾病控制、慢性非传染性疾病控制、寄生虫病控制、地方病控制、健康教育与健康促进、卫生消杀灭、职业卫生、环境卫生、营养与食品卫生、学校卫生与儿少卫生、放射卫生、卫生毒理、公共卫生、卫生管理、卫生信息、输血、病案信息、职业病、医院感染预防与控制、微生物检验技术、理化检验技术、病媒生物控制技术</w:t>
      </w:r>
    </w:p>
    <w:p>
      <w:pPr>
        <w:wordWrap w:val="0"/>
        <w:topLinePunct/>
        <w:spacing w:line="560" w:lineRule="exact"/>
        <w:ind w:firstLine="640" w:firstLineChars="200"/>
        <w:rPr>
          <w:rFonts w:eastAsia="仿宋_GB2312"/>
          <w:color w:val="auto"/>
          <w:kern w:val="21"/>
          <w:sz w:val="32"/>
          <w:szCs w:val="32"/>
          <w:u w:val="none"/>
        </w:rPr>
      </w:pPr>
      <w:r>
        <w:rPr>
          <w:rFonts w:eastAsia="黑体"/>
          <w:color w:val="auto"/>
          <w:kern w:val="21"/>
          <w:sz w:val="32"/>
          <w:szCs w:val="32"/>
          <w:u w:val="none"/>
        </w:rPr>
        <w:t>中医中药高级职称评委会：</w:t>
      </w:r>
    </w:p>
    <w:p>
      <w:pPr>
        <w:wordWrap w:val="0"/>
        <w:topLinePunct/>
        <w:spacing w:line="560" w:lineRule="exact"/>
        <w:ind w:firstLine="640" w:firstLineChars="200"/>
        <w:rPr>
          <w:rFonts w:eastAsia="黑体"/>
          <w:color w:val="auto"/>
          <w:kern w:val="21"/>
          <w:sz w:val="32"/>
          <w:szCs w:val="32"/>
          <w:u w:val="none"/>
        </w:rPr>
      </w:pPr>
      <w:r>
        <w:rPr>
          <w:rFonts w:hint="eastAsia" w:eastAsia="仿宋_GB2312"/>
          <w:color w:val="auto"/>
          <w:kern w:val="21"/>
          <w:sz w:val="32"/>
          <w:szCs w:val="32"/>
          <w:u w:val="none"/>
        </w:rPr>
        <w:t>中医内科、中医外科、中医妇科、中医儿科、中医眼科、中医骨伤科、中医耳鼻喉科、中医皮肤科、中医肛肠科、中医肿瘤、针灸科、推拿科、中西医结合内科、中西医结合外科、中西医结合妇科、中西医结合儿科、中西医结合骨伤科、壮医、全科医学（中医类别）、</w:t>
      </w:r>
      <w:bookmarkStart w:id="0" w:name="_Hlk136598726"/>
      <w:r>
        <w:rPr>
          <w:rFonts w:hint="eastAsia" w:eastAsia="仿宋_GB2312"/>
          <w:color w:val="auto"/>
          <w:kern w:val="21"/>
          <w:sz w:val="32"/>
          <w:szCs w:val="32"/>
          <w:u w:val="none"/>
        </w:rPr>
        <w:t>中医康复、中医治未病</w:t>
      </w:r>
      <w:bookmarkEnd w:id="0"/>
    </w:p>
    <w:p>
      <w:pPr>
        <w:wordWrap w:val="0"/>
        <w:topLinePunct/>
        <w:spacing w:line="560" w:lineRule="exact"/>
        <w:ind w:firstLine="640" w:firstLineChars="200"/>
        <w:rPr>
          <w:rFonts w:eastAsia="仿宋_GB2312"/>
          <w:color w:val="auto"/>
          <w:kern w:val="21"/>
          <w:sz w:val="32"/>
          <w:szCs w:val="32"/>
          <w:u w:val="none"/>
        </w:rPr>
      </w:pPr>
      <w:r>
        <w:rPr>
          <w:rFonts w:eastAsia="黑体"/>
          <w:color w:val="auto"/>
          <w:kern w:val="21"/>
          <w:sz w:val="32"/>
          <w:szCs w:val="32"/>
          <w:u w:val="none"/>
        </w:rPr>
        <w:t>护理高级职称评委会：</w:t>
      </w:r>
    </w:p>
    <w:p>
      <w:pPr>
        <w:wordWrap w:val="0"/>
        <w:topLinePunct/>
        <w:spacing w:line="560" w:lineRule="exact"/>
        <w:ind w:firstLine="640" w:firstLineChars="200"/>
        <w:rPr>
          <w:rFonts w:eastAsia="仿宋_GB2312"/>
          <w:color w:val="auto"/>
          <w:kern w:val="21"/>
          <w:sz w:val="32"/>
          <w:szCs w:val="32"/>
          <w:u w:val="none"/>
        </w:rPr>
      </w:pPr>
      <w:r>
        <w:rPr>
          <w:rFonts w:eastAsia="仿宋_GB2312"/>
          <w:color w:val="auto"/>
          <w:kern w:val="21"/>
          <w:sz w:val="32"/>
          <w:szCs w:val="32"/>
          <w:u w:val="none"/>
        </w:rPr>
        <w:t>护理</w:t>
      </w:r>
    </w:p>
    <w:p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仿宋_GB2312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FkZWEzNzhjNDkxNzFlZWQ5Mzc3MWI1Y2QzMjg1NjAifQ=="/>
  </w:docVars>
  <w:rsids>
    <w:rsidRoot w:val="619E0E67"/>
    <w:rsid w:val="619E0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qFormat/>
    <w:uiPriority w:val="10"/>
    <w:pPr>
      <w:jc w:val="center"/>
      <w:outlineLvl w:val="0"/>
    </w:pPr>
    <w:rPr>
      <w:rFonts w:ascii="Arial" w:hAnsi="Arial"/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2023-09-11T04:04:00Z</dcterms:created>
  <dc:creator>粗尾鸭</dc:creator>
  <cp:lastModifiedBy>粗尾鸭</cp:lastModifiedBy>
  <dcterms:modified xsi:type="dcterms:W3CDTF">2023-09-11T04:05:02Z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1D157C5766434BD88150F624B742551B_11</vt:lpwstr>
  </property>
</Properties>
</file>