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textAlignment w:val="center"/>
        <w:rPr>
          <w:rFonts w:hint="eastAsia" w:ascii="黑体" w:eastAsia="黑体" w:cs="黑体"/>
          <w:kern w:val="0"/>
          <w:sz w:val="32"/>
          <w:szCs w:val="32"/>
        </w:rPr>
      </w:pPr>
      <w:bookmarkStart w:id="0" w:name="_GoBack"/>
      <w:bookmarkEnd w:id="0"/>
      <w:r>
        <w:rPr>
          <w:rFonts w:hint="eastAsia" w:ascii="黑体" w:eastAsia="黑体" w:cs="黑体"/>
          <w:kern w:val="0"/>
          <w:sz w:val="32"/>
          <w:szCs w:val="32"/>
        </w:rPr>
        <w:t>附表1</w:t>
      </w:r>
    </w:p>
    <w:p>
      <w:pPr>
        <w:widowControl/>
        <w:spacing w:line="600" w:lineRule="exact"/>
        <w:jc w:val="center"/>
        <w:textAlignment w:val="center"/>
        <w:rPr>
          <w:rFonts w:hint="eastAsia"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冬春季基层医疗机构疫情防控专项监督检查表</w:t>
      </w:r>
    </w:p>
    <w:p>
      <w:pPr>
        <w:widowControl/>
        <w:spacing w:line="60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sz w:val="24"/>
          <w:szCs w:val="24"/>
        </w:rPr>
        <w:t xml:space="preserve">医疗机构名称：                  地址：                        </w:t>
      </w:r>
      <w:r>
        <w:rPr>
          <w:rFonts w:hint="eastAsia" w:ascii="仿宋_GB2312" w:eastAsia="仿宋_GB2312" w:cs="仿宋_GB2312"/>
          <w:kern w:val="0"/>
          <w:sz w:val="24"/>
          <w:szCs w:val="24"/>
        </w:rPr>
        <w:t xml:space="preserve">联系人：                </w:t>
      </w:r>
      <w:r>
        <w:rPr>
          <w:rFonts w:hint="eastAsia" w:ascii="仿宋_GB2312" w:eastAsia="仿宋_GB2312" w:cs="仿宋_GB2312"/>
          <w:sz w:val="24"/>
          <w:szCs w:val="24"/>
        </w:rPr>
        <w:t>联系电话：</w:t>
      </w:r>
    </w:p>
    <w:tbl>
      <w:tblPr>
        <w:tblStyle w:val="6"/>
        <w:tblW w:w="14960"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8"/>
        <w:gridCol w:w="8142"/>
        <w:gridCol w:w="28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blHeader/>
        </w:trPr>
        <w:tc>
          <w:tcPr>
            <w:tcW w:w="1478" w:type="dxa"/>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eastAsia="黑体" w:cs="黑体"/>
                <w:bCs/>
                <w:sz w:val="24"/>
                <w:szCs w:val="24"/>
              </w:rPr>
            </w:pPr>
            <w:r>
              <w:rPr>
                <w:rFonts w:hint="eastAsia" w:ascii="黑体" w:eastAsia="黑体" w:cs="黑体"/>
                <w:bCs/>
                <w:kern w:val="0"/>
                <w:sz w:val="24"/>
                <w:szCs w:val="24"/>
              </w:rPr>
              <w:t>项目</w:t>
            </w:r>
          </w:p>
        </w:tc>
        <w:tc>
          <w:tcPr>
            <w:tcW w:w="8142" w:type="dxa"/>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eastAsia="黑体" w:cs="黑体"/>
                <w:bCs/>
                <w:sz w:val="24"/>
                <w:szCs w:val="24"/>
              </w:rPr>
            </w:pPr>
            <w:r>
              <w:rPr>
                <w:rFonts w:hint="eastAsia" w:ascii="黑体" w:eastAsia="黑体" w:cs="黑体"/>
                <w:bCs/>
                <w:kern w:val="0"/>
                <w:sz w:val="24"/>
                <w:szCs w:val="24"/>
              </w:rPr>
              <w:t>检查内容</w:t>
            </w:r>
          </w:p>
        </w:tc>
        <w:tc>
          <w:tcPr>
            <w:tcW w:w="2820" w:type="dxa"/>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eastAsia="黑体" w:cs="黑体"/>
                <w:bCs/>
                <w:sz w:val="24"/>
                <w:szCs w:val="24"/>
              </w:rPr>
            </w:pPr>
            <w:r>
              <w:rPr>
                <w:rFonts w:hint="eastAsia" w:ascii="黑体" w:eastAsia="黑体" w:cs="黑体"/>
                <w:bCs/>
                <w:kern w:val="0"/>
                <w:sz w:val="24"/>
                <w:szCs w:val="24"/>
              </w:rPr>
              <w:t>检查结果</w:t>
            </w:r>
          </w:p>
        </w:tc>
        <w:tc>
          <w:tcPr>
            <w:tcW w:w="2520" w:type="dxa"/>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eastAsia="黑体" w:cs="黑体"/>
                <w:bCs/>
                <w:sz w:val="24"/>
                <w:szCs w:val="24"/>
              </w:rPr>
            </w:pPr>
            <w:r>
              <w:rPr>
                <w:rFonts w:hint="eastAsia" w:ascii="黑体" w:eastAsia="黑体" w:cs="黑体"/>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（一）</w:t>
            </w:r>
          </w:p>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综合管理</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1.成立以分管院（中心）领导为组长的发热门诊（发热哨点诊室）工作小组。</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restart"/>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2.建立与上级对口医疗机构发热门诊的对接联动机制。</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3.每天对工作人员全员体温和呼吸道症状监测。</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trPr>
        <w:tc>
          <w:tcPr>
            <w:tcW w:w="1478" w:type="dxa"/>
            <w:vMerge w:val="continue"/>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4.对医务人员在规范检测、接诊转诊、传染病相关法律法规和知识技能以及院感防控等方面进行全员培训。</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trPr>
        <w:tc>
          <w:tcPr>
            <w:tcW w:w="1478" w:type="dxa"/>
            <w:vMerge w:val="continue"/>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5.制定本单位疫情防控和应急处置预案是否科学、规范，发生疫情能否及时响应。</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trPr>
        <w:tc>
          <w:tcPr>
            <w:tcW w:w="1478" w:type="dxa"/>
            <w:vMerge w:val="continue"/>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6.针对辖区内乡村医生开展疫情防控知识培训。</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exact"/>
        </w:trPr>
        <w:tc>
          <w:tcPr>
            <w:tcW w:w="1478" w:type="dxa"/>
            <w:vMerge w:val="continue"/>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7针对辖区居民开展春节期间不扎堆、不聚集、减少外出旅行、做好个人防护等疫情防控知识宣传。</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exact"/>
        </w:trPr>
        <w:tc>
          <w:tcPr>
            <w:tcW w:w="1478" w:type="dxa"/>
            <w:vMerge w:val="continue"/>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8.协助乡镇（社区）政府制定本辖区科学、规范的疫情防控和应急响应处置预案，并在乡镇（社区）政府领导下开展疫情防控工作</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（二）</w:t>
            </w:r>
          </w:p>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个人防护</w:t>
            </w: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1.根据需要储备基本防控物资</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有连体防护服□，有N95（医用防护）口罩□，有防护面屏□，有护目镜□</w:t>
            </w:r>
          </w:p>
        </w:tc>
        <w:tc>
          <w:tcPr>
            <w:tcW w:w="2520" w:type="dxa"/>
            <w:vMerge w:val="restart"/>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2.医务人员在医疗区佩戴口罩</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3.测体温处工作人员防护符合要求</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4.预检分诊工作人员防护符合要求</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5.发热哨点诊室及采样点工作人员防护符合要求</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（三）</w:t>
            </w:r>
          </w:p>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预检</w:t>
            </w:r>
          </w:p>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分诊点</w:t>
            </w: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1.医疗机构所有入口设测体温处，如有多个出入口，测体温处医务人员应将发热和有流行病学史人员引导到预检分诊点分诊</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restart"/>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2.标识清楚醒目，并在医疗机构大门出入口有发热门诊（发热哨点诊室）位置、接诊范围、注意事项等</w:t>
            </w:r>
          </w:p>
        </w:tc>
        <w:tc>
          <w:tcPr>
            <w:tcW w:w="2820" w:type="dxa"/>
            <w:tcMar>
              <w:top w:w="15" w:type="dxa"/>
              <w:left w:w="15" w:type="dxa"/>
              <w:right w:w="15" w:type="dxa"/>
            </w:tcMar>
            <w:vAlign w:val="center"/>
          </w:tcPr>
          <w:p>
            <w:pPr>
              <w:widowControl/>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3.预检分诊点配备快速手消液、一次性手套、医用口罩、测体温设备（施）；配备有发热患者用的口罩、体温表（非接触式）、手卫生设施、医疗废物桶、疑似患者基本情况登记表 、流行病学调查材料等</w:t>
            </w:r>
          </w:p>
        </w:tc>
        <w:tc>
          <w:tcPr>
            <w:tcW w:w="2820" w:type="dxa"/>
            <w:tcMar>
              <w:top w:w="15" w:type="dxa"/>
              <w:left w:w="15" w:type="dxa"/>
              <w:right w:w="15" w:type="dxa"/>
            </w:tcMar>
            <w:vAlign w:val="center"/>
          </w:tcPr>
          <w:p>
            <w:pPr>
              <w:widowControl/>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sz w:val="24"/>
                <w:szCs w:val="24"/>
              </w:rPr>
              <w:t>4.预检分诊处至少安排一名有一定临床经验，经传染病诊疗培训的医护人员值守。</w:t>
            </w:r>
          </w:p>
        </w:tc>
        <w:tc>
          <w:tcPr>
            <w:tcW w:w="2820" w:type="dxa"/>
            <w:tcMar>
              <w:top w:w="15" w:type="dxa"/>
              <w:left w:w="15" w:type="dxa"/>
              <w:right w:w="15" w:type="dxa"/>
            </w:tcMar>
            <w:vAlign w:val="center"/>
          </w:tcPr>
          <w:p>
            <w:pPr>
              <w:widowControl/>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5.进入医疗机构的所有人员佩戴口罩、测量体温、</w:t>
            </w:r>
            <w:r>
              <w:rPr>
                <w:rFonts w:hint="eastAsia" w:ascii="仿宋_GB2312" w:eastAsia="仿宋_GB2312" w:cs="仿宋_GB2312"/>
                <w:sz w:val="24"/>
                <w:szCs w:val="24"/>
              </w:rPr>
              <w:t>必须扫健康码。</w:t>
            </w:r>
            <w:r>
              <w:rPr>
                <w:rFonts w:hint="eastAsia" w:ascii="仿宋_GB2312" w:eastAsia="仿宋_GB2312" w:cs="仿宋_GB2312"/>
                <w:kern w:val="0"/>
                <w:sz w:val="24"/>
                <w:szCs w:val="24"/>
              </w:rPr>
              <w:t>填写流行病学调查表。当体温≥37.3℃或有流行病学史时，由预检分诊人员引导患者通过专用通道进入发热哨点诊室就诊，进一步筛查和处置。</w:t>
            </w:r>
          </w:p>
        </w:tc>
        <w:tc>
          <w:tcPr>
            <w:tcW w:w="2820" w:type="dxa"/>
            <w:tcMar>
              <w:top w:w="15" w:type="dxa"/>
              <w:left w:w="15" w:type="dxa"/>
              <w:right w:w="15" w:type="dxa"/>
            </w:tcMar>
            <w:vAlign w:val="center"/>
          </w:tcPr>
          <w:p>
            <w:pPr>
              <w:widowControl/>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6.预检分诊处有消毒记录</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w:t>
            </w:r>
            <w:r>
              <w:rPr>
                <w:rFonts w:hint="eastAsia" w:ascii="仿宋_GB2312" w:eastAsia="仿宋_GB2312" w:cs="仿宋_GB2312"/>
                <w:b/>
                <w:kern w:val="0"/>
                <w:sz w:val="24"/>
                <w:szCs w:val="24"/>
                <w:lang w:val="en-US" w:eastAsia="zh-CN"/>
              </w:rPr>
              <w:t>四</w:t>
            </w:r>
            <w:r>
              <w:rPr>
                <w:rFonts w:hint="eastAsia" w:ascii="仿宋_GB2312" w:eastAsia="仿宋_GB2312" w:cs="仿宋_GB2312"/>
                <w:b/>
                <w:kern w:val="0"/>
                <w:sz w:val="24"/>
                <w:szCs w:val="24"/>
              </w:rPr>
              <w:t>）发热哨点诊室（未设置只填写第10项）</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 xml:space="preserve">1.发热门诊（发热哨点诊室）设置在医疗机构内相对独立区域，通风良好，有条件的应设立符合 “三区两通道”功能用房。 </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restart"/>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2.发热哨点诊室出入口与普通门诊急诊及其他诊疗区域分设，不共用通道。</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3.配有独立的空调系统，发热门诊至少配1间诊室和1间留观隔离室。并根据实际条件设置更衣休息区、检测采样点。</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6"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4.</w:t>
            </w:r>
            <w:r>
              <w:rPr>
                <w:rFonts w:hint="eastAsia" w:ascii="仿宋_GB2312" w:eastAsia="仿宋_GB2312" w:cs="仿宋_GB2312"/>
                <w:sz w:val="24"/>
                <w:szCs w:val="24"/>
              </w:rPr>
              <w:t>医疗机构所有入口、普通门急诊和其他诊疗区域的显著位置设置“发热哨点诊室”引导标识。”</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5.发热哨点诊室至少配备1名有一定临床经验、经传染病诊疗培训的高年资医师和一名护理人员。</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6.</w:t>
            </w:r>
            <w:r>
              <w:rPr>
                <w:rFonts w:hint="eastAsia" w:ascii="仿宋_GB2312" w:eastAsia="仿宋_GB2312" w:cs="仿宋_GB2312"/>
                <w:kern w:val="0"/>
                <w:sz w:val="24"/>
                <w:szCs w:val="24"/>
              </w:rPr>
              <w:t>进入</w:t>
            </w:r>
            <w:r>
              <w:rPr>
                <w:rFonts w:hint="eastAsia" w:ascii="仿宋_GB2312" w:eastAsia="仿宋_GB2312" w:cs="仿宋_GB2312"/>
                <w:sz w:val="24"/>
                <w:szCs w:val="24"/>
              </w:rPr>
              <w:t>发热哨点诊室</w:t>
            </w:r>
            <w:r>
              <w:rPr>
                <w:rFonts w:hint="eastAsia" w:ascii="仿宋_GB2312" w:eastAsia="仿宋_GB2312" w:cs="仿宋_GB2312"/>
                <w:kern w:val="0"/>
                <w:sz w:val="24"/>
                <w:szCs w:val="24"/>
              </w:rPr>
              <w:t>的患者必须如实填写基本信息、填写流行病调查表。</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7.</w:t>
            </w:r>
            <w:r>
              <w:rPr>
                <w:rFonts w:hint="eastAsia" w:ascii="仿宋_GB2312" w:eastAsia="仿宋_GB2312" w:cs="仿宋_GB2312"/>
                <w:sz w:val="24"/>
                <w:szCs w:val="24"/>
              </w:rPr>
              <w:t>发热哨点诊室严格执行首诊负责制，不得拒诊、拒收发热患者。</w:t>
            </w:r>
          </w:p>
        </w:tc>
        <w:tc>
          <w:tcPr>
            <w:tcW w:w="2820" w:type="dxa"/>
            <w:tcMar>
              <w:top w:w="15" w:type="dxa"/>
              <w:left w:w="15" w:type="dxa"/>
              <w:right w:w="15" w:type="dxa"/>
            </w:tcMar>
            <w:vAlign w:val="center"/>
          </w:tcPr>
          <w:p>
            <w:pPr>
              <w:spacing w:line="360" w:lineRule="exact"/>
              <w:ind w:firstLine="120" w:firstLineChars="50"/>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8.所有发热患者均进行核酸检测及血常规检查</w:t>
            </w:r>
          </w:p>
        </w:tc>
        <w:tc>
          <w:tcPr>
            <w:tcW w:w="2820" w:type="dxa"/>
            <w:tcMar>
              <w:top w:w="15" w:type="dxa"/>
              <w:left w:w="15" w:type="dxa"/>
              <w:right w:w="15" w:type="dxa"/>
            </w:tcMar>
            <w:vAlign w:val="center"/>
          </w:tcPr>
          <w:p>
            <w:pPr>
              <w:spacing w:line="360" w:lineRule="exact"/>
              <w:ind w:firstLine="120" w:firstLineChars="50"/>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9.发热哨点诊室的医务人员、不明原因的发热患者及陪同人员应与其他诊疗区域人员相对隔离，不允许随意离开本区域来回走动</w:t>
            </w:r>
          </w:p>
        </w:tc>
        <w:tc>
          <w:tcPr>
            <w:tcW w:w="2820" w:type="dxa"/>
            <w:tcMar>
              <w:top w:w="15" w:type="dxa"/>
              <w:left w:w="15" w:type="dxa"/>
              <w:right w:w="15" w:type="dxa"/>
            </w:tcMar>
            <w:vAlign w:val="center"/>
          </w:tcPr>
          <w:p>
            <w:pPr>
              <w:spacing w:line="360" w:lineRule="exact"/>
              <w:ind w:firstLine="120" w:firstLineChars="50"/>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10.未设置发热门诊（发热哨点诊室）的，接诊发热病人。</w:t>
            </w:r>
          </w:p>
        </w:tc>
        <w:tc>
          <w:tcPr>
            <w:tcW w:w="2820" w:type="dxa"/>
            <w:tcMar>
              <w:top w:w="15" w:type="dxa"/>
              <w:left w:w="15" w:type="dxa"/>
              <w:right w:w="15" w:type="dxa"/>
            </w:tcMar>
            <w:vAlign w:val="center"/>
          </w:tcPr>
          <w:p>
            <w:pPr>
              <w:spacing w:line="360" w:lineRule="exact"/>
              <w:ind w:firstLine="120" w:firstLine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w:t>
            </w:r>
            <w:r>
              <w:rPr>
                <w:rFonts w:hint="eastAsia" w:ascii="仿宋_GB2312" w:eastAsia="仿宋_GB2312" w:cs="仿宋_GB2312"/>
                <w:b/>
                <w:kern w:val="0"/>
                <w:sz w:val="24"/>
                <w:szCs w:val="24"/>
                <w:lang w:eastAsia="zh-CN"/>
              </w:rPr>
              <w:t>五</w:t>
            </w:r>
            <w:r>
              <w:rPr>
                <w:rFonts w:hint="eastAsia" w:ascii="仿宋_GB2312" w:eastAsia="仿宋_GB2312" w:cs="仿宋_GB2312"/>
                <w:b/>
                <w:kern w:val="0"/>
                <w:sz w:val="24"/>
                <w:szCs w:val="24"/>
              </w:rPr>
              <w:t>）</w:t>
            </w:r>
          </w:p>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核酸检测及送检</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1.是否设有核酸采样点；</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restart"/>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478" w:type="dxa"/>
            <w:vMerge w:val="continue"/>
            <w:vAlign w:val="center"/>
          </w:tc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2.如不具备核酸检测能力，是否与其他医疗机构合作为发热患者提供检测服务；</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3.从事新冠病毒核酸检测标本采集的技术人员经过生物安全培训（培训合格）</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4.核酸检测点在独立区域，通风良好；采样人员防护正规。(N95 及以上防护口罩、护目镜、防护服、乳胶手套、防水靴套)</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5.样本是否按照相应规范专人专车，转运符合生物安全要求</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478" w:type="dxa"/>
            <w:vMerge w:val="continue"/>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6.有标本交接记录，有专用转运箱</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trPr>
        <w:tc>
          <w:tcPr>
            <w:tcW w:w="1478" w:type="dxa"/>
            <w:vMerge w:val="restart"/>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b/>
                <w:sz w:val="24"/>
                <w:szCs w:val="24"/>
              </w:rPr>
            </w:pPr>
            <w:r>
              <w:rPr>
                <w:rFonts w:hint="eastAsia" w:ascii="仿宋_GB2312" w:eastAsia="仿宋_GB2312" w:cs="仿宋_GB2312"/>
                <w:b/>
                <w:sz w:val="24"/>
                <w:szCs w:val="24"/>
              </w:rPr>
              <w:t>（</w:t>
            </w:r>
            <w:r>
              <w:rPr>
                <w:rFonts w:hint="eastAsia" w:ascii="仿宋_GB2312" w:eastAsia="仿宋_GB2312" w:cs="仿宋_GB2312"/>
                <w:b/>
                <w:sz w:val="24"/>
                <w:szCs w:val="24"/>
                <w:lang w:eastAsia="zh-CN"/>
              </w:rPr>
              <w:t>六</w:t>
            </w:r>
            <w:r>
              <w:rPr>
                <w:rFonts w:hint="eastAsia" w:ascii="仿宋_GB2312" w:eastAsia="仿宋_GB2312" w:cs="仿宋_GB2312"/>
                <w:b/>
                <w:sz w:val="24"/>
                <w:szCs w:val="24"/>
              </w:rPr>
              <w:t>）疑似患者的转运</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1.是否对新冠疑似患者做好登记，按要求上报指定部门，由指定部门负责联系120或专用车辆，做好转诊记录</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restart"/>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2.有重症高危因素或病情进展迅速的患者，是否及时转至有条件的医院进一步治疗</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3.转诊后，由诊室医务人员对诊室及相关区域进行终末消毒</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4.与上级医疗机构保持联动，进行信息反馈。</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w:t>
            </w:r>
            <w:r>
              <w:rPr>
                <w:rFonts w:hint="eastAsia" w:ascii="仿宋_GB2312" w:eastAsia="仿宋_GB2312" w:cs="仿宋_GB2312"/>
                <w:b/>
                <w:kern w:val="0"/>
                <w:sz w:val="24"/>
                <w:szCs w:val="24"/>
                <w:lang w:eastAsia="zh-CN"/>
              </w:rPr>
              <w:t>七</w:t>
            </w:r>
            <w:r>
              <w:rPr>
                <w:rFonts w:hint="eastAsia" w:ascii="仿宋_GB2312" w:eastAsia="仿宋_GB2312" w:cs="仿宋_GB2312"/>
                <w:b/>
                <w:kern w:val="0"/>
                <w:sz w:val="24"/>
                <w:szCs w:val="24"/>
              </w:rPr>
              <w:t>）</w:t>
            </w:r>
          </w:p>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医疗废物</w:t>
            </w:r>
          </w:p>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处置</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1.开展医疗废物处置工作培训</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restart"/>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2.医疗废物是否分类收集</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3.医疗废物交接、运送、暂存及处置是否符合要求处置是否符合要求</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4.使用专用包装物及容器</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5.建立医疗废物暂时贮存设施并符合要求</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6.确定医疗废物运送时间、路线，并使用专用工具转运医疗废物</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7.相关工作人员是否配备必要的防护用品并定期进行健康体检</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8.未在院内丢弃或在非贮存地点堆放医疗废物</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w:t>
            </w:r>
            <w:r>
              <w:rPr>
                <w:rFonts w:hint="eastAsia" w:ascii="仿宋_GB2312" w:eastAsia="仿宋_GB2312" w:cs="仿宋_GB2312"/>
                <w:b/>
                <w:kern w:val="0"/>
                <w:sz w:val="24"/>
                <w:szCs w:val="24"/>
                <w:lang w:eastAsia="zh-CN"/>
              </w:rPr>
              <w:t>八</w:t>
            </w:r>
            <w:r>
              <w:rPr>
                <w:rFonts w:hint="eastAsia" w:ascii="仿宋_GB2312" w:eastAsia="仿宋_GB2312" w:cs="仿宋_GB2312"/>
                <w:b/>
                <w:kern w:val="0"/>
                <w:sz w:val="24"/>
                <w:szCs w:val="24"/>
              </w:rPr>
              <w:t>）</w:t>
            </w:r>
          </w:p>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CT室</w:t>
            </w:r>
          </w:p>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管理</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1.制定CT检查预案，合理规划检查路线、设置专用候诊区域</w:t>
            </w:r>
          </w:p>
        </w:tc>
        <w:tc>
          <w:tcPr>
            <w:tcW w:w="2820" w:type="dxa"/>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restart"/>
            <w:vAlign w:val="center"/>
          </w:tcPr>
          <w:p>
            <w:pPr>
              <w:spacing w:line="360" w:lineRule="exact"/>
              <w:ind w:left="105" w:leftChars="50" w:right="105" w:rightChars="50"/>
              <w:jc w:val="center"/>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2.发生疫情时，有条件的医疗机构配置专门的检查区域、使用专用的CT检查设备</w:t>
            </w:r>
          </w:p>
        </w:tc>
        <w:tc>
          <w:tcPr>
            <w:tcW w:w="2820" w:type="dxa"/>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3.新冠肺炎确诊或疑似病人进行CT检查后，按规范对CT室进行消毒</w:t>
            </w:r>
          </w:p>
        </w:tc>
        <w:tc>
          <w:tcPr>
            <w:tcW w:w="2820" w:type="dxa"/>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4.CT室工作人员按要求进行标准防护</w:t>
            </w:r>
          </w:p>
        </w:tc>
        <w:tc>
          <w:tcPr>
            <w:tcW w:w="2820" w:type="dxa"/>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1478" w:type="dxa"/>
            <w:vMerge w:val="restart"/>
            <w:tcMar>
              <w:top w:w="15" w:type="dxa"/>
              <w:left w:w="15" w:type="dxa"/>
              <w:right w:w="15" w:type="dxa"/>
            </w:tcMar>
            <w:vAlign w:val="center"/>
          </w:tcPr>
          <w:p>
            <w:pPr>
              <w:spacing w:line="360" w:lineRule="exact"/>
              <w:ind w:left="105" w:leftChars="50" w:right="105" w:rightChars="50"/>
            </w:pPr>
            <w:r>
              <w:rPr>
                <w:rFonts w:hint="eastAsia" w:ascii="仿宋_GB2312" w:eastAsia="仿宋_GB2312" w:cs="仿宋_GB2312"/>
                <w:b/>
                <w:kern w:val="0"/>
                <w:sz w:val="24"/>
                <w:szCs w:val="24"/>
              </w:rPr>
              <w:t>（</w:t>
            </w:r>
            <w:r>
              <w:rPr>
                <w:rFonts w:hint="eastAsia" w:ascii="仿宋_GB2312" w:eastAsia="仿宋_GB2312" w:cs="仿宋_GB2312"/>
                <w:b/>
                <w:kern w:val="0"/>
                <w:sz w:val="24"/>
                <w:szCs w:val="24"/>
                <w:lang w:eastAsia="zh-CN"/>
              </w:rPr>
              <w:t>九</w:t>
            </w:r>
            <w:r>
              <w:rPr>
                <w:rFonts w:hint="eastAsia" w:ascii="仿宋_GB2312" w:eastAsia="仿宋_GB2312" w:cs="仿宋_GB2312"/>
                <w:b/>
                <w:kern w:val="0"/>
                <w:sz w:val="24"/>
                <w:szCs w:val="24"/>
              </w:rPr>
              <w:t>）村卫生室管理（每个乡镇、社区抽查3-5个村卫生室）</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1.乡村医生接受疫情防控知识培训。</w:t>
            </w:r>
          </w:p>
        </w:tc>
        <w:tc>
          <w:tcPr>
            <w:tcW w:w="2820" w:type="dxa"/>
            <w:vAlign w:val="center"/>
          </w:tcPr>
          <w:p>
            <w:pPr>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restart"/>
            <w:vAlign w:val="center"/>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2.村卫生室和乡村医生落实疫情个人防护措施。</w:t>
            </w:r>
          </w:p>
        </w:tc>
        <w:tc>
          <w:tcPr>
            <w:tcW w:w="2820" w:type="dxa"/>
            <w:vAlign w:val="center"/>
          </w:tcPr>
          <w:p>
            <w:pPr>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3.乡村医生对家庭医生签约服务群众开展疫情防控知识宣传。</w:t>
            </w:r>
          </w:p>
        </w:tc>
        <w:tc>
          <w:tcPr>
            <w:tcW w:w="2820" w:type="dxa"/>
            <w:vAlign w:val="center"/>
          </w:tcPr>
          <w:p>
            <w:pPr>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1478" w:type="dxa"/>
            <w:vMerge w:val="continue"/>
            <w:tcMar>
              <w:top w:w="15" w:type="dxa"/>
              <w:left w:w="15" w:type="dxa"/>
              <w:right w:w="15" w:type="dxa"/>
            </w:tcMar>
            <w:vAlign w:val="center"/>
          </w:tcPr>
          <w:p>
            <w:pPr>
              <w:spacing w:line="360" w:lineRule="exact"/>
              <w:rPr>
                <w:rFonts w:hint="eastAsia" w:ascii="仿宋_GB2312" w:eastAsia="仿宋_GB2312" w:cs="仿宋_GB2312"/>
                <w:b/>
                <w:kern w:val="0"/>
                <w:sz w:val="24"/>
                <w:szCs w:val="24"/>
              </w:rPr>
            </w:p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4.乡村医生熟悉掌握发热症状病人的报告、转诊、管控措施。</w:t>
            </w:r>
          </w:p>
        </w:tc>
        <w:tc>
          <w:tcPr>
            <w:tcW w:w="2820" w:type="dxa"/>
            <w:vAlign w:val="center"/>
          </w:tcPr>
          <w:p>
            <w:pPr>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1478" w:type="dxa"/>
            <w:vMerge w:val="continue"/>
            <w:tcMar>
              <w:top w:w="15" w:type="dxa"/>
              <w:left w:w="15" w:type="dxa"/>
              <w:right w:w="15" w:type="dxa"/>
            </w:tcMar>
            <w:vAlign w:val="center"/>
          </w:tcPr>
          <w:p>
            <w:pPr>
              <w:spacing w:line="360" w:lineRule="exact"/>
              <w:rPr>
                <w:rFonts w:hint="eastAsia" w:ascii="仿宋_GB2312" w:eastAsia="仿宋_GB2312" w:cs="仿宋_GB2312"/>
                <w:b/>
                <w:kern w:val="0"/>
                <w:sz w:val="24"/>
                <w:szCs w:val="24"/>
              </w:rPr>
            </w:p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5.村卫生室违规接诊发热病人。</w:t>
            </w:r>
          </w:p>
        </w:tc>
        <w:tc>
          <w:tcPr>
            <w:tcW w:w="2820" w:type="dxa"/>
            <w:vAlign w:val="center"/>
          </w:tcPr>
          <w:p>
            <w:pPr>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pPr>
              <w:spacing w:line="360" w:lineRule="exact"/>
            </w:pPr>
          </w:p>
        </w:tc>
      </w:tr>
    </w:tbl>
    <w:p>
      <w:pPr>
        <w:spacing w:line="60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sz w:val="24"/>
          <w:szCs w:val="24"/>
        </w:rPr>
        <w:t>陪同检查人（职务）：                         检查人：                          检查日期：      年   月   日</w:t>
      </w:r>
    </w:p>
    <w:p>
      <w:pPr>
        <w:widowControl/>
        <w:spacing w:line="60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说明：1.未设置发热门诊（发热哨点诊室）、未开展核酸检测、CT检查项目的检查内容可合理缺项。</w:t>
      </w:r>
    </w:p>
    <w:p>
      <w:pPr>
        <w:spacing w:line="600" w:lineRule="exact"/>
        <w:rPr>
          <w:rFonts w:hint="eastAsia" w:ascii="方正小标宋简体" w:eastAsia="方正小标宋简体" w:cs="宋体"/>
          <w:sz w:val="36"/>
          <w:szCs w:val="36"/>
        </w:rPr>
      </w:pPr>
      <w:r>
        <w:rPr>
          <w:rFonts w:hint="eastAsia" w:ascii="方正小标宋简体" w:eastAsia="方正小标宋简体" w:cs="宋体"/>
          <w:sz w:val="36"/>
          <w:szCs w:val="36"/>
        </w:rPr>
        <w:t xml:space="preserve">    </w:t>
      </w:r>
      <w:r>
        <w:rPr>
          <w:rFonts w:hint="eastAsia" w:ascii="仿宋_GB2312" w:eastAsia="仿宋_GB2312" w:cs="仿宋_GB2312"/>
          <w:kern w:val="0"/>
          <w:sz w:val="24"/>
          <w:szCs w:val="24"/>
        </w:rPr>
        <w:t xml:space="preserve"> 2.各地可结合实际增加监督检查内容。</w:t>
      </w:r>
    </w:p>
    <w:p>
      <w:pPr>
        <w:spacing w:line="600" w:lineRule="exact"/>
        <w:ind w:right="160"/>
        <w:rPr>
          <w:rFonts w:hint="eastAsia" w:ascii="黑体" w:eastAsia="黑体"/>
          <w:sz w:val="32"/>
          <w:szCs w:val="32"/>
        </w:rPr>
      </w:pPr>
      <w:r>
        <w:rPr>
          <w:rFonts w:hint="eastAsia" w:ascii="方正小标宋简体" w:eastAsia="方正小标宋简体" w:cs="宋体"/>
          <w:sz w:val="36"/>
          <w:szCs w:val="36"/>
        </w:rPr>
        <w:br w:type="page"/>
      </w:r>
      <w:r>
        <w:rPr>
          <w:rFonts w:hint="eastAsia" w:ascii="黑体" w:eastAsia="黑体"/>
          <w:sz w:val="32"/>
          <w:szCs w:val="32"/>
        </w:rPr>
        <w:t>附表2</w:t>
      </w:r>
    </w:p>
    <w:p>
      <w:pPr>
        <w:widowControl/>
        <w:spacing w:line="600" w:lineRule="exact"/>
        <w:jc w:val="center"/>
        <w:textAlignment w:val="center"/>
        <w:rPr>
          <w:rFonts w:hint="eastAsia" w:ascii="方正小标宋简体" w:eastAsia="方正小标宋简体" w:cs="宋体"/>
          <w:kern w:val="0"/>
          <w:sz w:val="44"/>
          <w:szCs w:val="44"/>
        </w:rPr>
      </w:pPr>
      <w:r>
        <w:rPr>
          <w:rFonts w:hint="eastAsia" w:ascii="方正小标宋简体" w:eastAsia="方正小标宋简体" w:cs="方正小标宋简体"/>
          <w:kern w:val="0"/>
          <w:sz w:val="44"/>
          <w:szCs w:val="44"/>
        </w:rPr>
        <w:t>冬春季基层医疗卫生机构疫情防控专项监督</w:t>
      </w:r>
      <w:r>
        <w:rPr>
          <w:rFonts w:hint="eastAsia" w:ascii="方正小标宋简体" w:eastAsia="方正小标宋简体" w:cs="宋体"/>
          <w:kern w:val="0"/>
          <w:sz w:val="44"/>
          <w:szCs w:val="44"/>
        </w:rPr>
        <w:t>汇总表</w:t>
      </w:r>
    </w:p>
    <w:p>
      <w:pPr>
        <w:spacing w:line="600" w:lineRule="exact"/>
        <w:ind w:right="160"/>
        <w:rPr>
          <w:rFonts w:hint="eastAsia" w:ascii="黑体" w:eastAsia="黑体"/>
          <w:sz w:val="32"/>
          <w:szCs w:val="32"/>
        </w:rPr>
      </w:pPr>
      <w:r>
        <w:rPr>
          <w:rFonts w:hint="eastAsia" w:ascii="仿宋_GB2312" w:eastAsia="仿宋_GB2312"/>
          <w:kern w:val="0"/>
          <w:sz w:val="24"/>
          <w:szCs w:val="24"/>
        </w:rPr>
        <w:t>填报单位（盖章）：</w:t>
      </w:r>
      <w:r>
        <w:rPr>
          <w:rFonts w:ascii="宋体" w:hAnsi="宋体"/>
          <w:kern w:val="0"/>
          <w:sz w:val="24"/>
          <w:szCs w:val="24"/>
          <w:u w:val="single"/>
        </w:rPr>
        <w:t>　　　　　　　　　　　</w:t>
      </w:r>
    </w:p>
    <w:p>
      <w:pPr>
        <w:widowControl/>
        <w:spacing w:line="600" w:lineRule="exact"/>
        <w:rPr>
          <w:rFonts w:hint="eastAsia"/>
        </w:rPr>
      </w:pPr>
    </w:p>
    <w:tbl>
      <w:tblPr>
        <w:tblStyle w:val="6"/>
        <w:tblW w:w="15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1424"/>
        <w:gridCol w:w="1980"/>
        <w:gridCol w:w="1561"/>
        <w:gridCol w:w="1523"/>
        <w:gridCol w:w="1397"/>
        <w:gridCol w:w="1280"/>
        <w:gridCol w:w="1440"/>
        <w:gridCol w:w="1273"/>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2190"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单位</w:t>
            </w:r>
          </w:p>
        </w:tc>
        <w:tc>
          <w:tcPr>
            <w:tcW w:w="1424"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检查单位数</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w:t>
            </w:r>
          </w:p>
        </w:tc>
        <w:tc>
          <w:tcPr>
            <w:tcW w:w="1980"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下达监督意见书</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（份数）</w:t>
            </w:r>
          </w:p>
        </w:tc>
        <w:tc>
          <w:tcPr>
            <w:tcW w:w="1561"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警告单位数</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w:t>
            </w:r>
          </w:p>
        </w:tc>
        <w:tc>
          <w:tcPr>
            <w:tcW w:w="1523"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罚款单位数</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w:t>
            </w:r>
          </w:p>
        </w:tc>
        <w:tc>
          <w:tcPr>
            <w:tcW w:w="1397"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罚款金额</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（元）</w:t>
            </w:r>
          </w:p>
        </w:tc>
        <w:tc>
          <w:tcPr>
            <w:tcW w:w="1280"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其他行政</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处罚</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w:t>
            </w:r>
          </w:p>
        </w:tc>
        <w:tc>
          <w:tcPr>
            <w:tcW w:w="1440"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行政处分</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单位数</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w:t>
            </w:r>
          </w:p>
        </w:tc>
        <w:tc>
          <w:tcPr>
            <w:tcW w:w="1273"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出动监督</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执法人员</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（人次）</w:t>
            </w:r>
          </w:p>
        </w:tc>
        <w:tc>
          <w:tcPr>
            <w:tcW w:w="1180"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出动</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车辆</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（车次）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90" w:type="dxa"/>
            <w:vAlign w:val="center"/>
          </w:tcPr>
          <w:p>
            <w:pPr>
              <w:widowControl/>
              <w:spacing w:line="360" w:lineRule="exact"/>
              <w:jc w:val="center"/>
              <w:rPr>
                <w:rFonts w:hint="eastAsia" w:ascii="仿宋_GB2312" w:eastAsia="仿宋_GB2312"/>
                <w:kern w:val="0"/>
                <w:sz w:val="24"/>
                <w:szCs w:val="24"/>
              </w:rPr>
            </w:pPr>
            <w:r>
              <w:rPr>
                <w:rFonts w:hint="eastAsia" w:ascii="仿宋_GB2312" w:eastAsia="仿宋_GB2312"/>
                <w:kern w:val="0"/>
                <w:sz w:val="24"/>
                <w:szCs w:val="24"/>
              </w:rPr>
              <w:t>XX城区</w:t>
            </w:r>
          </w:p>
        </w:tc>
        <w:tc>
          <w:tcPr>
            <w:tcW w:w="1424" w:type="dxa"/>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980" w:type="dxa"/>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561" w:type="dxa"/>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523" w:type="dxa"/>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397" w:type="dxa"/>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280" w:type="dxa"/>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440" w:type="dxa"/>
            <w:vAlign w:val="center"/>
          </w:tcPr>
          <w:p>
            <w:pPr>
              <w:widowControl/>
              <w:spacing w:line="360" w:lineRule="exact"/>
              <w:jc w:val="left"/>
              <w:rPr>
                <w:rFonts w:hint="eastAsia" w:ascii="仿宋_GB2312" w:eastAsia="仿宋_GB2312"/>
                <w:kern w:val="0"/>
                <w:sz w:val="24"/>
                <w:szCs w:val="24"/>
              </w:rPr>
            </w:pPr>
          </w:p>
        </w:tc>
        <w:tc>
          <w:tcPr>
            <w:tcW w:w="1273" w:type="dxa"/>
            <w:vAlign w:val="center"/>
          </w:tcPr>
          <w:p>
            <w:pPr>
              <w:widowControl/>
              <w:spacing w:line="360" w:lineRule="exact"/>
              <w:jc w:val="left"/>
              <w:rPr>
                <w:rFonts w:hint="eastAsia" w:ascii="仿宋_GB2312" w:eastAsia="仿宋_GB2312"/>
                <w:kern w:val="0"/>
                <w:sz w:val="24"/>
                <w:szCs w:val="24"/>
              </w:rPr>
            </w:pPr>
          </w:p>
        </w:tc>
        <w:tc>
          <w:tcPr>
            <w:tcW w:w="1180" w:type="dxa"/>
            <w:vAlign w:val="center"/>
          </w:tcPr>
          <w:p>
            <w:pPr>
              <w:widowControl/>
              <w:spacing w:line="360" w:lineRule="exact"/>
              <w:jc w:val="left"/>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90" w:type="dxa"/>
            <w:vAlign w:val="center"/>
          </w:tcPr>
          <w:p>
            <w:pPr>
              <w:widowControl/>
              <w:spacing w:line="360" w:lineRule="exact"/>
              <w:jc w:val="center"/>
              <w:rPr>
                <w:rFonts w:hint="eastAsia" w:ascii="仿宋_GB2312" w:eastAsia="仿宋_GB2312"/>
                <w:kern w:val="0"/>
                <w:sz w:val="24"/>
                <w:szCs w:val="24"/>
              </w:rPr>
            </w:pPr>
            <w:r>
              <w:rPr>
                <w:rFonts w:hint="eastAsia" w:ascii="仿宋_GB2312" w:eastAsia="仿宋_GB2312"/>
                <w:kern w:val="0"/>
                <w:sz w:val="24"/>
                <w:szCs w:val="24"/>
              </w:rPr>
              <w:t>XX县</w:t>
            </w:r>
          </w:p>
        </w:tc>
        <w:tc>
          <w:tcPr>
            <w:tcW w:w="1424" w:type="dxa"/>
            <w:vAlign w:val="center"/>
          </w:tcPr>
          <w:p>
            <w:pPr>
              <w:widowControl/>
              <w:spacing w:line="360" w:lineRule="exact"/>
              <w:jc w:val="left"/>
              <w:rPr>
                <w:rFonts w:hint="eastAsia" w:ascii="仿宋_GB2312" w:eastAsia="仿宋_GB2312"/>
                <w:kern w:val="0"/>
                <w:sz w:val="24"/>
                <w:szCs w:val="24"/>
              </w:rPr>
            </w:pPr>
          </w:p>
        </w:tc>
        <w:tc>
          <w:tcPr>
            <w:tcW w:w="1980" w:type="dxa"/>
            <w:vAlign w:val="center"/>
          </w:tcPr>
          <w:p>
            <w:pPr>
              <w:widowControl/>
              <w:spacing w:line="360" w:lineRule="exact"/>
              <w:jc w:val="left"/>
              <w:rPr>
                <w:rFonts w:hint="eastAsia" w:ascii="仿宋_GB2312" w:eastAsia="仿宋_GB2312"/>
                <w:kern w:val="0"/>
                <w:sz w:val="24"/>
                <w:szCs w:val="24"/>
              </w:rPr>
            </w:pPr>
          </w:p>
        </w:tc>
        <w:tc>
          <w:tcPr>
            <w:tcW w:w="1561" w:type="dxa"/>
            <w:vAlign w:val="center"/>
          </w:tcPr>
          <w:p>
            <w:pPr>
              <w:widowControl/>
              <w:spacing w:line="360" w:lineRule="exact"/>
              <w:jc w:val="left"/>
              <w:rPr>
                <w:rFonts w:hint="eastAsia" w:ascii="仿宋_GB2312" w:eastAsia="仿宋_GB2312"/>
                <w:kern w:val="0"/>
                <w:sz w:val="24"/>
                <w:szCs w:val="24"/>
              </w:rPr>
            </w:pPr>
          </w:p>
        </w:tc>
        <w:tc>
          <w:tcPr>
            <w:tcW w:w="1523" w:type="dxa"/>
            <w:vAlign w:val="center"/>
          </w:tcPr>
          <w:p>
            <w:pPr>
              <w:widowControl/>
              <w:spacing w:line="360" w:lineRule="exact"/>
              <w:jc w:val="left"/>
              <w:rPr>
                <w:rFonts w:hint="eastAsia" w:ascii="仿宋_GB2312" w:eastAsia="仿宋_GB2312"/>
                <w:kern w:val="0"/>
                <w:sz w:val="24"/>
                <w:szCs w:val="24"/>
              </w:rPr>
            </w:pPr>
          </w:p>
        </w:tc>
        <w:tc>
          <w:tcPr>
            <w:tcW w:w="1397" w:type="dxa"/>
            <w:vAlign w:val="center"/>
          </w:tcPr>
          <w:p>
            <w:pPr>
              <w:widowControl/>
              <w:spacing w:line="360" w:lineRule="exact"/>
              <w:jc w:val="left"/>
              <w:rPr>
                <w:rFonts w:hint="eastAsia" w:ascii="仿宋_GB2312" w:eastAsia="仿宋_GB2312"/>
                <w:kern w:val="0"/>
                <w:sz w:val="24"/>
                <w:szCs w:val="24"/>
              </w:rPr>
            </w:pPr>
          </w:p>
        </w:tc>
        <w:tc>
          <w:tcPr>
            <w:tcW w:w="1280" w:type="dxa"/>
            <w:vAlign w:val="center"/>
          </w:tcPr>
          <w:p>
            <w:pPr>
              <w:widowControl/>
              <w:spacing w:line="360" w:lineRule="exact"/>
              <w:jc w:val="left"/>
              <w:rPr>
                <w:rFonts w:hint="eastAsia" w:ascii="仿宋_GB2312" w:eastAsia="仿宋_GB2312"/>
                <w:kern w:val="0"/>
                <w:sz w:val="24"/>
                <w:szCs w:val="24"/>
              </w:rPr>
            </w:pPr>
          </w:p>
        </w:tc>
        <w:tc>
          <w:tcPr>
            <w:tcW w:w="1440" w:type="dxa"/>
            <w:vAlign w:val="center"/>
          </w:tcPr>
          <w:p>
            <w:pPr>
              <w:widowControl/>
              <w:spacing w:line="360" w:lineRule="exact"/>
              <w:jc w:val="left"/>
              <w:rPr>
                <w:rFonts w:hint="eastAsia" w:ascii="仿宋_GB2312" w:eastAsia="仿宋_GB2312"/>
                <w:kern w:val="0"/>
                <w:sz w:val="24"/>
                <w:szCs w:val="24"/>
              </w:rPr>
            </w:pPr>
          </w:p>
        </w:tc>
        <w:tc>
          <w:tcPr>
            <w:tcW w:w="1273" w:type="dxa"/>
            <w:vAlign w:val="center"/>
          </w:tcPr>
          <w:p>
            <w:pPr>
              <w:widowControl/>
              <w:spacing w:line="360" w:lineRule="exact"/>
              <w:jc w:val="left"/>
              <w:rPr>
                <w:rFonts w:hint="eastAsia" w:ascii="仿宋_GB2312" w:eastAsia="仿宋_GB2312"/>
                <w:kern w:val="0"/>
                <w:sz w:val="24"/>
                <w:szCs w:val="24"/>
              </w:rPr>
            </w:pPr>
          </w:p>
        </w:tc>
        <w:tc>
          <w:tcPr>
            <w:tcW w:w="1180" w:type="dxa"/>
            <w:vAlign w:val="center"/>
          </w:tcPr>
          <w:p>
            <w:pPr>
              <w:widowControl/>
              <w:spacing w:line="360" w:lineRule="exact"/>
              <w:jc w:val="left"/>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90" w:type="dxa"/>
            <w:vAlign w:val="center"/>
          </w:tcPr>
          <w:p>
            <w:pPr>
              <w:widowControl/>
              <w:spacing w:line="360" w:lineRule="exact"/>
              <w:jc w:val="center"/>
              <w:rPr>
                <w:rFonts w:hint="eastAsia" w:ascii="仿宋_GB2312" w:eastAsia="仿宋_GB2312"/>
                <w:kern w:val="0"/>
                <w:sz w:val="24"/>
                <w:szCs w:val="24"/>
              </w:rPr>
            </w:pPr>
            <w:r>
              <w:rPr>
                <w:rFonts w:hint="eastAsia" w:ascii="仿宋_GB2312" w:eastAsia="仿宋_GB2312"/>
                <w:kern w:val="0"/>
                <w:sz w:val="24"/>
                <w:szCs w:val="24"/>
              </w:rPr>
              <w:t>合计</w:t>
            </w:r>
          </w:p>
        </w:tc>
        <w:tc>
          <w:tcPr>
            <w:tcW w:w="1424" w:type="dxa"/>
            <w:vAlign w:val="center"/>
          </w:tcPr>
          <w:p>
            <w:pPr>
              <w:widowControl/>
              <w:spacing w:line="360" w:lineRule="exact"/>
              <w:jc w:val="left"/>
              <w:rPr>
                <w:rFonts w:hint="eastAsia" w:ascii="仿宋_GB2312" w:eastAsia="仿宋_GB2312"/>
                <w:kern w:val="0"/>
                <w:sz w:val="24"/>
                <w:szCs w:val="24"/>
              </w:rPr>
            </w:pPr>
          </w:p>
        </w:tc>
        <w:tc>
          <w:tcPr>
            <w:tcW w:w="1980" w:type="dxa"/>
            <w:vAlign w:val="center"/>
          </w:tcPr>
          <w:p>
            <w:pPr>
              <w:widowControl/>
              <w:spacing w:line="360" w:lineRule="exact"/>
              <w:jc w:val="left"/>
              <w:rPr>
                <w:rFonts w:hint="eastAsia" w:ascii="仿宋_GB2312" w:eastAsia="仿宋_GB2312"/>
                <w:kern w:val="0"/>
                <w:sz w:val="24"/>
                <w:szCs w:val="24"/>
              </w:rPr>
            </w:pPr>
          </w:p>
        </w:tc>
        <w:tc>
          <w:tcPr>
            <w:tcW w:w="1561" w:type="dxa"/>
            <w:vAlign w:val="center"/>
          </w:tcPr>
          <w:p>
            <w:pPr>
              <w:widowControl/>
              <w:spacing w:line="360" w:lineRule="exact"/>
              <w:jc w:val="left"/>
              <w:rPr>
                <w:rFonts w:hint="eastAsia" w:ascii="仿宋_GB2312" w:eastAsia="仿宋_GB2312"/>
                <w:kern w:val="0"/>
                <w:sz w:val="24"/>
                <w:szCs w:val="24"/>
              </w:rPr>
            </w:pPr>
          </w:p>
        </w:tc>
        <w:tc>
          <w:tcPr>
            <w:tcW w:w="1523" w:type="dxa"/>
            <w:vAlign w:val="center"/>
          </w:tcPr>
          <w:p>
            <w:pPr>
              <w:widowControl/>
              <w:spacing w:line="360" w:lineRule="exact"/>
              <w:jc w:val="left"/>
              <w:rPr>
                <w:rFonts w:hint="eastAsia" w:ascii="仿宋_GB2312" w:eastAsia="仿宋_GB2312"/>
                <w:kern w:val="0"/>
                <w:sz w:val="24"/>
                <w:szCs w:val="24"/>
              </w:rPr>
            </w:pPr>
          </w:p>
        </w:tc>
        <w:tc>
          <w:tcPr>
            <w:tcW w:w="1397" w:type="dxa"/>
            <w:vAlign w:val="center"/>
          </w:tcPr>
          <w:p>
            <w:pPr>
              <w:widowControl/>
              <w:spacing w:line="360" w:lineRule="exact"/>
              <w:jc w:val="left"/>
              <w:rPr>
                <w:rFonts w:hint="eastAsia" w:ascii="仿宋_GB2312" w:eastAsia="仿宋_GB2312"/>
                <w:kern w:val="0"/>
                <w:sz w:val="24"/>
                <w:szCs w:val="24"/>
              </w:rPr>
            </w:pPr>
          </w:p>
        </w:tc>
        <w:tc>
          <w:tcPr>
            <w:tcW w:w="1280" w:type="dxa"/>
            <w:vAlign w:val="center"/>
          </w:tcPr>
          <w:p>
            <w:pPr>
              <w:widowControl/>
              <w:spacing w:line="360" w:lineRule="exact"/>
              <w:jc w:val="left"/>
              <w:rPr>
                <w:rFonts w:hint="eastAsia" w:ascii="仿宋_GB2312" w:eastAsia="仿宋_GB2312"/>
                <w:kern w:val="0"/>
                <w:sz w:val="24"/>
                <w:szCs w:val="24"/>
              </w:rPr>
            </w:pPr>
          </w:p>
        </w:tc>
        <w:tc>
          <w:tcPr>
            <w:tcW w:w="1440" w:type="dxa"/>
            <w:vAlign w:val="center"/>
          </w:tcPr>
          <w:p>
            <w:pPr>
              <w:widowControl/>
              <w:spacing w:line="360" w:lineRule="exact"/>
              <w:jc w:val="left"/>
              <w:rPr>
                <w:rFonts w:hint="eastAsia" w:ascii="仿宋_GB2312" w:eastAsia="仿宋_GB2312"/>
                <w:kern w:val="0"/>
                <w:sz w:val="24"/>
                <w:szCs w:val="24"/>
              </w:rPr>
            </w:pPr>
          </w:p>
        </w:tc>
        <w:tc>
          <w:tcPr>
            <w:tcW w:w="1273" w:type="dxa"/>
            <w:vAlign w:val="center"/>
          </w:tcPr>
          <w:p>
            <w:pPr>
              <w:widowControl/>
              <w:spacing w:line="360" w:lineRule="exact"/>
              <w:jc w:val="left"/>
              <w:rPr>
                <w:rFonts w:hint="eastAsia" w:ascii="仿宋_GB2312" w:eastAsia="仿宋_GB2312"/>
                <w:kern w:val="0"/>
                <w:sz w:val="24"/>
                <w:szCs w:val="24"/>
              </w:rPr>
            </w:pPr>
          </w:p>
        </w:tc>
        <w:tc>
          <w:tcPr>
            <w:tcW w:w="1180" w:type="dxa"/>
            <w:vAlign w:val="center"/>
          </w:tcPr>
          <w:p>
            <w:pPr>
              <w:widowControl/>
              <w:spacing w:line="360" w:lineRule="exact"/>
              <w:jc w:val="left"/>
              <w:rPr>
                <w:rFonts w:hint="eastAsia" w:ascii="仿宋_GB2312" w:eastAsia="仿宋_GB2312"/>
                <w:kern w:val="0"/>
                <w:sz w:val="24"/>
                <w:szCs w:val="24"/>
              </w:rPr>
            </w:pPr>
          </w:p>
        </w:tc>
      </w:tr>
    </w:tbl>
    <w:p>
      <w:pPr>
        <w:widowControl/>
        <w:spacing w:line="600" w:lineRule="exact"/>
        <w:rPr>
          <w:rFonts w:hint="eastAsia" w:ascii="黑体" w:eastAsia="黑体" w:cs="黑体"/>
          <w:bCs/>
          <w:kern w:val="0"/>
          <w:sz w:val="32"/>
          <w:szCs w:val="32"/>
        </w:rPr>
      </w:pPr>
    </w:p>
    <w:p>
      <w:pPr>
        <w:widowControl/>
        <w:spacing w:line="600" w:lineRule="exact"/>
        <w:rPr>
          <w:rFonts w:hint="eastAsia" w:ascii="黑体" w:eastAsia="黑体" w:cs="黑体"/>
          <w:bCs/>
          <w:kern w:val="0"/>
          <w:sz w:val="32"/>
          <w:szCs w:val="32"/>
        </w:rPr>
      </w:pPr>
    </w:p>
    <w:p>
      <w:pPr>
        <w:widowControl/>
        <w:spacing w:line="600" w:lineRule="exact"/>
        <w:rPr>
          <w:rFonts w:hint="eastAsia" w:ascii="黑体" w:eastAsia="黑体" w:cs="黑体"/>
          <w:bCs/>
          <w:kern w:val="0"/>
          <w:sz w:val="32"/>
          <w:szCs w:val="32"/>
        </w:rPr>
      </w:pPr>
    </w:p>
    <w:p>
      <w:pPr>
        <w:widowControl/>
        <w:spacing w:line="600" w:lineRule="exact"/>
        <w:rPr>
          <w:rFonts w:hint="eastAsia" w:ascii="方正小标宋简体" w:hAnsi="方正小标宋简体" w:eastAsia="黑体" w:cs="宋体"/>
          <w:bCs/>
          <w:kern w:val="0"/>
          <w:sz w:val="36"/>
          <w:szCs w:val="36"/>
        </w:rPr>
      </w:pPr>
      <w:r>
        <w:rPr>
          <w:rFonts w:hint="eastAsia" w:ascii="黑体" w:eastAsia="黑体" w:cs="黑体"/>
          <w:bCs/>
          <w:kern w:val="0"/>
          <w:sz w:val="32"/>
          <w:szCs w:val="32"/>
        </w:rPr>
        <w:br w:type="page"/>
      </w:r>
      <w:r>
        <w:rPr>
          <w:rFonts w:hint="eastAsia" w:ascii="黑体" w:eastAsia="黑体" w:cs="黑体"/>
          <w:bCs/>
          <w:kern w:val="0"/>
          <w:sz w:val="32"/>
          <w:szCs w:val="32"/>
        </w:rPr>
        <w:t>附表3</w:t>
      </w:r>
    </w:p>
    <w:p>
      <w:pPr>
        <w:widowControl/>
        <w:spacing w:line="600" w:lineRule="exact"/>
        <w:jc w:val="center"/>
        <w:rPr>
          <w:rFonts w:hint="eastAsia" w:ascii="方正小标宋简体" w:eastAsia="方正小标宋简体" w:cs="宋体"/>
          <w:bCs/>
          <w:kern w:val="0"/>
          <w:sz w:val="44"/>
          <w:szCs w:val="44"/>
        </w:rPr>
      </w:pPr>
      <w:r>
        <w:rPr>
          <w:rFonts w:hint="eastAsia" w:ascii="方正小标宋简体" w:eastAsia="方正小标宋简体" w:cs="宋体"/>
          <w:bCs/>
          <w:kern w:val="0"/>
          <w:sz w:val="44"/>
          <w:szCs w:val="44"/>
        </w:rPr>
        <w:t>存在问题汇总表</w:t>
      </w:r>
    </w:p>
    <w:p>
      <w:pPr>
        <w:spacing w:line="600" w:lineRule="exact"/>
        <w:rPr>
          <w:rFonts w:hint="eastAsia" w:ascii="仿宋_GB2312" w:eastAsia="仿宋_GB2312"/>
          <w:sz w:val="28"/>
        </w:rPr>
      </w:pPr>
      <w:r>
        <w:rPr>
          <w:rFonts w:hint="eastAsia" w:ascii="仿宋_GB2312" w:eastAsia="仿宋_GB2312"/>
          <w:kern w:val="0"/>
          <w:sz w:val="24"/>
          <w:szCs w:val="24"/>
          <w:u w:val="single"/>
        </w:rPr>
        <w:t>　　     　　</w:t>
      </w:r>
      <w:r>
        <w:rPr>
          <w:rFonts w:hint="eastAsia" w:ascii="仿宋_GB2312" w:eastAsia="仿宋_GB2312"/>
          <w:sz w:val="28"/>
        </w:rPr>
        <w:t xml:space="preserve">市                                    </w:t>
      </w:r>
    </w:p>
    <w:p>
      <w:pPr>
        <w:spacing w:line="600" w:lineRule="exact"/>
        <w:rPr>
          <w:rFonts w:hint="eastAsia" w:ascii="仿宋_GB2312" w:eastAsia="仿宋_GB2312"/>
          <w:sz w:val="28"/>
        </w:rPr>
      </w:pPr>
    </w:p>
    <w:tbl>
      <w:tblPr>
        <w:tblStyle w:val="6"/>
        <w:tblW w:w="14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920"/>
        <w:gridCol w:w="4962"/>
        <w:gridCol w:w="2409"/>
        <w:gridCol w:w="3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90" w:type="dxa"/>
            <w:vAlign w:val="center"/>
          </w:tcPr>
          <w:p>
            <w:pPr>
              <w:spacing w:line="600" w:lineRule="exact"/>
              <w:jc w:val="center"/>
              <w:rPr>
                <w:rFonts w:hint="eastAsia" w:ascii="黑体" w:eastAsia="黑体"/>
                <w:sz w:val="24"/>
                <w:szCs w:val="24"/>
              </w:rPr>
            </w:pPr>
            <w:r>
              <w:rPr>
                <w:rFonts w:hint="eastAsia" w:ascii="黑体" w:eastAsia="黑体"/>
                <w:sz w:val="24"/>
                <w:szCs w:val="24"/>
              </w:rPr>
              <w:t>存在问题的单位名称</w:t>
            </w:r>
          </w:p>
        </w:tc>
        <w:tc>
          <w:tcPr>
            <w:tcW w:w="920" w:type="dxa"/>
            <w:vAlign w:val="center"/>
          </w:tcPr>
          <w:p>
            <w:pPr>
              <w:spacing w:line="600" w:lineRule="exact"/>
              <w:jc w:val="center"/>
              <w:rPr>
                <w:rFonts w:hint="eastAsia" w:ascii="黑体" w:eastAsia="黑体"/>
                <w:sz w:val="24"/>
                <w:szCs w:val="24"/>
              </w:rPr>
            </w:pPr>
            <w:r>
              <w:rPr>
                <w:rFonts w:hint="eastAsia" w:ascii="黑体" w:eastAsia="黑体"/>
                <w:sz w:val="24"/>
                <w:szCs w:val="24"/>
              </w:rPr>
              <w:t>类别</w:t>
            </w:r>
          </w:p>
        </w:tc>
        <w:tc>
          <w:tcPr>
            <w:tcW w:w="4962" w:type="dxa"/>
            <w:vAlign w:val="center"/>
          </w:tcPr>
          <w:p>
            <w:pPr>
              <w:spacing w:line="600" w:lineRule="exact"/>
              <w:jc w:val="center"/>
              <w:rPr>
                <w:rFonts w:hint="eastAsia" w:ascii="黑体" w:eastAsia="黑体"/>
                <w:sz w:val="24"/>
                <w:szCs w:val="24"/>
              </w:rPr>
            </w:pPr>
            <w:r>
              <w:rPr>
                <w:rFonts w:hint="eastAsia" w:ascii="黑体" w:eastAsia="黑体"/>
                <w:sz w:val="24"/>
                <w:szCs w:val="24"/>
              </w:rPr>
              <w:t>具体存在问题</w:t>
            </w:r>
          </w:p>
        </w:tc>
        <w:tc>
          <w:tcPr>
            <w:tcW w:w="2409" w:type="dxa"/>
            <w:vAlign w:val="center"/>
          </w:tcPr>
          <w:p>
            <w:pPr>
              <w:spacing w:line="600" w:lineRule="exact"/>
              <w:jc w:val="center"/>
              <w:rPr>
                <w:rFonts w:hint="eastAsia" w:ascii="黑体" w:eastAsia="黑体"/>
                <w:sz w:val="24"/>
                <w:szCs w:val="24"/>
              </w:rPr>
            </w:pPr>
            <w:r>
              <w:rPr>
                <w:rFonts w:hint="eastAsia" w:ascii="黑体" w:eastAsia="黑体"/>
                <w:sz w:val="24"/>
                <w:szCs w:val="24"/>
              </w:rPr>
              <w:t>处理结果</w:t>
            </w:r>
          </w:p>
        </w:tc>
        <w:tc>
          <w:tcPr>
            <w:tcW w:w="3741" w:type="dxa"/>
            <w:vAlign w:val="center"/>
          </w:tcPr>
          <w:p>
            <w:pPr>
              <w:spacing w:line="600" w:lineRule="exact"/>
              <w:jc w:val="center"/>
              <w:rPr>
                <w:rFonts w:hint="eastAsia" w:ascii="黑体" w:eastAsia="黑体"/>
                <w:sz w:val="24"/>
                <w:szCs w:val="24"/>
              </w:rPr>
            </w:pPr>
            <w:r>
              <w:rPr>
                <w:rFonts w:hint="eastAsia" w:ascii="黑体" w:eastAsia="黑体"/>
                <w:sz w:val="24"/>
                <w:szCs w:val="24"/>
              </w:rPr>
              <w:t>具体整改情况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590" w:type="dxa"/>
            <w:vAlign w:val="center"/>
          </w:tcPr>
          <w:p>
            <w:pPr>
              <w:spacing w:line="600" w:lineRule="exact"/>
              <w:jc w:val="center"/>
              <w:rPr>
                <w:rFonts w:hint="eastAsia" w:ascii="黑体" w:eastAsia="黑体"/>
                <w:sz w:val="24"/>
                <w:szCs w:val="24"/>
              </w:rPr>
            </w:pPr>
          </w:p>
        </w:tc>
        <w:tc>
          <w:tcPr>
            <w:tcW w:w="920" w:type="dxa"/>
            <w:vAlign w:val="top"/>
          </w:tcPr>
          <w:p>
            <w:pPr>
              <w:spacing w:line="600" w:lineRule="exact"/>
              <w:jc w:val="center"/>
              <w:rPr>
                <w:rFonts w:hint="eastAsia" w:ascii="黑体" w:eastAsia="黑体"/>
                <w:sz w:val="24"/>
                <w:szCs w:val="24"/>
              </w:rPr>
            </w:pPr>
          </w:p>
        </w:tc>
        <w:tc>
          <w:tcPr>
            <w:tcW w:w="4962" w:type="dxa"/>
            <w:vAlign w:val="center"/>
          </w:tcPr>
          <w:p>
            <w:pPr>
              <w:spacing w:line="600" w:lineRule="exact"/>
              <w:jc w:val="center"/>
              <w:rPr>
                <w:rFonts w:hint="eastAsia" w:ascii="黑体" w:eastAsia="黑体"/>
                <w:sz w:val="24"/>
                <w:szCs w:val="24"/>
              </w:rPr>
            </w:pPr>
          </w:p>
        </w:tc>
        <w:tc>
          <w:tcPr>
            <w:tcW w:w="2409" w:type="dxa"/>
            <w:vAlign w:val="center"/>
          </w:tcPr>
          <w:p>
            <w:pPr>
              <w:spacing w:line="600" w:lineRule="exact"/>
              <w:jc w:val="center"/>
              <w:rPr>
                <w:rFonts w:hint="eastAsia" w:ascii="黑体" w:eastAsia="黑体"/>
                <w:sz w:val="24"/>
                <w:szCs w:val="24"/>
              </w:rPr>
            </w:pPr>
          </w:p>
        </w:tc>
        <w:tc>
          <w:tcPr>
            <w:tcW w:w="3741" w:type="dxa"/>
            <w:vAlign w:val="center"/>
          </w:tcPr>
          <w:p>
            <w:pPr>
              <w:spacing w:line="600" w:lineRule="exac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spacing w:line="600" w:lineRule="exact"/>
              <w:jc w:val="center"/>
              <w:rPr>
                <w:rFonts w:hint="eastAsia" w:ascii="黑体" w:eastAsia="黑体"/>
                <w:sz w:val="24"/>
                <w:szCs w:val="24"/>
              </w:rPr>
            </w:pPr>
          </w:p>
        </w:tc>
        <w:tc>
          <w:tcPr>
            <w:tcW w:w="920" w:type="dxa"/>
            <w:vAlign w:val="top"/>
          </w:tcPr>
          <w:p>
            <w:pPr>
              <w:spacing w:line="600" w:lineRule="exact"/>
              <w:jc w:val="center"/>
              <w:rPr>
                <w:rFonts w:hint="eastAsia" w:ascii="黑体" w:eastAsia="黑体"/>
                <w:sz w:val="24"/>
                <w:szCs w:val="24"/>
              </w:rPr>
            </w:pPr>
          </w:p>
        </w:tc>
        <w:tc>
          <w:tcPr>
            <w:tcW w:w="4962" w:type="dxa"/>
            <w:vAlign w:val="center"/>
          </w:tcPr>
          <w:p>
            <w:pPr>
              <w:spacing w:line="600" w:lineRule="exact"/>
              <w:jc w:val="center"/>
              <w:rPr>
                <w:rFonts w:hint="eastAsia" w:ascii="黑体" w:eastAsia="黑体"/>
                <w:sz w:val="24"/>
                <w:szCs w:val="24"/>
              </w:rPr>
            </w:pPr>
          </w:p>
        </w:tc>
        <w:tc>
          <w:tcPr>
            <w:tcW w:w="2409" w:type="dxa"/>
            <w:vAlign w:val="center"/>
          </w:tcPr>
          <w:p>
            <w:pPr>
              <w:spacing w:line="600" w:lineRule="exact"/>
              <w:jc w:val="center"/>
              <w:rPr>
                <w:rFonts w:hint="eastAsia" w:ascii="黑体" w:eastAsia="黑体"/>
                <w:sz w:val="24"/>
                <w:szCs w:val="24"/>
              </w:rPr>
            </w:pPr>
          </w:p>
        </w:tc>
        <w:tc>
          <w:tcPr>
            <w:tcW w:w="3741" w:type="dxa"/>
            <w:vAlign w:val="center"/>
          </w:tcPr>
          <w:p>
            <w:pPr>
              <w:spacing w:line="600" w:lineRule="exac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spacing w:line="600" w:lineRule="exact"/>
              <w:jc w:val="center"/>
              <w:rPr>
                <w:rFonts w:hint="eastAsia" w:ascii="黑体" w:eastAsia="黑体"/>
                <w:sz w:val="24"/>
                <w:szCs w:val="24"/>
              </w:rPr>
            </w:pPr>
          </w:p>
        </w:tc>
        <w:tc>
          <w:tcPr>
            <w:tcW w:w="920" w:type="dxa"/>
            <w:vAlign w:val="top"/>
          </w:tcPr>
          <w:p>
            <w:pPr>
              <w:spacing w:line="600" w:lineRule="exact"/>
              <w:jc w:val="center"/>
              <w:rPr>
                <w:rFonts w:hint="eastAsia" w:ascii="黑体" w:eastAsia="黑体"/>
                <w:sz w:val="24"/>
                <w:szCs w:val="24"/>
              </w:rPr>
            </w:pPr>
          </w:p>
        </w:tc>
        <w:tc>
          <w:tcPr>
            <w:tcW w:w="4962" w:type="dxa"/>
            <w:vAlign w:val="center"/>
          </w:tcPr>
          <w:p>
            <w:pPr>
              <w:spacing w:line="600" w:lineRule="exact"/>
              <w:jc w:val="center"/>
              <w:rPr>
                <w:rFonts w:hint="eastAsia" w:ascii="黑体" w:eastAsia="黑体"/>
                <w:sz w:val="24"/>
                <w:szCs w:val="24"/>
              </w:rPr>
            </w:pPr>
          </w:p>
        </w:tc>
        <w:tc>
          <w:tcPr>
            <w:tcW w:w="2409" w:type="dxa"/>
            <w:vAlign w:val="center"/>
          </w:tcPr>
          <w:p>
            <w:pPr>
              <w:spacing w:line="600" w:lineRule="exact"/>
              <w:jc w:val="center"/>
              <w:rPr>
                <w:rFonts w:hint="eastAsia" w:ascii="黑体" w:eastAsia="黑体"/>
                <w:sz w:val="24"/>
                <w:szCs w:val="24"/>
              </w:rPr>
            </w:pPr>
          </w:p>
        </w:tc>
        <w:tc>
          <w:tcPr>
            <w:tcW w:w="3741" w:type="dxa"/>
            <w:vAlign w:val="center"/>
          </w:tcPr>
          <w:p>
            <w:pPr>
              <w:spacing w:line="600" w:lineRule="exac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spacing w:line="600" w:lineRule="exact"/>
              <w:jc w:val="center"/>
              <w:rPr>
                <w:rFonts w:hint="eastAsia" w:ascii="黑体" w:eastAsia="黑体"/>
                <w:sz w:val="24"/>
                <w:szCs w:val="24"/>
              </w:rPr>
            </w:pPr>
          </w:p>
        </w:tc>
        <w:tc>
          <w:tcPr>
            <w:tcW w:w="920" w:type="dxa"/>
            <w:vAlign w:val="top"/>
          </w:tcPr>
          <w:p>
            <w:pPr>
              <w:spacing w:line="600" w:lineRule="exact"/>
              <w:jc w:val="center"/>
              <w:rPr>
                <w:rFonts w:hint="eastAsia" w:ascii="黑体" w:eastAsia="黑体"/>
                <w:sz w:val="24"/>
                <w:szCs w:val="24"/>
              </w:rPr>
            </w:pPr>
          </w:p>
        </w:tc>
        <w:tc>
          <w:tcPr>
            <w:tcW w:w="4962" w:type="dxa"/>
            <w:vAlign w:val="center"/>
          </w:tcPr>
          <w:p>
            <w:pPr>
              <w:spacing w:line="600" w:lineRule="exact"/>
              <w:jc w:val="center"/>
              <w:rPr>
                <w:rFonts w:hint="eastAsia" w:ascii="黑体" w:eastAsia="黑体"/>
                <w:sz w:val="24"/>
                <w:szCs w:val="24"/>
              </w:rPr>
            </w:pPr>
          </w:p>
        </w:tc>
        <w:tc>
          <w:tcPr>
            <w:tcW w:w="2409" w:type="dxa"/>
            <w:vAlign w:val="center"/>
          </w:tcPr>
          <w:p>
            <w:pPr>
              <w:spacing w:line="600" w:lineRule="exact"/>
              <w:jc w:val="center"/>
              <w:rPr>
                <w:rFonts w:hint="eastAsia" w:ascii="黑体" w:eastAsia="黑体"/>
                <w:sz w:val="24"/>
                <w:szCs w:val="24"/>
              </w:rPr>
            </w:pPr>
          </w:p>
        </w:tc>
        <w:tc>
          <w:tcPr>
            <w:tcW w:w="3741" w:type="dxa"/>
            <w:vAlign w:val="center"/>
          </w:tcPr>
          <w:p>
            <w:pPr>
              <w:spacing w:line="600" w:lineRule="exac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spacing w:line="600" w:lineRule="exact"/>
              <w:jc w:val="center"/>
              <w:rPr>
                <w:rFonts w:hint="eastAsia" w:ascii="仿宋" w:eastAsia="仿宋"/>
                <w:sz w:val="32"/>
                <w:szCs w:val="32"/>
              </w:rPr>
            </w:pPr>
          </w:p>
        </w:tc>
        <w:tc>
          <w:tcPr>
            <w:tcW w:w="920" w:type="dxa"/>
            <w:vAlign w:val="top"/>
          </w:tcPr>
          <w:p>
            <w:pPr>
              <w:spacing w:line="600" w:lineRule="exact"/>
              <w:jc w:val="center"/>
              <w:rPr>
                <w:rFonts w:hint="eastAsia" w:ascii="仿宋" w:eastAsia="仿宋"/>
                <w:sz w:val="32"/>
                <w:szCs w:val="32"/>
              </w:rPr>
            </w:pPr>
          </w:p>
        </w:tc>
        <w:tc>
          <w:tcPr>
            <w:tcW w:w="4962" w:type="dxa"/>
            <w:vAlign w:val="center"/>
          </w:tcPr>
          <w:p>
            <w:pPr>
              <w:spacing w:line="600" w:lineRule="exact"/>
              <w:jc w:val="center"/>
              <w:rPr>
                <w:rFonts w:hint="eastAsia" w:ascii="仿宋" w:eastAsia="仿宋"/>
                <w:sz w:val="32"/>
                <w:szCs w:val="32"/>
              </w:rPr>
            </w:pPr>
          </w:p>
        </w:tc>
        <w:tc>
          <w:tcPr>
            <w:tcW w:w="2409" w:type="dxa"/>
            <w:vAlign w:val="center"/>
          </w:tcPr>
          <w:p>
            <w:pPr>
              <w:spacing w:line="600" w:lineRule="exact"/>
              <w:jc w:val="center"/>
              <w:rPr>
                <w:rFonts w:hint="eastAsia" w:ascii="仿宋" w:eastAsia="仿宋"/>
                <w:sz w:val="32"/>
                <w:szCs w:val="32"/>
              </w:rPr>
            </w:pPr>
          </w:p>
        </w:tc>
        <w:tc>
          <w:tcPr>
            <w:tcW w:w="3741" w:type="dxa"/>
            <w:vAlign w:val="center"/>
          </w:tcPr>
          <w:p>
            <w:pPr>
              <w:spacing w:line="600" w:lineRule="exact"/>
              <w:jc w:val="center"/>
              <w:rPr>
                <w:rFonts w:hint="eastAsia" w:asci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spacing w:line="600" w:lineRule="exact"/>
              <w:jc w:val="center"/>
              <w:rPr>
                <w:rFonts w:hint="eastAsia" w:ascii="仿宋" w:eastAsia="仿宋"/>
                <w:sz w:val="32"/>
                <w:szCs w:val="32"/>
              </w:rPr>
            </w:pPr>
          </w:p>
        </w:tc>
        <w:tc>
          <w:tcPr>
            <w:tcW w:w="920" w:type="dxa"/>
            <w:vAlign w:val="top"/>
          </w:tcPr>
          <w:p>
            <w:pPr>
              <w:spacing w:line="600" w:lineRule="exact"/>
              <w:jc w:val="center"/>
              <w:rPr>
                <w:rFonts w:hint="eastAsia" w:ascii="仿宋" w:eastAsia="仿宋"/>
                <w:sz w:val="32"/>
                <w:szCs w:val="32"/>
              </w:rPr>
            </w:pPr>
          </w:p>
        </w:tc>
        <w:tc>
          <w:tcPr>
            <w:tcW w:w="4962" w:type="dxa"/>
            <w:vAlign w:val="center"/>
          </w:tcPr>
          <w:p>
            <w:pPr>
              <w:spacing w:line="600" w:lineRule="exact"/>
              <w:jc w:val="center"/>
              <w:rPr>
                <w:rFonts w:hint="eastAsia" w:ascii="仿宋" w:eastAsia="仿宋"/>
                <w:sz w:val="32"/>
                <w:szCs w:val="32"/>
              </w:rPr>
            </w:pPr>
          </w:p>
        </w:tc>
        <w:tc>
          <w:tcPr>
            <w:tcW w:w="2409" w:type="dxa"/>
            <w:vAlign w:val="center"/>
          </w:tcPr>
          <w:p>
            <w:pPr>
              <w:spacing w:line="600" w:lineRule="exact"/>
              <w:jc w:val="center"/>
              <w:rPr>
                <w:rFonts w:hint="eastAsia" w:ascii="仿宋" w:eastAsia="仿宋"/>
                <w:sz w:val="32"/>
                <w:szCs w:val="32"/>
              </w:rPr>
            </w:pPr>
          </w:p>
        </w:tc>
        <w:tc>
          <w:tcPr>
            <w:tcW w:w="3741" w:type="dxa"/>
            <w:vAlign w:val="center"/>
          </w:tcPr>
          <w:p>
            <w:pPr>
              <w:spacing w:line="600" w:lineRule="exact"/>
              <w:jc w:val="center"/>
              <w:rPr>
                <w:rFonts w:hint="eastAsia" w:ascii="仿宋" w:eastAsia="仿宋"/>
                <w:sz w:val="32"/>
                <w:szCs w:val="32"/>
              </w:rPr>
            </w:pPr>
          </w:p>
        </w:tc>
      </w:tr>
    </w:tbl>
    <w:p>
      <w:pPr>
        <w:spacing w:line="600" w:lineRule="exact"/>
        <w:ind w:left="-315" w:leftChars="-150" w:firstLine="560" w:firstLineChars="200"/>
        <w:rPr>
          <w:rFonts w:hint="eastAsia" w:ascii="仿宋_GB2312" w:eastAsia="仿宋_GB2312" w:cs="宋体"/>
          <w:bCs/>
          <w:kern w:val="0"/>
          <w:sz w:val="28"/>
          <w:szCs w:val="28"/>
        </w:rPr>
      </w:pPr>
      <w:r>
        <w:rPr>
          <w:rFonts w:hint="eastAsia" w:ascii="仿宋_GB2312" w:eastAsia="仿宋_GB2312" w:cs="宋体"/>
          <w:bCs/>
          <w:kern w:val="0"/>
          <w:sz w:val="28"/>
          <w:szCs w:val="28"/>
        </w:rPr>
        <w:t xml:space="preserve">注：处理结果包括下达意见书和具体行政处罚内容。   </w:t>
      </w:r>
    </w:p>
    <w:p>
      <w:pPr>
        <w:spacing w:line="600" w:lineRule="exact"/>
        <w:ind w:left="-315" w:leftChars="-150" w:firstLine="560" w:firstLineChars="200"/>
        <w:rPr>
          <w:rFonts w:hint="eastAsia"/>
        </w:rPr>
      </w:pPr>
      <w:r>
        <w:rPr>
          <w:rFonts w:hint="eastAsia" w:ascii="仿宋_GB2312" w:eastAsia="仿宋_GB2312"/>
          <w:sz w:val="28"/>
          <w:szCs w:val="28"/>
        </w:rPr>
        <w:t>日期：                                  填表人：                  联系电话：</w:t>
      </w:r>
    </w:p>
    <w:p/>
    <w:sectPr>
      <w:footerReference r:id="rId3" w:type="default"/>
      <w:pgSz w:w="16838" w:h="11906" w:orient="landscape"/>
      <w:pgMar w:top="1701" w:right="1418"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9525">
                        <a:noFill/>
                      </a:ln>
                    </wps:spPr>
                    <wps:txbx>
                      <w:txbxContent>
                        <w:p>
                          <w:pPr>
                            <w:pStyle w:val="4"/>
                            <w:rPr>
                              <w:rFonts w:hint="eastAsia" w:ascii="宋体" w:eastAsia="宋体" w:cs="宋体"/>
                              <w:sz w:val="28"/>
                              <w:szCs w:val="28"/>
                            </w:rPr>
                          </w:pPr>
                          <w:r>
                            <w:rPr>
                              <w:rFonts w:hint="eastAsia" w:ascii="宋体" w:eastAsia="宋体" w:cs="宋体"/>
                              <w:sz w:val="28"/>
                              <w:szCs w:val="28"/>
                            </w:rPr>
                            <w:t>—</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4</w:t>
                          </w:r>
                          <w:r>
                            <w:rPr>
                              <w:rFonts w:hint="eastAsia" w:ascii="宋体" w:eastAsia="宋体" w:cs="宋体"/>
                              <w:sz w:val="28"/>
                              <w:szCs w:val="28"/>
                            </w:rPr>
                            <w:fldChar w:fldCharType="end"/>
                          </w:r>
                          <w:r>
                            <w:rPr>
                              <w:rFonts w:hint="eastAsia" w:ascii="宋体" w:eastAsia="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8240;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n30Fj1gEAAKADAAAOAAAAZHJzL2Uyb0RvYy54bWytU82O0zAQviPx&#10;DpbvNEl3gyBqugJVi5AQIC08gOvYjSX/yeM26QvAG3Diwp3n6nMwdtLuaveyBy7OeGb8zXzfTFY3&#10;o9HkIAIoZ1taLUpKhOWuU3bX0u/fbl+9oQQisx3TzoqWHgXQm/XLF6vBN2Lpeqc7EQiCWGgG39I+&#10;Rt8UBfBeGAYL54XFoHTBsIjXsCu6wAZEN7pYluXrYnCh88FxAYDezRSkM2J4DqCTUnGxcXxvhI0T&#10;ahCaRaQEvfJA17lbKQWPX6QEEYluKTKN+cQiaG/TWaxXrNkF5nvF5xbYc1p4xMkwZbHoBWrDIiP7&#10;oJ5AGcWDAyfjgjtTTESyIsiiKh9pc9czLzIXlBr8RXT4f7D88+FrIKrDTaDEMoMDP/36efr99/Tn&#10;B6mSPIOHBrPuPObF8b0bU+rsB3Qm1qMMJn2RD8E4inu8iCvGSDg6r6/r6qqmhGNoeVXWZZ1QivvH&#10;PkD8IJwhyWhpwNllSdnhE8Qp9ZySall3q7RGP2u0JUNL39bLOj+4RBBcW6yRKEytJiuO23Huf+u6&#10;I9IacP4ttbjulOiPFuVNq3I2wtnYno29D2rXY49Vrgf+3T5iN7nJVGGCnQvj4DLNecnSZjy856z7&#10;H2v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OISfRAAAAAwEAAA8AAAAAAAAAAQAgAAAAIgAA&#10;AGRycy9kb3ducmV2LnhtbFBLAQIUABQAAAAIAIdO4kCn30Fj1gEAAKADAAAOAAAAAAAAAAEAIAAA&#10;ACABAABkcnMvZTJvRG9jLnhtbFBLBQYAAAAABgAGAFkBAABoBQAAAAA=&#10;">
              <v:fill on="f" focussize="0,0"/>
              <v:stroke on="f"/>
              <v:imagedata o:title=""/>
              <o:lock v:ext="edit" aspectratio="f"/>
              <v:textbox inset="0mm,0mm,0mm,0mm" style="mso-fit-shape-to-text:t;">
                <w:txbxContent>
                  <w:p>
                    <w:pPr>
                      <w:pStyle w:val="4"/>
                      <w:rPr>
                        <w:rFonts w:hint="eastAsia" w:ascii="宋体" w:eastAsia="宋体" w:cs="宋体"/>
                        <w:sz w:val="28"/>
                        <w:szCs w:val="28"/>
                      </w:rPr>
                    </w:pPr>
                    <w:r>
                      <w:rPr>
                        <w:rFonts w:hint="eastAsia" w:ascii="宋体" w:eastAsia="宋体" w:cs="宋体"/>
                        <w:sz w:val="28"/>
                        <w:szCs w:val="28"/>
                      </w:rPr>
                      <w:t>—</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4</w:t>
                    </w:r>
                    <w:r>
                      <w:rPr>
                        <w:rFonts w:hint="eastAsia" w:ascii="宋体" w:eastAsia="宋体" w:cs="宋体"/>
                        <w:sz w:val="28"/>
                        <w:szCs w:val="28"/>
                      </w:rPr>
                      <w:fldChar w:fldCharType="end"/>
                    </w:r>
                    <w:r>
                      <w:rPr>
                        <w:rFonts w:hint="eastAsia" w:asci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62AB8"/>
    <w:rsid w:val="21DF5668"/>
    <w:rsid w:val="32162AB8"/>
    <w:rsid w:val="5423628F"/>
    <w:rsid w:val="6ACD122A"/>
    <w:rsid w:val="6D3F1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Arial"/>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sz w:val="52"/>
    </w:rPr>
  </w:style>
  <w:style w:type="paragraph" w:styleId="3">
    <w:name w:val="Body Text Indent"/>
    <w:basedOn w:val="1"/>
    <w:next w:val="1"/>
    <w:qFormat/>
    <w:uiPriority w:val="0"/>
    <w:pPr>
      <w:spacing w:after="120"/>
      <w:ind w:left="20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rPr>
  </w:style>
  <w:style w:type="character" w:styleId="8">
    <w:name w:val="Hyperlink"/>
    <w:qFormat/>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2021-01-08T09:43:00Z</dcterms:created>
  <dc:creator>文印室邮箱</dc:creator>
  <cp:lastModifiedBy>Dell</cp:lastModifiedBy>
  <cp:lastPrinted>2021-01-08T09:44:00Z</cp:lastPrinted>
  <dcterms:modified xsi:type="dcterms:W3CDTF">2021-01-08T10:06:28Z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