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6C8F4">
      <w:pPr>
        <w:spacing w:line="480" w:lineRule="auto"/>
        <w:jc w:val="center"/>
        <w:rPr>
          <w:rFonts w:hint="eastAsia" w:ascii="宋体" w:hAnsi="宋体" w:cs="宋体"/>
          <w:b/>
          <w:bCs/>
          <w:color w:val="auto"/>
          <w:sz w:val="48"/>
          <w:szCs w:val="48"/>
          <w:highlight w:val="none"/>
        </w:rPr>
      </w:pPr>
      <w:bookmarkStart w:id="0" w:name="OLE_LINK10"/>
      <w:r>
        <w:rPr>
          <w:rFonts w:hint="eastAsia" w:ascii="宋体" w:hAnsi="宋体" w:cs="宋体"/>
          <w:b/>
          <w:bCs/>
          <w:color w:val="auto"/>
          <w:sz w:val="48"/>
          <w:szCs w:val="48"/>
          <w:highlight w:val="none"/>
        </w:rPr>
        <w:t>广西同泽工程项目管理股份有限公司</w:t>
      </w:r>
    </w:p>
    <w:p w14:paraId="037AD6FC">
      <w:pPr>
        <w:spacing w:line="48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245110</wp:posOffset>
                </wp:positionV>
                <wp:extent cx="5944235" cy="8255"/>
                <wp:effectExtent l="0" t="28575" r="18415" b="39370"/>
                <wp:wrapNone/>
                <wp:docPr id="1" name="直接连接符 9"/>
                <wp:cNvGraphicFramePr/>
                <a:graphic xmlns:a="http://schemas.openxmlformats.org/drawingml/2006/main">
                  <a:graphicData uri="http://schemas.microsoft.com/office/word/2010/wordprocessingShape">
                    <wps:wsp>
                      <wps:cNvCnPr/>
                      <wps:spPr bwMode="auto">
                        <a:xfrm flipV="1">
                          <a:off x="0" y="0"/>
                          <a:ext cx="5944235" cy="8255"/>
                        </a:xfrm>
                        <a:prstGeom prst="line">
                          <a:avLst/>
                        </a:prstGeom>
                        <a:ln w="57150" cap="flat" cmpd="thickThin">
                          <a:solidFill>
                            <a:srgbClr val="000000"/>
                          </a:solidFill>
                          <a:prstDash val="solid"/>
                          <a:round/>
                          <a:headEnd type="none" w="med" len="med"/>
                          <a:tailEnd type="none" w="med" len="med"/>
                        </a:ln>
                        <a:effectLst/>
                      </wps:spPr>
                      <wps:bodyPr rot="0">
                        <a:noAutofit/>
                      </wps:bodyPr>
                    </wps:wsp>
                  </a:graphicData>
                </a:graphic>
              </wp:anchor>
            </w:drawing>
          </mc:Choice>
          <mc:Fallback>
            <w:pict>
              <v:line id="直接连接符 9" o:spid="_x0000_s1026" o:spt="20" style="position:absolute;left:0pt;flip:y;margin-left:-5.6pt;margin-top:19.3pt;height:0.65pt;width:468.05pt;z-index:251660288;mso-width-relative:page;mso-height-relative:page;" filled="f" stroked="t" coordsize="21600,21600" o:gfxdata="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bGwvTY&#10;AAAACQEAAA8AAAAAAAAAAQAgAAAAIgAAAGRycy9kb3ducmV2LnhtbFBLAQIUABQAAAAIAIdO4kCz&#10;SHLfIAIAADQEAAAOAAAAAAAAAAEAIAAAACcBAABkcnMvZTJvRG9jLnhtbFBLBQYAAAAABgAGAFkB&#10;AAC5BQAAAAA=&#10;">
                <v:fill on="f" focussize="0,0"/>
                <v:stroke weight="4.5pt" color="#000000" linestyle="thickThin" joinstyle="round"/>
                <v:imagedata o:title=""/>
                <o:lock v:ext="edit" aspectratio="f"/>
              </v:line>
            </w:pict>
          </mc:Fallback>
        </mc:AlternateContent>
      </w:r>
      <w:r>
        <w:rPr>
          <w:rFonts w:hint="eastAsia" w:ascii="宋体" w:hAnsi="宋体" w:cs="宋体"/>
          <w:b/>
          <w:bCs/>
          <w:color w:val="auto"/>
          <w:sz w:val="10"/>
          <w:highlight w:val="none"/>
        </w:rPr>
        <w:t xml:space="preserve">                                                                         </w:t>
      </w:r>
    </w:p>
    <w:p w14:paraId="3E249B03">
      <w:pPr>
        <w:spacing w:line="480" w:lineRule="auto"/>
        <w:ind w:left="3087" w:hanging="1388"/>
        <w:rPr>
          <w:rFonts w:hint="eastAsia" w:ascii="宋体" w:hAnsi="宋体" w:cs="宋体"/>
          <w:b/>
          <w:color w:val="auto"/>
          <w:sz w:val="32"/>
          <w:szCs w:val="32"/>
          <w:highlight w:val="none"/>
        </w:rPr>
      </w:pPr>
      <w:r>
        <w:rPr>
          <w:rFonts w:hint="eastAsia" w:ascii="宋体" w:hAnsi="宋体" w:cs="宋体"/>
          <w:b/>
          <w:bCs/>
          <w:color w:val="auto"/>
          <w:sz w:val="32"/>
          <w:highlight w:val="none"/>
        </w:rPr>
        <w:drawing>
          <wp:anchor distT="0" distB="0" distL="114300" distR="114300" simplePos="0" relativeHeight="251659264" behindDoc="1" locked="0" layoutInCell="1" allowOverlap="1">
            <wp:simplePos x="0" y="0"/>
            <wp:positionH relativeFrom="column">
              <wp:posOffset>1606550</wp:posOffset>
            </wp:positionH>
            <wp:positionV relativeFrom="paragraph">
              <wp:posOffset>184150</wp:posOffset>
            </wp:positionV>
            <wp:extent cx="2680970" cy="1790065"/>
            <wp:effectExtent l="0" t="0" r="5080" b="635"/>
            <wp:wrapTight wrapText="bothSides">
              <wp:wrapPolygon>
                <wp:start x="21592" y="-2"/>
                <wp:lineTo x="0" y="0"/>
                <wp:lineTo x="0" y="21600"/>
                <wp:lineTo x="21592" y="21602"/>
                <wp:lineTo x="8" y="21602"/>
                <wp:lineTo x="21600" y="21600"/>
                <wp:lineTo x="21600" y="0"/>
                <wp:lineTo x="8" y="-2"/>
                <wp:lineTo x="21592" y="-2"/>
              </wp:wrapPolygon>
            </wp:wrapTight>
            <wp:docPr id="2" name="图片 6"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公司logo"/>
                    <pic:cNvPicPr>
                      <a:picLocks noChangeAspect="1"/>
                    </pic:cNvPicPr>
                  </pic:nvPicPr>
                  <pic:blipFill>
                    <a:blip r:embed="rId8"/>
                    <a:stretch>
                      <a:fillRect/>
                    </a:stretch>
                  </pic:blipFill>
                  <pic:spPr>
                    <a:xfrm>
                      <a:off x="0" y="0"/>
                      <a:ext cx="2680970" cy="1790065"/>
                    </a:xfrm>
                    <a:prstGeom prst="rect">
                      <a:avLst/>
                    </a:prstGeom>
                    <a:noFill/>
                    <a:ln>
                      <a:noFill/>
                    </a:ln>
                  </pic:spPr>
                </pic:pic>
              </a:graphicData>
            </a:graphic>
          </wp:anchor>
        </w:drawing>
      </w:r>
    </w:p>
    <w:p w14:paraId="5B93ACEE">
      <w:pPr>
        <w:spacing w:line="480" w:lineRule="auto"/>
        <w:ind w:left="3087" w:hanging="1388"/>
        <w:rPr>
          <w:rFonts w:hint="eastAsia" w:ascii="宋体" w:hAnsi="宋体" w:cs="宋体"/>
          <w:b/>
          <w:color w:val="auto"/>
          <w:sz w:val="32"/>
          <w:szCs w:val="32"/>
          <w:highlight w:val="none"/>
        </w:rPr>
      </w:pPr>
    </w:p>
    <w:p w14:paraId="0C2188C6">
      <w:pPr>
        <w:pStyle w:val="23"/>
        <w:spacing w:line="480" w:lineRule="auto"/>
        <w:rPr>
          <w:rFonts w:hint="eastAsia" w:hAnsi="宋体" w:cs="宋体"/>
          <w:color w:val="auto"/>
          <w:sz w:val="96"/>
          <w:szCs w:val="96"/>
          <w:highlight w:val="none"/>
        </w:rPr>
      </w:pPr>
    </w:p>
    <w:p w14:paraId="1B1C342E">
      <w:pPr>
        <w:spacing w:before="156" w:line="480" w:lineRule="auto"/>
        <w:jc w:val="center"/>
        <w:rPr>
          <w:rFonts w:hint="eastAsia" w:ascii="宋体" w:hAnsi="宋体" w:cs="宋体"/>
          <w:color w:val="auto"/>
          <w:sz w:val="96"/>
          <w:szCs w:val="96"/>
          <w:highlight w:val="none"/>
        </w:rPr>
      </w:pPr>
      <w:r>
        <w:rPr>
          <w:rFonts w:hint="eastAsia" w:ascii="宋体" w:hAnsi="宋体" w:cs="宋体"/>
          <w:color w:val="auto"/>
          <w:sz w:val="96"/>
          <w:szCs w:val="96"/>
          <w:highlight w:val="none"/>
        </w:rPr>
        <w:t>竞争性磋商文件</w:t>
      </w:r>
    </w:p>
    <w:p w14:paraId="4A7B0F94">
      <w:pPr>
        <w:spacing w:line="48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eastAsia="zh-CN"/>
        </w:rPr>
        <w:t>2026年度委托外包服务</w:t>
      </w:r>
    </w:p>
    <w:p w14:paraId="50EF2BF8">
      <w:pPr>
        <w:spacing w:line="380" w:lineRule="exact"/>
        <w:rPr>
          <w:rFonts w:hint="eastAsia" w:ascii="宋体" w:hAnsi="宋体" w:cs="宋体"/>
          <w:b/>
          <w:color w:val="auto"/>
          <w:sz w:val="30"/>
          <w:szCs w:val="30"/>
          <w:highlight w:val="none"/>
        </w:rPr>
      </w:pPr>
      <w:r>
        <w:rPr>
          <w:rFonts w:hint="eastAsia" w:ascii="宋体" w:hAnsi="宋体" w:cs="宋体"/>
          <w:b/>
          <w:color w:val="auto"/>
          <w:sz w:val="30"/>
          <w:szCs w:val="30"/>
          <w:highlight w:val="none"/>
        </w:rPr>
        <w:t>项目编号：GXTZ-ZB-2025第（</w:t>
      </w:r>
      <w:r>
        <w:rPr>
          <w:rFonts w:hint="eastAsia" w:ascii="宋体" w:hAnsi="宋体" w:cs="宋体"/>
          <w:b/>
          <w:color w:val="auto"/>
          <w:sz w:val="30"/>
          <w:szCs w:val="30"/>
          <w:highlight w:val="none"/>
          <w:lang w:val="en-US" w:eastAsia="zh-CN"/>
        </w:rPr>
        <w:t>993</w:t>
      </w:r>
      <w:r>
        <w:rPr>
          <w:rFonts w:hint="eastAsia" w:ascii="宋体" w:hAnsi="宋体" w:cs="宋体"/>
          <w:b/>
          <w:color w:val="auto"/>
          <w:sz w:val="30"/>
          <w:szCs w:val="30"/>
          <w:highlight w:val="none"/>
        </w:rPr>
        <w:t>）号</w:t>
      </w:r>
    </w:p>
    <w:p w14:paraId="3516EC9B">
      <w:pPr>
        <w:spacing w:line="380" w:lineRule="exact"/>
        <w:rPr>
          <w:rFonts w:hint="eastAsia" w:ascii="宋体" w:hAnsi="宋体" w:cs="宋体"/>
          <w:b/>
          <w:color w:val="auto"/>
          <w:sz w:val="30"/>
          <w:szCs w:val="30"/>
          <w:highlight w:val="none"/>
        </w:rPr>
      </w:pPr>
    </w:p>
    <w:p w14:paraId="634A823D">
      <w:pPr>
        <w:spacing w:line="380" w:lineRule="exact"/>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采购人：</w:t>
      </w:r>
      <w:r>
        <w:rPr>
          <w:rFonts w:hint="eastAsia" w:ascii="宋体" w:hAnsi="宋体" w:eastAsia="宋体" w:cs="宋体"/>
          <w:b/>
          <w:color w:val="auto"/>
          <w:sz w:val="30"/>
          <w:szCs w:val="30"/>
          <w:highlight w:val="none"/>
        </w:rPr>
        <w:t>广西壮族自治区卫生健康委员会项目资金监管服务中心</w:t>
      </w:r>
    </w:p>
    <w:p w14:paraId="765DA784">
      <w:pPr>
        <w:spacing w:line="380" w:lineRule="exact"/>
        <w:rPr>
          <w:rFonts w:hint="eastAsia" w:ascii="宋体" w:hAnsi="宋体" w:cs="宋体"/>
          <w:b/>
          <w:color w:val="auto"/>
          <w:sz w:val="30"/>
          <w:szCs w:val="30"/>
          <w:highlight w:val="none"/>
        </w:rPr>
      </w:pPr>
    </w:p>
    <w:p w14:paraId="41E6E68B">
      <w:pPr>
        <w:spacing w:line="380" w:lineRule="exact"/>
        <w:rPr>
          <w:rFonts w:hint="eastAsia" w:ascii="宋体" w:hAnsi="宋体" w:cs="宋体"/>
          <w:b/>
          <w:color w:val="auto"/>
          <w:sz w:val="30"/>
          <w:szCs w:val="30"/>
          <w:highlight w:val="none"/>
        </w:rPr>
      </w:pPr>
      <w:r>
        <w:rPr>
          <w:rFonts w:hint="eastAsia" w:ascii="宋体" w:hAnsi="宋体" w:cs="宋体"/>
          <w:b/>
          <w:color w:val="auto"/>
          <w:sz w:val="30"/>
          <w:szCs w:val="30"/>
          <w:highlight w:val="none"/>
        </w:rPr>
        <w:t>采购代理机构：广西同泽工程项目管理股份有限公司</w:t>
      </w:r>
    </w:p>
    <w:p w14:paraId="5D719639">
      <w:pPr>
        <w:spacing w:line="380" w:lineRule="exact"/>
        <w:jc w:val="center"/>
        <w:rPr>
          <w:rFonts w:hint="eastAsia" w:ascii="宋体" w:hAnsi="宋体" w:cs="宋体"/>
          <w:b/>
          <w:color w:val="auto"/>
          <w:sz w:val="32"/>
          <w:szCs w:val="32"/>
          <w:highlight w:val="none"/>
        </w:rPr>
      </w:pPr>
    </w:p>
    <w:p w14:paraId="70599ED5">
      <w:pPr>
        <w:pStyle w:val="35"/>
        <w:spacing w:line="380" w:lineRule="exact"/>
        <w:ind w:left="282" w:hanging="198"/>
        <w:rPr>
          <w:rFonts w:hint="eastAsia" w:ascii="宋体" w:hAnsi="宋体" w:cs="宋体"/>
          <w:color w:val="auto"/>
          <w:highlight w:val="none"/>
        </w:rPr>
      </w:pPr>
    </w:p>
    <w:p w14:paraId="446F75F3">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月</w:t>
      </w:r>
    </w:p>
    <w:p w14:paraId="7387951F">
      <w:pPr>
        <w:jc w:val="center"/>
        <w:rPr>
          <w:rFonts w:hint="eastAsia" w:ascii="宋体" w:hAnsi="宋体" w:cs="宋体"/>
          <w:b/>
          <w:color w:val="auto"/>
          <w:sz w:val="44"/>
          <w:szCs w:val="44"/>
          <w:highlight w:val="none"/>
        </w:rPr>
      </w:pPr>
      <w:r>
        <w:rPr>
          <w:rFonts w:hint="eastAsia" w:ascii="宋体" w:hAnsi="宋体" w:cs="宋体"/>
          <w:b/>
          <w:color w:val="auto"/>
          <w:sz w:val="32"/>
          <w:szCs w:val="32"/>
          <w:highlight w:val="none"/>
        </w:rPr>
        <w:br w:type="page"/>
      </w:r>
      <w:bookmarkEnd w:id="0"/>
      <w:r>
        <w:rPr>
          <w:rFonts w:hint="eastAsia" w:ascii="宋体" w:hAnsi="宋体" w:cs="宋体"/>
          <w:b/>
          <w:color w:val="auto"/>
          <w:sz w:val="44"/>
          <w:szCs w:val="44"/>
          <w:highlight w:val="none"/>
        </w:rPr>
        <w:t>目   录</w:t>
      </w:r>
    </w:p>
    <w:p w14:paraId="0AA14411">
      <w:pPr>
        <w:spacing w:line="380" w:lineRule="exact"/>
        <w:jc w:val="center"/>
        <w:rPr>
          <w:rFonts w:hint="eastAsia" w:ascii="宋体" w:hAnsi="宋体" w:cs="宋体"/>
          <w:color w:val="auto"/>
          <w:sz w:val="28"/>
          <w:szCs w:val="44"/>
          <w:highlight w:val="none"/>
        </w:rPr>
      </w:pPr>
    </w:p>
    <w:p w14:paraId="6DDE949E">
      <w:pPr>
        <w:pStyle w:val="36"/>
        <w:tabs>
          <w:tab w:val="right" w:leader="dot" w:pos="8879"/>
          <w:tab w:val="clear" w:pos="8296"/>
        </w:tabs>
        <w:spacing w:line="900" w:lineRule="exact"/>
        <w:rPr>
          <w:rFonts w:hint="eastAsia" w:ascii="宋体" w:hAnsi="宋体" w:cs="宋体"/>
          <w:color w:val="auto"/>
          <w:sz w:val="36"/>
          <w:szCs w:val="36"/>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HYPERLINK \l _Toc20367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第一章 竞争性磋商公告</w:t>
      </w:r>
      <w:r>
        <w:rPr>
          <w:rFonts w:hint="eastAsia" w:ascii="宋体" w:hAnsi="宋体" w:cs="宋体"/>
          <w:color w:val="auto"/>
          <w:sz w:val="36"/>
          <w:szCs w:val="36"/>
          <w:highlight w:val="none"/>
        </w:rPr>
        <w:tab/>
      </w: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PAGEREF _Toc20367 \h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3</w:t>
      </w:r>
      <w:r>
        <w:rPr>
          <w:rFonts w:hint="eastAsia" w:ascii="宋体" w:hAnsi="宋体" w:cs="宋体"/>
          <w:color w:val="auto"/>
          <w:sz w:val="36"/>
          <w:szCs w:val="36"/>
          <w:highlight w:val="none"/>
        </w:rPr>
        <w:fldChar w:fldCharType="end"/>
      </w:r>
      <w:r>
        <w:rPr>
          <w:rFonts w:hint="eastAsia" w:ascii="宋体" w:hAnsi="宋体" w:cs="宋体"/>
          <w:color w:val="auto"/>
          <w:sz w:val="36"/>
          <w:szCs w:val="36"/>
          <w:highlight w:val="none"/>
        </w:rPr>
        <w:fldChar w:fldCharType="end"/>
      </w:r>
    </w:p>
    <w:p w14:paraId="34DEA5E9">
      <w:pPr>
        <w:pStyle w:val="36"/>
        <w:tabs>
          <w:tab w:val="right" w:leader="dot" w:pos="8879"/>
          <w:tab w:val="clear" w:pos="8296"/>
        </w:tabs>
        <w:spacing w:line="900" w:lineRule="exact"/>
        <w:rPr>
          <w:rFonts w:hint="eastAsia" w:ascii="宋体" w:hAnsi="宋体" w:cs="宋体"/>
          <w:color w:val="auto"/>
          <w:sz w:val="36"/>
          <w:szCs w:val="36"/>
          <w:highlight w:val="none"/>
        </w:rPr>
      </w:pP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HYPERLINK \l _Toc10088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第二章 供应商须知</w:t>
      </w:r>
      <w:r>
        <w:rPr>
          <w:rFonts w:hint="eastAsia" w:ascii="宋体" w:hAnsi="宋体" w:cs="宋体"/>
          <w:color w:val="auto"/>
          <w:sz w:val="36"/>
          <w:szCs w:val="36"/>
          <w:highlight w:val="none"/>
        </w:rPr>
        <w:tab/>
      </w: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PAGEREF _Toc10088 \h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6</w:t>
      </w:r>
      <w:r>
        <w:rPr>
          <w:rFonts w:hint="eastAsia" w:ascii="宋体" w:hAnsi="宋体" w:cs="宋体"/>
          <w:color w:val="auto"/>
          <w:sz w:val="36"/>
          <w:szCs w:val="36"/>
          <w:highlight w:val="none"/>
        </w:rPr>
        <w:fldChar w:fldCharType="end"/>
      </w:r>
      <w:r>
        <w:rPr>
          <w:rFonts w:hint="eastAsia" w:ascii="宋体" w:hAnsi="宋体" w:cs="宋体"/>
          <w:color w:val="auto"/>
          <w:sz w:val="36"/>
          <w:szCs w:val="36"/>
          <w:highlight w:val="none"/>
        </w:rPr>
        <w:fldChar w:fldCharType="end"/>
      </w:r>
    </w:p>
    <w:p w14:paraId="37EFE025">
      <w:pPr>
        <w:pStyle w:val="36"/>
        <w:tabs>
          <w:tab w:val="right" w:leader="dot" w:pos="8879"/>
          <w:tab w:val="clear" w:pos="8296"/>
        </w:tabs>
        <w:spacing w:line="900" w:lineRule="exact"/>
        <w:rPr>
          <w:rFonts w:hint="eastAsia" w:ascii="宋体" w:hAnsi="宋体" w:cs="宋体"/>
          <w:color w:val="auto"/>
          <w:sz w:val="36"/>
          <w:szCs w:val="36"/>
          <w:highlight w:val="none"/>
        </w:rPr>
      </w:pP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HYPERLINK \l _Toc11903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第三章 采购需求</w:t>
      </w:r>
      <w:r>
        <w:rPr>
          <w:rFonts w:hint="eastAsia" w:ascii="宋体" w:hAnsi="宋体" w:cs="宋体"/>
          <w:color w:val="auto"/>
          <w:sz w:val="36"/>
          <w:szCs w:val="36"/>
          <w:highlight w:val="none"/>
        </w:rPr>
        <w:tab/>
      </w: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PAGEREF _Toc11903 \h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22</w:t>
      </w:r>
      <w:r>
        <w:rPr>
          <w:rFonts w:hint="eastAsia" w:ascii="宋体" w:hAnsi="宋体" w:cs="宋体"/>
          <w:color w:val="auto"/>
          <w:sz w:val="36"/>
          <w:szCs w:val="36"/>
          <w:highlight w:val="none"/>
        </w:rPr>
        <w:fldChar w:fldCharType="end"/>
      </w:r>
      <w:r>
        <w:rPr>
          <w:rFonts w:hint="eastAsia" w:ascii="宋体" w:hAnsi="宋体" w:cs="宋体"/>
          <w:color w:val="auto"/>
          <w:sz w:val="36"/>
          <w:szCs w:val="36"/>
          <w:highlight w:val="none"/>
        </w:rPr>
        <w:fldChar w:fldCharType="end"/>
      </w:r>
    </w:p>
    <w:p w14:paraId="525F1E69">
      <w:pPr>
        <w:pStyle w:val="36"/>
        <w:tabs>
          <w:tab w:val="right" w:leader="dot" w:pos="8879"/>
          <w:tab w:val="clear" w:pos="8296"/>
        </w:tabs>
        <w:spacing w:line="900" w:lineRule="exact"/>
        <w:rPr>
          <w:rFonts w:hint="eastAsia" w:ascii="宋体" w:hAnsi="宋体" w:cs="宋体"/>
          <w:color w:val="auto"/>
          <w:sz w:val="36"/>
          <w:szCs w:val="36"/>
          <w:highlight w:val="none"/>
        </w:rPr>
      </w:pP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HYPERLINK \l _Toc30665 </w:instrText>
      </w:r>
      <w:r>
        <w:rPr>
          <w:rFonts w:hint="eastAsia" w:ascii="宋体" w:hAnsi="宋体" w:cs="宋体"/>
          <w:color w:val="auto"/>
          <w:sz w:val="36"/>
          <w:szCs w:val="36"/>
          <w:highlight w:val="none"/>
        </w:rPr>
        <w:fldChar w:fldCharType="separate"/>
      </w:r>
      <w:r>
        <w:rPr>
          <w:rFonts w:hint="eastAsia" w:ascii="宋体" w:hAnsi="宋体" w:cs="宋体"/>
          <w:bCs/>
          <w:color w:val="auto"/>
          <w:sz w:val="36"/>
          <w:szCs w:val="36"/>
          <w:highlight w:val="none"/>
        </w:rPr>
        <w:t>第四章 评审程序、评审方法和评审标准</w:t>
      </w:r>
      <w:r>
        <w:rPr>
          <w:rFonts w:hint="eastAsia" w:ascii="宋体" w:hAnsi="宋体" w:cs="宋体"/>
          <w:color w:val="auto"/>
          <w:sz w:val="36"/>
          <w:szCs w:val="36"/>
          <w:highlight w:val="none"/>
        </w:rPr>
        <w:tab/>
      </w: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PAGEREF _Toc30665 \h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27</w:t>
      </w:r>
      <w:r>
        <w:rPr>
          <w:rFonts w:hint="eastAsia" w:ascii="宋体" w:hAnsi="宋体" w:cs="宋体"/>
          <w:color w:val="auto"/>
          <w:sz w:val="36"/>
          <w:szCs w:val="36"/>
          <w:highlight w:val="none"/>
        </w:rPr>
        <w:fldChar w:fldCharType="end"/>
      </w:r>
      <w:r>
        <w:rPr>
          <w:rFonts w:hint="eastAsia" w:ascii="宋体" w:hAnsi="宋体" w:cs="宋体"/>
          <w:color w:val="auto"/>
          <w:sz w:val="36"/>
          <w:szCs w:val="36"/>
          <w:highlight w:val="none"/>
        </w:rPr>
        <w:fldChar w:fldCharType="end"/>
      </w:r>
    </w:p>
    <w:p w14:paraId="6DD0C907">
      <w:pPr>
        <w:pStyle w:val="36"/>
        <w:tabs>
          <w:tab w:val="right" w:leader="dot" w:pos="8879"/>
          <w:tab w:val="clear" w:pos="8296"/>
        </w:tabs>
        <w:spacing w:line="900" w:lineRule="exact"/>
        <w:rPr>
          <w:rFonts w:hint="eastAsia" w:ascii="宋体" w:hAnsi="宋体" w:cs="宋体"/>
          <w:color w:val="auto"/>
          <w:sz w:val="36"/>
          <w:szCs w:val="36"/>
          <w:highlight w:val="none"/>
        </w:rPr>
      </w:pP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HYPERLINK \l _Toc8427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第五章 响应文件格式</w:t>
      </w:r>
      <w:r>
        <w:rPr>
          <w:rFonts w:hint="eastAsia" w:ascii="宋体" w:hAnsi="宋体" w:cs="宋体"/>
          <w:color w:val="auto"/>
          <w:sz w:val="36"/>
          <w:szCs w:val="36"/>
          <w:highlight w:val="none"/>
        </w:rPr>
        <w:tab/>
      </w: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PAGEREF _Toc8427 \h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37</w:t>
      </w:r>
      <w:r>
        <w:rPr>
          <w:rFonts w:hint="eastAsia" w:ascii="宋体" w:hAnsi="宋体" w:cs="宋体"/>
          <w:color w:val="auto"/>
          <w:sz w:val="36"/>
          <w:szCs w:val="36"/>
          <w:highlight w:val="none"/>
        </w:rPr>
        <w:fldChar w:fldCharType="end"/>
      </w:r>
      <w:r>
        <w:rPr>
          <w:rFonts w:hint="eastAsia" w:ascii="宋体" w:hAnsi="宋体" w:cs="宋体"/>
          <w:color w:val="auto"/>
          <w:sz w:val="36"/>
          <w:szCs w:val="36"/>
          <w:highlight w:val="none"/>
        </w:rPr>
        <w:fldChar w:fldCharType="end"/>
      </w:r>
    </w:p>
    <w:p w14:paraId="2D0E1FEF">
      <w:pPr>
        <w:pStyle w:val="36"/>
        <w:tabs>
          <w:tab w:val="right" w:leader="dot" w:pos="8879"/>
          <w:tab w:val="clear" w:pos="8296"/>
        </w:tabs>
        <w:spacing w:line="900" w:lineRule="exact"/>
        <w:rPr>
          <w:rFonts w:hint="eastAsia" w:ascii="宋体" w:hAnsi="宋体" w:cs="宋体"/>
          <w:color w:val="auto"/>
          <w:highlight w:val="none"/>
        </w:rPr>
      </w:pP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HYPERLINK \l _Toc29815 </w:instrText>
      </w:r>
      <w:r>
        <w:rPr>
          <w:rFonts w:hint="eastAsia" w:ascii="宋体" w:hAnsi="宋体" w:cs="宋体"/>
          <w:color w:val="auto"/>
          <w:sz w:val="36"/>
          <w:szCs w:val="36"/>
          <w:highlight w:val="none"/>
        </w:rPr>
        <w:fldChar w:fldCharType="separate"/>
      </w:r>
      <w:r>
        <w:rPr>
          <w:rFonts w:hint="eastAsia" w:ascii="宋体" w:hAnsi="宋体" w:cs="宋体"/>
          <w:bCs/>
          <w:color w:val="auto"/>
          <w:sz w:val="36"/>
          <w:szCs w:val="36"/>
          <w:highlight w:val="none"/>
        </w:rPr>
        <w:t>第六章 合同文本</w:t>
      </w:r>
      <w:r>
        <w:rPr>
          <w:rFonts w:hint="eastAsia" w:ascii="宋体" w:hAnsi="宋体" w:cs="宋体"/>
          <w:color w:val="auto"/>
          <w:sz w:val="36"/>
          <w:szCs w:val="36"/>
          <w:highlight w:val="none"/>
        </w:rPr>
        <w:tab/>
      </w:r>
      <w:r>
        <w:rPr>
          <w:rFonts w:hint="eastAsia" w:ascii="宋体" w:hAnsi="宋体" w:cs="宋体"/>
          <w:color w:val="auto"/>
          <w:sz w:val="36"/>
          <w:szCs w:val="36"/>
          <w:highlight w:val="none"/>
        </w:rPr>
        <w:fldChar w:fldCharType="begin"/>
      </w:r>
      <w:r>
        <w:rPr>
          <w:rFonts w:hint="eastAsia" w:ascii="宋体" w:hAnsi="宋体" w:cs="宋体"/>
          <w:color w:val="auto"/>
          <w:sz w:val="36"/>
          <w:szCs w:val="36"/>
          <w:highlight w:val="none"/>
        </w:rPr>
        <w:instrText xml:space="preserve"> PAGEREF _Toc29815 \h </w:instrText>
      </w:r>
      <w:r>
        <w:rPr>
          <w:rFonts w:hint="eastAsia" w:ascii="宋体" w:hAnsi="宋体" w:cs="宋体"/>
          <w:color w:val="auto"/>
          <w:sz w:val="36"/>
          <w:szCs w:val="36"/>
          <w:highlight w:val="none"/>
        </w:rPr>
        <w:fldChar w:fldCharType="separate"/>
      </w:r>
      <w:r>
        <w:rPr>
          <w:rFonts w:hint="eastAsia" w:ascii="宋体" w:hAnsi="宋体" w:cs="宋体"/>
          <w:color w:val="auto"/>
          <w:sz w:val="36"/>
          <w:szCs w:val="36"/>
          <w:highlight w:val="none"/>
        </w:rPr>
        <w:t>54</w:t>
      </w:r>
      <w:r>
        <w:rPr>
          <w:rFonts w:hint="eastAsia" w:ascii="宋体" w:hAnsi="宋体" w:cs="宋体"/>
          <w:color w:val="auto"/>
          <w:sz w:val="36"/>
          <w:szCs w:val="36"/>
          <w:highlight w:val="none"/>
        </w:rPr>
        <w:fldChar w:fldCharType="end"/>
      </w:r>
      <w:r>
        <w:rPr>
          <w:rFonts w:hint="eastAsia" w:ascii="宋体" w:hAnsi="宋体" w:cs="宋体"/>
          <w:color w:val="auto"/>
          <w:sz w:val="36"/>
          <w:szCs w:val="36"/>
          <w:highlight w:val="none"/>
        </w:rPr>
        <w:fldChar w:fldCharType="end"/>
      </w:r>
    </w:p>
    <w:p w14:paraId="2EBD24A2">
      <w:pPr>
        <w:pStyle w:val="36"/>
        <w:tabs>
          <w:tab w:val="right" w:leader="dot" w:pos="8879"/>
          <w:tab w:val="clear" w:pos="8296"/>
        </w:tabs>
        <w:rPr>
          <w:rFonts w:hint="eastAsia" w:ascii="宋体" w:hAnsi="宋体" w:cs="宋体"/>
          <w:color w:val="auto"/>
          <w:highlight w:val="none"/>
        </w:rPr>
      </w:pPr>
    </w:p>
    <w:p w14:paraId="0CDE66C5">
      <w:pPr>
        <w:pStyle w:val="36"/>
        <w:spacing w:line="380" w:lineRule="exact"/>
        <w:rPr>
          <w:rFonts w:hint="eastAsia" w:ascii="宋体" w:hAnsi="宋体" w:cs="宋体"/>
          <w:b/>
          <w:color w:val="auto"/>
          <w:sz w:val="32"/>
          <w:szCs w:val="32"/>
          <w:highlight w:val="none"/>
        </w:rPr>
      </w:pPr>
      <w:r>
        <w:rPr>
          <w:rFonts w:hint="eastAsia" w:ascii="宋体" w:hAnsi="宋体" w:cs="宋体"/>
          <w:color w:val="auto"/>
          <w:sz w:val="32"/>
          <w:szCs w:val="32"/>
          <w:highlight w:val="none"/>
        </w:rPr>
        <w:fldChar w:fldCharType="end"/>
      </w:r>
    </w:p>
    <w:p w14:paraId="68A06B05">
      <w:pPr>
        <w:spacing w:line="380" w:lineRule="exact"/>
        <w:rPr>
          <w:rFonts w:hint="eastAsia" w:ascii="宋体" w:hAnsi="宋体" w:cs="宋体"/>
          <w:b/>
          <w:color w:val="auto"/>
          <w:sz w:val="32"/>
          <w:szCs w:val="32"/>
          <w:highlight w:val="none"/>
        </w:rPr>
        <w:sectPr>
          <w:footerReference r:id="rId5" w:type="first"/>
          <w:headerReference r:id="rId3" w:type="default"/>
          <w:footerReference r:id="rId4" w:type="default"/>
          <w:pgSz w:w="11906" w:h="16838"/>
          <w:pgMar w:top="1440" w:right="1440" w:bottom="1440" w:left="1587" w:header="851" w:footer="992" w:gutter="0"/>
          <w:cols w:space="720" w:num="1"/>
          <w:titlePg/>
          <w:docGrid w:linePitch="360" w:charSpace="0"/>
        </w:sectPr>
      </w:pPr>
    </w:p>
    <w:p w14:paraId="1278EEB1">
      <w:pPr>
        <w:pStyle w:val="3"/>
        <w:pageBreakBefore/>
        <w:spacing w:line="380" w:lineRule="exact"/>
        <w:jc w:val="center"/>
        <w:rPr>
          <w:rFonts w:hint="eastAsia" w:ascii="宋体" w:hAnsi="宋体" w:cs="宋体"/>
          <w:color w:val="auto"/>
          <w:highlight w:val="none"/>
        </w:rPr>
      </w:pPr>
      <w:bookmarkStart w:id="1" w:name="_Toc20367"/>
      <w:bookmarkStart w:id="2" w:name="_Toc32160"/>
      <w:bookmarkStart w:id="3" w:name="_Toc18637"/>
      <w:bookmarkStart w:id="4" w:name="OLE_LINK17"/>
      <w:r>
        <w:rPr>
          <w:rFonts w:hint="eastAsia" w:ascii="宋体" w:hAnsi="宋体" w:cs="宋体"/>
          <w:color w:val="auto"/>
          <w:highlight w:val="none"/>
        </w:rPr>
        <w:t xml:space="preserve">第一章 </w:t>
      </w:r>
      <w:bookmarkStart w:id="5" w:name="OLE_LINK5"/>
      <w:r>
        <w:rPr>
          <w:rFonts w:hint="eastAsia" w:ascii="宋体" w:hAnsi="宋体" w:cs="宋体"/>
          <w:color w:val="auto"/>
          <w:highlight w:val="none"/>
        </w:rPr>
        <w:t>竞争性磋商公告</w:t>
      </w:r>
      <w:bookmarkEnd w:id="1"/>
      <w:bookmarkEnd w:id="2"/>
      <w:bookmarkEnd w:id="3"/>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5"/>
      </w:tblGrid>
      <w:tr w14:paraId="0DA9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95" w:type="dxa"/>
            <w:noWrap w:val="0"/>
            <w:vAlign w:val="center"/>
          </w:tcPr>
          <w:p w14:paraId="2C4A9247">
            <w:pPr>
              <w:spacing w:line="360" w:lineRule="auto"/>
              <w:rPr>
                <w:rFonts w:hint="eastAsia" w:ascii="宋体" w:hAnsi="宋体" w:cs="宋体"/>
                <w:b/>
                <w:color w:val="auto"/>
                <w:sz w:val="24"/>
                <w:szCs w:val="21"/>
                <w:highlight w:val="none"/>
              </w:rPr>
            </w:pPr>
            <w:bookmarkStart w:id="6" w:name="_Toc28359012"/>
            <w:bookmarkStart w:id="7" w:name="_Toc28359089"/>
            <w:bookmarkStart w:id="8" w:name="_Toc35393629"/>
            <w:bookmarkStart w:id="9" w:name="_Toc35393798"/>
            <w:r>
              <w:rPr>
                <w:rFonts w:hint="eastAsia" w:ascii="宋体" w:hAnsi="宋体" w:cs="宋体"/>
                <w:b/>
                <w:color w:val="auto"/>
                <w:sz w:val="24"/>
                <w:szCs w:val="21"/>
                <w:highlight w:val="none"/>
              </w:rPr>
              <w:t>项目概况：</w:t>
            </w:r>
          </w:p>
          <w:p w14:paraId="08915654">
            <w:pPr>
              <w:spacing w:line="360" w:lineRule="auto"/>
              <w:ind w:firstLine="480"/>
              <w:jc w:val="left"/>
              <w:rPr>
                <w:rFonts w:hint="eastAsia" w:ascii="宋体" w:hAnsi="宋体" w:cs="宋体"/>
                <w:color w:val="auto"/>
                <w:sz w:val="21"/>
                <w:szCs w:val="21"/>
                <w:highlight w:val="none"/>
              </w:rPr>
            </w:pPr>
            <w:r>
              <w:rPr>
                <w:rFonts w:hint="eastAsia" w:ascii="宋体" w:hAnsi="宋体" w:cs="宋体"/>
                <w:color w:val="auto"/>
                <w:sz w:val="24"/>
                <w:szCs w:val="21"/>
                <w:highlight w:val="none"/>
                <w:u w:val="single"/>
                <w:lang w:val="en-US" w:eastAsia="zh-CN"/>
              </w:rPr>
              <w:t xml:space="preserve">2026年度委托外包服务 </w:t>
            </w:r>
            <w:r>
              <w:rPr>
                <w:rFonts w:hint="eastAsia" w:ascii="宋体" w:hAnsi="宋体" w:cs="宋体"/>
                <w:color w:val="auto"/>
                <w:sz w:val="24"/>
                <w:szCs w:val="21"/>
                <w:highlight w:val="none"/>
              </w:rPr>
              <w:t>的潜在供应商应在</w:t>
            </w:r>
            <w:r>
              <w:rPr>
                <w:rFonts w:hint="eastAsia" w:ascii="宋体" w:hAnsi="宋体" w:cs="宋体"/>
                <w:color w:val="auto"/>
                <w:sz w:val="24"/>
                <w:szCs w:val="21"/>
                <w:highlight w:val="none"/>
                <w:u w:val="single"/>
              </w:rPr>
              <w:t>广西同泽工程项目管理股份有限公司（广西南宁市良庆区凯旋路16号裕达国际中心广东大厦18层）</w:t>
            </w:r>
            <w:r>
              <w:rPr>
                <w:rFonts w:hint="eastAsia" w:ascii="宋体" w:hAnsi="宋体" w:cs="宋体"/>
                <w:color w:val="auto"/>
                <w:sz w:val="24"/>
                <w:szCs w:val="21"/>
                <w:highlight w:val="none"/>
                <w:u w:val="single"/>
                <w:lang w:val="en-US" w:eastAsia="zh-CN"/>
              </w:rPr>
              <w:t>众创中心</w:t>
            </w:r>
            <w:r>
              <w:rPr>
                <w:rFonts w:hint="eastAsia" w:ascii="宋体" w:hAnsi="宋体" w:cs="宋体"/>
                <w:color w:val="auto"/>
                <w:sz w:val="24"/>
                <w:szCs w:val="21"/>
                <w:highlight w:val="none"/>
              </w:rPr>
              <w:t>获取采购文件，并于</w:t>
            </w:r>
            <w:r>
              <w:rPr>
                <w:rFonts w:hint="eastAsia" w:ascii="宋体" w:hAnsi="宋体" w:cs="宋体"/>
                <w:color w:val="auto"/>
                <w:sz w:val="24"/>
                <w:szCs w:val="21"/>
                <w:highlight w:val="none"/>
                <w:u w:val="single"/>
              </w:rPr>
              <w:t>202</w:t>
            </w:r>
            <w:r>
              <w:rPr>
                <w:rFonts w:hint="eastAsia" w:ascii="宋体" w:hAnsi="宋体" w:cs="宋体"/>
                <w:color w:val="auto"/>
                <w:sz w:val="24"/>
                <w:szCs w:val="21"/>
                <w:highlight w:val="none"/>
                <w:u w:val="single"/>
                <w:lang w:val="en-US" w:eastAsia="zh-CN"/>
              </w:rPr>
              <w:t>6</w:t>
            </w:r>
            <w:r>
              <w:rPr>
                <w:rFonts w:hint="eastAsia" w:ascii="宋体" w:hAnsi="宋体" w:cs="宋体"/>
                <w:color w:val="auto"/>
                <w:sz w:val="24"/>
                <w:szCs w:val="21"/>
                <w:highlight w:val="none"/>
                <w:u w:val="single"/>
              </w:rPr>
              <w:t>年</w:t>
            </w:r>
            <w:r>
              <w:rPr>
                <w:rFonts w:hint="eastAsia" w:ascii="宋体" w:hAnsi="宋体" w:cs="宋体"/>
                <w:color w:val="auto"/>
                <w:sz w:val="24"/>
                <w:szCs w:val="21"/>
                <w:highlight w:val="none"/>
                <w:u w:val="single"/>
                <w:lang w:val="en-US" w:eastAsia="zh-CN"/>
              </w:rPr>
              <w:t>1</w:t>
            </w:r>
            <w:r>
              <w:rPr>
                <w:rFonts w:hint="eastAsia" w:ascii="宋体" w:hAnsi="宋体" w:cs="宋体"/>
                <w:color w:val="auto"/>
                <w:sz w:val="24"/>
                <w:szCs w:val="21"/>
                <w:highlight w:val="none"/>
                <w:u w:val="single"/>
              </w:rPr>
              <w:t>月</w:t>
            </w:r>
            <w:r>
              <w:rPr>
                <w:rFonts w:hint="eastAsia" w:ascii="宋体" w:hAnsi="宋体" w:cs="宋体"/>
                <w:color w:val="auto"/>
                <w:sz w:val="24"/>
                <w:szCs w:val="21"/>
                <w:highlight w:val="none"/>
                <w:u w:val="single"/>
                <w:lang w:val="en-US" w:eastAsia="zh-CN"/>
              </w:rPr>
              <w:t>27</w:t>
            </w:r>
            <w:r>
              <w:rPr>
                <w:rFonts w:hint="eastAsia" w:ascii="宋体" w:hAnsi="宋体" w:cs="宋体"/>
                <w:color w:val="auto"/>
                <w:sz w:val="24"/>
                <w:szCs w:val="21"/>
                <w:highlight w:val="none"/>
                <w:u w:val="single"/>
              </w:rPr>
              <w:t>日</w:t>
            </w:r>
            <w:r>
              <w:rPr>
                <w:rFonts w:hint="eastAsia" w:ascii="宋体" w:hAnsi="宋体" w:cs="宋体"/>
                <w:color w:val="auto"/>
                <w:sz w:val="24"/>
                <w:szCs w:val="21"/>
                <w:highlight w:val="none"/>
                <w:u w:val="single"/>
                <w:lang w:val="en-US" w:eastAsia="zh-CN"/>
              </w:rPr>
              <w:t>15</w:t>
            </w:r>
            <w:r>
              <w:rPr>
                <w:rFonts w:hint="eastAsia" w:ascii="宋体" w:hAnsi="宋体" w:cs="宋体"/>
                <w:color w:val="auto"/>
                <w:sz w:val="24"/>
                <w:szCs w:val="21"/>
                <w:highlight w:val="none"/>
              </w:rPr>
              <w:t>点</w:t>
            </w:r>
            <w:r>
              <w:rPr>
                <w:rFonts w:hint="eastAsia" w:ascii="宋体" w:hAnsi="宋体" w:cs="宋体"/>
                <w:color w:val="auto"/>
                <w:sz w:val="24"/>
                <w:szCs w:val="21"/>
                <w:highlight w:val="none"/>
                <w:lang w:val="en-US" w:eastAsia="zh-CN"/>
              </w:rPr>
              <w:t>3</w:t>
            </w:r>
            <w:r>
              <w:rPr>
                <w:rFonts w:hint="eastAsia" w:ascii="宋体" w:hAnsi="宋体" w:cs="宋体"/>
                <w:color w:val="auto"/>
                <w:sz w:val="24"/>
                <w:szCs w:val="21"/>
                <w:highlight w:val="none"/>
              </w:rPr>
              <w:t>0分（北京时间）前提交响应文件。</w:t>
            </w:r>
            <w:bookmarkEnd w:id="4"/>
          </w:p>
        </w:tc>
      </w:tr>
    </w:tbl>
    <w:p w14:paraId="568D4EAE">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bookmarkEnd w:id="6"/>
      <w:bookmarkEnd w:id="7"/>
      <w:bookmarkEnd w:id="8"/>
      <w:bookmarkEnd w:id="9"/>
    </w:p>
    <w:p w14:paraId="70B9F01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1.项目编号：GXTZ-ZB-2025第（</w:t>
      </w:r>
      <w:r>
        <w:rPr>
          <w:rFonts w:hint="eastAsia" w:ascii="宋体" w:hAnsi="宋体" w:cs="宋体"/>
          <w:color w:val="auto"/>
          <w:sz w:val="24"/>
          <w:highlight w:val="none"/>
          <w:lang w:val="en-US" w:eastAsia="zh-CN"/>
        </w:rPr>
        <w:t>993</w:t>
      </w:r>
      <w:r>
        <w:rPr>
          <w:rFonts w:hint="eastAsia" w:ascii="宋体" w:hAnsi="宋体" w:cs="宋体"/>
          <w:color w:val="auto"/>
          <w:sz w:val="24"/>
          <w:highlight w:val="none"/>
        </w:rPr>
        <w:t>）号</w:t>
      </w:r>
    </w:p>
    <w:p w14:paraId="7FEFF250">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
        </w:rPr>
        <w:t>2.</w:t>
      </w:r>
      <w:r>
        <w:rPr>
          <w:rFonts w:hint="eastAsia" w:ascii="宋体" w:hAnsi="宋体" w:cs="宋体"/>
          <w:color w:val="auto"/>
          <w:sz w:val="24"/>
          <w:highlight w:val="none"/>
        </w:rPr>
        <w:t>项目名称：</w:t>
      </w:r>
      <w:bookmarkStart w:id="186" w:name="_GoBack"/>
      <w:r>
        <w:rPr>
          <w:rFonts w:hint="eastAsia" w:ascii="宋体" w:hAnsi="宋体" w:cs="宋体"/>
          <w:color w:val="auto"/>
          <w:sz w:val="24"/>
          <w:highlight w:val="none"/>
          <w:lang w:eastAsia="zh-CN"/>
        </w:rPr>
        <w:t>2026年度委托外包服务</w:t>
      </w:r>
      <w:bookmarkEnd w:id="186"/>
    </w:p>
    <w:p w14:paraId="4458D24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3.采购方式：竞争性磋商</w:t>
      </w:r>
    </w:p>
    <w:p w14:paraId="429723A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4.预算金额：</w:t>
      </w:r>
      <w:r>
        <w:rPr>
          <w:rFonts w:hint="eastAsia" w:ascii="宋体" w:hAnsi="宋体" w:cs="宋体"/>
          <w:color w:val="auto"/>
          <w:sz w:val="24"/>
          <w:highlight w:val="none"/>
          <w:lang w:val="en-US" w:eastAsia="zh-CN"/>
        </w:rPr>
        <w:t>37</w:t>
      </w:r>
      <w:r>
        <w:rPr>
          <w:rFonts w:hint="eastAsia" w:ascii="宋体" w:hAnsi="宋体" w:cs="宋体"/>
          <w:color w:val="auto"/>
          <w:sz w:val="24"/>
          <w:highlight w:val="none"/>
        </w:rPr>
        <w:t>.00万元</w:t>
      </w:r>
    </w:p>
    <w:p w14:paraId="0DFD79E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5.最高限价：</w:t>
      </w:r>
      <w:r>
        <w:rPr>
          <w:rFonts w:hint="eastAsia" w:ascii="宋体" w:hAnsi="宋体" w:cs="宋体"/>
          <w:color w:val="auto"/>
          <w:sz w:val="24"/>
          <w:highlight w:val="none"/>
          <w:lang w:val="en-US" w:eastAsia="zh-CN"/>
        </w:rPr>
        <w:t>37</w:t>
      </w:r>
      <w:r>
        <w:rPr>
          <w:rFonts w:hint="eastAsia" w:ascii="宋体" w:hAnsi="宋体" w:cs="宋体"/>
          <w:color w:val="auto"/>
          <w:sz w:val="24"/>
          <w:highlight w:val="none"/>
        </w:rPr>
        <w:t>.00万元</w:t>
      </w:r>
    </w:p>
    <w:p w14:paraId="3BA06D9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6.采购需求：</w:t>
      </w:r>
    </w:p>
    <w:tbl>
      <w:tblPr>
        <w:tblStyle w:val="4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15"/>
        <w:gridCol w:w="1680"/>
        <w:gridCol w:w="638"/>
        <w:gridCol w:w="5724"/>
      </w:tblGrid>
      <w:tr w14:paraId="4DEB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 w:hRule="atLeast"/>
        </w:trPr>
        <w:tc>
          <w:tcPr>
            <w:tcW w:w="408" w:type="pct"/>
            <w:noWrap w:val="0"/>
            <w:vAlign w:val="center"/>
          </w:tcPr>
          <w:p w14:paraId="1039334E">
            <w:pPr>
              <w:widowControl/>
              <w:jc w:val="center"/>
              <w:rPr>
                <w:rFonts w:hint="eastAsia" w:ascii="宋体" w:hAnsi="宋体" w:cs="宋体"/>
                <w:color w:val="auto"/>
                <w:sz w:val="24"/>
                <w:highlight w:val="none"/>
              </w:rPr>
            </w:pPr>
            <w:r>
              <w:rPr>
                <w:rFonts w:hint="eastAsia" w:ascii="宋体" w:hAnsi="宋体" w:cs="宋体"/>
                <w:b/>
                <w:color w:val="auto"/>
                <w:sz w:val="24"/>
                <w:highlight w:val="none"/>
              </w:rPr>
              <w:t>序号</w:t>
            </w:r>
          </w:p>
        </w:tc>
        <w:tc>
          <w:tcPr>
            <w:tcW w:w="959" w:type="pct"/>
            <w:noWrap w:val="0"/>
            <w:vAlign w:val="center"/>
          </w:tcPr>
          <w:p w14:paraId="622100AD">
            <w:pPr>
              <w:jc w:val="center"/>
              <w:rPr>
                <w:rFonts w:hint="eastAsia" w:ascii="宋体" w:hAnsi="宋体" w:cs="宋体"/>
                <w:b/>
                <w:bCs w:val="0"/>
                <w:color w:val="auto"/>
                <w:sz w:val="24"/>
                <w:highlight w:val="none"/>
              </w:rPr>
            </w:pPr>
            <w:r>
              <w:rPr>
                <w:rFonts w:hint="eastAsia" w:ascii="宋体" w:hAnsi="宋体" w:cs="宋体"/>
                <w:b/>
                <w:bCs w:val="0"/>
                <w:color w:val="auto"/>
                <w:sz w:val="24"/>
                <w:highlight w:val="none"/>
              </w:rPr>
              <w:t>标的名称</w:t>
            </w:r>
          </w:p>
        </w:tc>
        <w:tc>
          <w:tcPr>
            <w:tcW w:w="364" w:type="pct"/>
            <w:noWrap w:val="0"/>
            <w:vAlign w:val="center"/>
          </w:tcPr>
          <w:p w14:paraId="559BE248">
            <w:pPr>
              <w:widowControl/>
              <w:jc w:val="center"/>
              <w:rPr>
                <w:rFonts w:hint="eastAsia" w:ascii="宋体" w:hAnsi="宋体" w:eastAsia="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数量</w:t>
            </w:r>
          </w:p>
        </w:tc>
        <w:tc>
          <w:tcPr>
            <w:tcW w:w="3267" w:type="pct"/>
            <w:noWrap w:val="0"/>
            <w:vAlign w:val="center"/>
          </w:tcPr>
          <w:p w14:paraId="7E7EF604">
            <w:pPr>
              <w:widowControl/>
              <w:jc w:val="center"/>
              <w:rPr>
                <w:rFonts w:hint="eastAsia" w:ascii="宋体" w:hAnsi="宋体" w:cs="宋体"/>
                <w:b/>
                <w:bCs w:val="0"/>
                <w:color w:val="auto"/>
                <w:sz w:val="24"/>
                <w:highlight w:val="none"/>
              </w:rPr>
            </w:pPr>
            <w:r>
              <w:rPr>
                <w:rFonts w:hint="eastAsia" w:ascii="宋体" w:hAnsi="宋体" w:cs="宋体"/>
                <w:b/>
                <w:color w:val="auto"/>
                <w:sz w:val="24"/>
                <w:szCs w:val="24"/>
                <w:highlight w:val="none"/>
              </w:rPr>
              <w:t>简要技术需求或者服务要求</w:t>
            </w:r>
          </w:p>
        </w:tc>
      </w:tr>
      <w:tr w14:paraId="08E0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4" w:hRule="atLeast"/>
        </w:trPr>
        <w:tc>
          <w:tcPr>
            <w:tcW w:w="408" w:type="pct"/>
            <w:noWrap w:val="0"/>
            <w:vAlign w:val="center"/>
          </w:tcPr>
          <w:p w14:paraId="336FBFD3">
            <w:pPr>
              <w:widowControl/>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59" w:type="pct"/>
            <w:noWrap w:val="0"/>
            <w:vAlign w:val="center"/>
          </w:tcPr>
          <w:p w14:paraId="25D6D55A">
            <w:pPr>
              <w:spacing w:line="380" w:lineRule="exact"/>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2026年度委托外包服务</w:t>
            </w:r>
          </w:p>
        </w:tc>
        <w:tc>
          <w:tcPr>
            <w:tcW w:w="364" w:type="pct"/>
            <w:noWrap w:val="0"/>
            <w:vAlign w:val="center"/>
          </w:tcPr>
          <w:p w14:paraId="72FFF926">
            <w:pPr>
              <w:spacing w:line="380" w:lineRule="exact"/>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1项</w:t>
            </w:r>
          </w:p>
        </w:tc>
        <w:tc>
          <w:tcPr>
            <w:tcW w:w="3267" w:type="pct"/>
            <w:noWrap w:val="0"/>
            <w:vAlign w:val="top"/>
          </w:tcPr>
          <w:p w14:paraId="1B02F3BB">
            <w:pPr>
              <w:pStyle w:val="241"/>
              <w:spacing w:line="380" w:lineRule="exact"/>
              <w:ind w:firstLine="0"/>
              <w:rPr>
                <w:rFonts w:hint="eastAsia" w:ascii="宋体" w:hAnsi="宋体" w:cs="宋体"/>
                <w:b w:val="0"/>
                <w:bCs w:val="0"/>
                <w:sz w:val="21"/>
                <w:szCs w:val="21"/>
                <w:lang w:eastAsia="zh-CN"/>
              </w:rPr>
            </w:pPr>
            <w:r>
              <w:rPr>
                <w:rFonts w:hint="eastAsia" w:ascii="宋体" w:hAnsi="宋体" w:cs="宋体"/>
                <w:b w:val="0"/>
                <w:bCs w:val="0"/>
                <w:sz w:val="21"/>
                <w:szCs w:val="21"/>
                <w:lang w:eastAsia="zh-CN"/>
              </w:rPr>
              <w:t>通过派驻驻点人员的方式，派驻至少</w:t>
            </w:r>
            <w:r>
              <w:rPr>
                <w:rFonts w:hint="eastAsia" w:ascii="宋体" w:hAnsi="宋体" w:cs="宋体"/>
                <w:b w:val="0"/>
                <w:bCs w:val="0"/>
                <w:sz w:val="21"/>
                <w:szCs w:val="21"/>
                <w:lang w:val="en-US" w:eastAsia="zh-CN"/>
              </w:rPr>
              <w:t>4名工作人员分别负责</w:t>
            </w:r>
            <w:r>
              <w:rPr>
                <w:rFonts w:hint="eastAsia" w:ascii="宋体" w:hAnsi="宋体" w:cs="宋体"/>
                <w:sz w:val="21"/>
                <w:szCs w:val="21"/>
                <w:highlight w:val="none"/>
              </w:rPr>
              <w:t>广西卫生健康项目资金监管系统</w:t>
            </w:r>
            <w:r>
              <w:rPr>
                <w:rFonts w:hint="eastAsia" w:ascii="宋体" w:hAnsi="宋体" w:cs="宋体"/>
                <w:sz w:val="21"/>
                <w:szCs w:val="21"/>
                <w:highlight w:val="none"/>
                <w:lang w:eastAsia="zh-CN"/>
              </w:rPr>
              <w:t>、基本建设系统</w:t>
            </w:r>
            <w:r>
              <w:rPr>
                <w:rFonts w:hint="eastAsia" w:ascii="宋体" w:hAnsi="宋体" w:cs="宋体"/>
                <w:sz w:val="21"/>
                <w:szCs w:val="21"/>
                <w:highlight w:val="none"/>
              </w:rPr>
              <w:t>数据维护、</w:t>
            </w:r>
            <w:r>
              <w:rPr>
                <w:rFonts w:hint="eastAsia" w:ascii="宋体" w:hAnsi="宋体" w:cs="宋体"/>
                <w:sz w:val="21"/>
                <w:szCs w:val="21"/>
                <w:highlight w:val="none"/>
                <w:lang w:eastAsia="zh-CN"/>
              </w:rPr>
              <w:t>数据</w:t>
            </w:r>
            <w:r>
              <w:rPr>
                <w:rFonts w:hint="eastAsia" w:ascii="宋体" w:hAnsi="宋体" w:cs="宋体"/>
                <w:sz w:val="21"/>
                <w:szCs w:val="21"/>
                <w:highlight w:val="none"/>
              </w:rPr>
              <w:t>梳理统计</w:t>
            </w:r>
            <w:r>
              <w:rPr>
                <w:rFonts w:hint="eastAsia" w:ascii="宋体" w:hAnsi="宋体" w:cs="宋体"/>
                <w:sz w:val="21"/>
                <w:szCs w:val="21"/>
                <w:highlight w:val="none"/>
                <w:lang w:eastAsia="zh-CN"/>
              </w:rPr>
              <w:t>，以及</w:t>
            </w:r>
            <w:r>
              <w:rPr>
                <w:rFonts w:hint="eastAsia" w:ascii="宋体" w:hAnsi="宋体" w:cs="宋体"/>
                <w:sz w:val="21"/>
                <w:szCs w:val="21"/>
                <w:highlight w:val="none"/>
              </w:rPr>
              <w:t>财务、审计等有关专业技术服务</w:t>
            </w:r>
            <w:r>
              <w:rPr>
                <w:rFonts w:hint="eastAsia" w:ascii="宋体" w:hAnsi="宋体" w:cs="宋体"/>
                <w:b w:val="0"/>
                <w:bCs w:val="0"/>
                <w:sz w:val="21"/>
                <w:szCs w:val="21"/>
                <w:lang w:eastAsia="zh-CN"/>
              </w:rPr>
              <w:t>，保证日常工作正常运转。具体内容详见采购需求。</w:t>
            </w:r>
          </w:p>
        </w:tc>
      </w:tr>
    </w:tbl>
    <w:p w14:paraId="2951189B">
      <w:pPr>
        <w:numPr>
          <w:ilvl w:val="0"/>
          <w:numId w:val="2"/>
        </w:num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时间：2026年2月-2027年1月</w:t>
      </w:r>
      <w:r>
        <w:rPr>
          <w:rFonts w:hint="eastAsia" w:ascii="宋体" w:hAnsi="宋体" w:cs="宋体"/>
          <w:color w:val="auto"/>
          <w:sz w:val="24"/>
          <w:highlight w:val="none"/>
          <w:lang w:eastAsia="zh-CN"/>
        </w:rPr>
        <w:t>。</w:t>
      </w:r>
    </w:p>
    <w:p w14:paraId="18D37B0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w:t>
      </w:r>
      <w:bookmarkStart w:id="10" w:name="_Toc35393799"/>
      <w:bookmarkStart w:id="11" w:name="_Toc28359090"/>
      <w:bookmarkStart w:id="12" w:name="_Toc35393630"/>
      <w:bookmarkStart w:id="13" w:name="_Toc28359013"/>
      <w:r>
        <w:rPr>
          <w:rFonts w:hint="eastAsia" w:ascii="宋体" w:hAnsi="宋体" w:cs="宋体"/>
          <w:color w:val="auto"/>
          <w:sz w:val="24"/>
          <w:highlight w:val="none"/>
        </w:rPr>
        <w:t>本项目不接受联合体。</w:t>
      </w:r>
    </w:p>
    <w:p w14:paraId="0DBE0322">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二、申请人的资格要求：</w:t>
      </w:r>
      <w:bookmarkEnd w:id="10"/>
      <w:bookmarkEnd w:id="11"/>
      <w:bookmarkEnd w:id="12"/>
      <w:bookmarkEnd w:id="13"/>
    </w:p>
    <w:p w14:paraId="5A18A33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bookmarkStart w:id="14" w:name="_Toc28359014"/>
      <w:bookmarkStart w:id="15" w:name="_Toc28359091"/>
    </w:p>
    <w:p w14:paraId="74A55FA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val="en-US" w:eastAsia="zh-CN"/>
        </w:rPr>
        <w:t>无。</w:t>
      </w:r>
    </w:p>
    <w:p w14:paraId="5473C17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3.本项目的特定资格要求：无。</w:t>
      </w:r>
    </w:p>
    <w:p w14:paraId="2D37DA08">
      <w:pPr>
        <w:pStyle w:val="18"/>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对在“信用中国”网站(www.creditchina.gov.cn)和中国政府采购网(www.ccgp.gov.cn)渠道列入失信被执行人、重大税收违法失信主体、政府采购严重违法失信行为记录名单及其他不符合《中华人民共和国政府采购法》第二十二条规定条件的供应商，将被拒绝参与本次采购活动。</w:t>
      </w:r>
    </w:p>
    <w:p w14:paraId="10612786">
      <w:pPr>
        <w:pStyle w:val="18"/>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单位负责人为同一人或者存在直接控股、管理关系的不同供应商，不得参加同一合同项下的采购活动。为本项目提供过整体设计、规范编制或者项目管理、监理、检测等服务的供应商，不得再参加该采购项目的其他采购活动。</w:t>
      </w:r>
    </w:p>
    <w:p w14:paraId="6FCF46DC">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6.本项目不接受未按规定获取本项目采购文件的供应商参与磋商。</w:t>
      </w:r>
    </w:p>
    <w:p w14:paraId="71A13833">
      <w:pPr>
        <w:spacing w:line="360" w:lineRule="auto"/>
        <w:rPr>
          <w:rFonts w:hint="eastAsia" w:ascii="宋体" w:hAnsi="宋体" w:cs="宋体"/>
          <w:b/>
          <w:bCs/>
          <w:color w:val="auto"/>
          <w:sz w:val="24"/>
          <w:highlight w:val="none"/>
        </w:rPr>
      </w:pPr>
      <w:bookmarkStart w:id="16" w:name="_Toc35393800"/>
      <w:bookmarkStart w:id="17" w:name="_Toc35393631"/>
      <w:r>
        <w:rPr>
          <w:rFonts w:hint="eastAsia" w:ascii="宋体" w:hAnsi="宋体" w:cs="宋体"/>
          <w:b/>
          <w:bCs/>
          <w:color w:val="auto"/>
          <w:sz w:val="24"/>
          <w:highlight w:val="none"/>
        </w:rPr>
        <w:t>三</w:t>
      </w:r>
      <w:bookmarkEnd w:id="14"/>
      <w:bookmarkEnd w:id="15"/>
      <w:bookmarkEnd w:id="16"/>
      <w:bookmarkEnd w:id="17"/>
      <w:r>
        <w:rPr>
          <w:rFonts w:hint="eastAsia" w:ascii="宋体" w:hAnsi="宋体" w:cs="宋体"/>
          <w:b/>
          <w:bCs/>
          <w:color w:val="auto"/>
          <w:sz w:val="24"/>
          <w:highlight w:val="none"/>
        </w:rPr>
        <w:t>、竞争性磋商采购文件的获取</w:t>
      </w:r>
    </w:p>
    <w:p w14:paraId="6720B1D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1.获取时间：</w:t>
      </w:r>
      <w:bookmarkStart w:id="18" w:name="_Toc28359092"/>
      <w:bookmarkStart w:id="19" w:name="_Toc28359015"/>
      <w:bookmarkStart w:id="20" w:name="_Toc35393801"/>
      <w:bookmarkStart w:id="21" w:name="_Toc35393632"/>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日至202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23</w:t>
      </w:r>
      <w:r>
        <w:rPr>
          <w:rFonts w:hint="eastAsia" w:ascii="宋体" w:hAnsi="宋体" w:cs="宋体"/>
          <w:color w:val="auto"/>
          <w:sz w:val="24"/>
          <w:highlight w:val="none"/>
          <w:u w:val="single"/>
        </w:rPr>
        <w:t>日</w:t>
      </w:r>
      <w:r>
        <w:rPr>
          <w:rFonts w:hint="eastAsia" w:ascii="宋体" w:hAnsi="宋体" w:cs="宋体"/>
          <w:color w:val="auto"/>
          <w:sz w:val="24"/>
          <w:highlight w:val="none"/>
        </w:rPr>
        <w:t>（工作日）上午9：00-12：00；下午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：30-</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：30。</w:t>
      </w:r>
    </w:p>
    <w:p w14:paraId="34BD732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2.采购文件工本费每本300元，售后不退，本项目不代办邮寄。</w:t>
      </w:r>
    </w:p>
    <w:p w14:paraId="6415CC1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获取方式：由法定代表人或委托代理人持本人身份证复印件（二代身份证须正、反两面复印）、法定代表人授权委托书原件（委托代理时必须提供）、主体资格证明（如营业执照等）复印件（须加盖单位公章）；授权委托书须注明项目名称、项目编号、委托期限，进行现场报名。</w:t>
      </w:r>
    </w:p>
    <w:p w14:paraId="3ED346BD">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四、响应文件提交</w:t>
      </w:r>
      <w:bookmarkEnd w:id="18"/>
      <w:bookmarkEnd w:id="19"/>
      <w:bookmarkEnd w:id="20"/>
      <w:bookmarkEnd w:id="21"/>
    </w:p>
    <w:p w14:paraId="28679D2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0分（北京时间）。</w:t>
      </w:r>
    </w:p>
    <w:p w14:paraId="740C386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2.地点：广西同泽工程项目管理股份有限公司（广西南宁市良庆区凯旋路16号裕达国际中心广东大厦18楼）开标厅，响应文件提交方式为：现场递交响应文件。</w:t>
      </w:r>
    </w:p>
    <w:p w14:paraId="77791C32">
      <w:pPr>
        <w:spacing w:line="360" w:lineRule="auto"/>
        <w:rPr>
          <w:rFonts w:hint="eastAsia" w:ascii="宋体" w:hAnsi="宋体" w:cs="宋体"/>
          <w:b/>
          <w:bCs/>
          <w:color w:val="auto"/>
          <w:sz w:val="24"/>
          <w:highlight w:val="none"/>
        </w:rPr>
      </w:pPr>
      <w:bookmarkStart w:id="22" w:name="_Toc28359016"/>
      <w:bookmarkStart w:id="23" w:name="_Toc35393802"/>
      <w:bookmarkStart w:id="24" w:name="_Toc35393633"/>
      <w:bookmarkStart w:id="25" w:name="_Toc28359093"/>
      <w:r>
        <w:rPr>
          <w:rFonts w:hint="eastAsia" w:ascii="宋体" w:hAnsi="宋体" w:cs="宋体"/>
          <w:b/>
          <w:bCs/>
          <w:color w:val="auto"/>
          <w:sz w:val="24"/>
          <w:highlight w:val="none"/>
        </w:rPr>
        <w:t>五</w:t>
      </w:r>
      <w:bookmarkEnd w:id="22"/>
      <w:bookmarkEnd w:id="23"/>
      <w:bookmarkEnd w:id="24"/>
      <w:bookmarkEnd w:id="25"/>
      <w:r>
        <w:rPr>
          <w:rFonts w:hint="eastAsia" w:ascii="宋体" w:hAnsi="宋体" w:cs="宋体"/>
          <w:b/>
          <w:bCs/>
          <w:color w:val="auto"/>
          <w:sz w:val="24"/>
          <w:highlight w:val="none"/>
        </w:rPr>
        <w:t>、开启</w:t>
      </w:r>
    </w:p>
    <w:p w14:paraId="7F3AFA1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0分后（北京时间）（具体时间以磋商小组到达评审现场并开始评审时间为准）。</w:t>
      </w:r>
    </w:p>
    <w:p w14:paraId="7E1521B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2.地点：广西同泽工程项目管理股份有限公司评标室。</w:t>
      </w:r>
    </w:p>
    <w:p w14:paraId="67D6BAF3">
      <w:pPr>
        <w:spacing w:line="360" w:lineRule="auto"/>
        <w:rPr>
          <w:rFonts w:hint="eastAsia" w:ascii="宋体" w:hAnsi="宋体" w:cs="宋体"/>
          <w:b/>
          <w:bCs/>
          <w:color w:val="auto"/>
          <w:sz w:val="24"/>
          <w:highlight w:val="none"/>
        </w:rPr>
      </w:pPr>
      <w:bookmarkStart w:id="26" w:name="_Toc35393634"/>
      <w:bookmarkStart w:id="27" w:name="_Toc35393803"/>
      <w:bookmarkStart w:id="28" w:name="_Toc28359094"/>
      <w:bookmarkStart w:id="29" w:name="_Toc28359017"/>
      <w:r>
        <w:rPr>
          <w:rFonts w:hint="eastAsia" w:ascii="宋体" w:hAnsi="宋体" w:cs="宋体"/>
          <w:b/>
          <w:bCs/>
          <w:color w:val="auto"/>
          <w:sz w:val="24"/>
          <w:highlight w:val="none"/>
        </w:rPr>
        <w:t>六、公告期限</w:t>
      </w:r>
      <w:bookmarkEnd w:id="26"/>
      <w:bookmarkEnd w:id="27"/>
      <w:bookmarkEnd w:id="28"/>
      <w:bookmarkEnd w:id="29"/>
    </w:p>
    <w:p w14:paraId="6D88FC9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38135B62">
      <w:pPr>
        <w:spacing w:line="360" w:lineRule="auto"/>
        <w:rPr>
          <w:rFonts w:hint="eastAsia" w:ascii="宋体" w:hAnsi="宋体" w:cs="宋体"/>
          <w:b/>
          <w:bCs/>
          <w:color w:val="auto"/>
          <w:sz w:val="24"/>
          <w:highlight w:val="none"/>
        </w:rPr>
      </w:pPr>
      <w:bookmarkStart w:id="30" w:name="_Toc35393635"/>
      <w:bookmarkStart w:id="31" w:name="_Toc35393804"/>
      <w:r>
        <w:rPr>
          <w:rFonts w:hint="eastAsia" w:ascii="宋体" w:hAnsi="宋体" w:cs="宋体"/>
          <w:b/>
          <w:bCs/>
          <w:color w:val="auto"/>
          <w:sz w:val="24"/>
          <w:highlight w:val="none"/>
        </w:rPr>
        <w:t>七、其他补充事宜</w:t>
      </w:r>
      <w:bookmarkEnd w:id="30"/>
      <w:bookmarkEnd w:id="31"/>
      <w:r>
        <w:rPr>
          <w:rFonts w:hint="eastAsia" w:ascii="宋体" w:hAnsi="宋体" w:cs="宋体"/>
          <w:b/>
          <w:bCs/>
          <w:color w:val="auto"/>
          <w:sz w:val="24"/>
          <w:highlight w:val="none"/>
        </w:rPr>
        <w:t>：</w:t>
      </w:r>
    </w:p>
    <w:p w14:paraId="33D9884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color w:val="auto"/>
          <w:sz w:val="24"/>
          <w:highlight w:val="none"/>
          <w:lang w:val="en-US" w:eastAsia="zh-CN"/>
        </w:rPr>
        <w:t>叁</w:t>
      </w:r>
      <w:r>
        <w:rPr>
          <w:rFonts w:hint="eastAsia" w:ascii="宋体" w:hAnsi="宋体" w:cs="宋体"/>
          <w:color w:val="auto"/>
          <w:sz w:val="24"/>
          <w:highlight w:val="none"/>
        </w:rPr>
        <w:t>仟元整（¥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000.00元）（须足额交纳）。</w:t>
      </w:r>
    </w:p>
    <w:p w14:paraId="6C49C44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磋商保证金的交纳方式：磋商供应商以电汇、转账、支票、汇票、本票、保函等非现金形式缴纳。磋商供应商采用银行转账、电汇或网上支付形式的，应于响应文件提交截止时间前将磋商保证金以电汇、转账交至以下账户：</w:t>
      </w:r>
    </w:p>
    <w:p w14:paraId="0FE714C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开户名称：广西同泽工程项目管理股份有限公司</w:t>
      </w:r>
    </w:p>
    <w:p w14:paraId="14C40F6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开户行：建行广西区分行营业部本级营业厅</w:t>
      </w:r>
    </w:p>
    <w:p w14:paraId="699AAFE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银行账号：4500 1594 1510 5071 6039</w:t>
      </w:r>
    </w:p>
    <w:p w14:paraId="760A0052">
      <w:pPr>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开户行号：105611041019</w:t>
      </w:r>
    </w:p>
    <w:p w14:paraId="77E072B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备注：采用支票、汇票、本票或者保函等方式缴纳磋商保证金的，在响应文件提交截止时间前，供应商必须提交单独密封的支票、汇票、本票或者保函等原件给采购代理机构。否则视为无效磋商保证金。</w:t>
      </w:r>
    </w:p>
    <w:p w14:paraId="7BEA11B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2.网上查询地址：</w:t>
      </w:r>
    </w:p>
    <w:p w14:paraId="0EFA075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中国采购与招标网（https://www.chinabidding.com.cn/）</w:t>
      </w:r>
      <w:r>
        <w:rPr>
          <w:rFonts w:hint="eastAsia" w:ascii="宋体" w:hAnsi="宋体" w:cs="宋体"/>
          <w:color w:val="auto"/>
          <w:sz w:val="24"/>
          <w:highlight w:val="none"/>
          <w:lang w:eastAsia="zh-CN"/>
        </w:rPr>
        <w:t>、广西壮族自治区卫生健康委员会（http://wsjkw.gxzf.gov.cn/）、</w:t>
      </w:r>
      <w:r>
        <w:rPr>
          <w:rFonts w:hint="eastAsia" w:ascii="宋体" w:hAnsi="宋体" w:cs="宋体"/>
          <w:color w:val="auto"/>
          <w:sz w:val="24"/>
          <w:highlight w:val="none"/>
        </w:rPr>
        <w:t>广西同泽工程项目管理股份有限公司网（www.gxtzfz.cn）。</w:t>
      </w:r>
    </w:p>
    <w:p w14:paraId="27681D6B">
      <w:pPr>
        <w:spacing w:line="360" w:lineRule="auto"/>
        <w:rPr>
          <w:rFonts w:hint="eastAsia" w:ascii="宋体" w:hAnsi="宋体" w:cs="宋体"/>
          <w:b/>
          <w:bCs/>
          <w:color w:val="auto"/>
          <w:sz w:val="24"/>
          <w:highlight w:val="none"/>
        </w:rPr>
      </w:pPr>
      <w:bookmarkStart w:id="32" w:name="_Toc28359095"/>
      <w:bookmarkStart w:id="33" w:name="_Toc35393636"/>
      <w:bookmarkStart w:id="34" w:name="_Toc28359018"/>
      <w:bookmarkStart w:id="35" w:name="_Toc35393805"/>
      <w:r>
        <w:rPr>
          <w:rFonts w:hint="eastAsia" w:ascii="宋体" w:hAnsi="宋体" w:cs="宋体"/>
          <w:b/>
          <w:bCs/>
          <w:color w:val="auto"/>
          <w:sz w:val="24"/>
          <w:highlight w:val="none"/>
        </w:rPr>
        <w:t>八、凡对本次采购提出询问，请按以下方式联系</w:t>
      </w:r>
      <w:bookmarkEnd w:id="32"/>
      <w:bookmarkEnd w:id="33"/>
      <w:bookmarkEnd w:id="34"/>
      <w:bookmarkEnd w:id="35"/>
      <w:r>
        <w:rPr>
          <w:rFonts w:hint="eastAsia" w:ascii="宋体" w:hAnsi="宋体" w:cs="宋体"/>
          <w:b/>
          <w:bCs/>
          <w:color w:val="auto"/>
          <w:sz w:val="24"/>
          <w:highlight w:val="none"/>
        </w:rPr>
        <w:t>：</w:t>
      </w:r>
    </w:p>
    <w:p w14:paraId="072FBFE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1.采购人信息</w:t>
      </w:r>
    </w:p>
    <w:p w14:paraId="15463B0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名称</w:t>
      </w:r>
      <w:r>
        <w:rPr>
          <w:rFonts w:hint="eastAsia" w:ascii="宋体" w:hAnsi="宋体" w:eastAsia="宋体" w:cs="宋体"/>
          <w:color w:val="auto"/>
          <w:sz w:val="24"/>
          <w:highlight w:val="none"/>
        </w:rPr>
        <w:t>：广西壮族自治区卫生健康委员会项目资金监管服务中心</w:t>
      </w:r>
    </w:p>
    <w:p w14:paraId="0AA0E6BB">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eastAsia="宋体" w:cs="宋体"/>
          <w:color w:val="auto"/>
          <w:sz w:val="24"/>
          <w:highlight w:val="none"/>
        </w:rPr>
        <w:t>南宁市青秀区桃源路4-2号</w:t>
      </w:r>
    </w:p>
    <w:p w14:paraId="2BF411F5">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王东梅</w:t>
      </w:r>
      <w:r>
        <w:rPr>
          <w:rFonts w:hint="eastAsia" w:ascii="宋体" w:hAnsi="宋体" w:cs="宋体"/>
          <w:color w:val="auto"/>
          <w:sz w:val="24"/>
          <w:highlight w:val="none"/>
          <w:lang w:val="en-US" w:eastAsia="zh-CN"/>
        </w:rPr>
        <w:t xml:space="preserve">  </w:t>
      </w:r>
    </w:p>
    <w:p w14:paraId="30EF817D">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联系电话：0771-</w:t>
      </w:r>
      <w:r>
        <w:rPr>
          <w:rFonts w:hint="eastAsia" w:ascii="宋体" w:hAnsi="宋体" w:cs="宋体"/>
          <w:color w:val="auto"/>
          <w:sz w:val="24"/>
          <w:highlight w:val="none"/>
          <w:lang w:val="en-US" w:eastAsia="zh-CN"/>
        </w:rPr>
        <w:t xml:space="preserve"> 2809301</w:t>
      </w:r>
    </w:p>
    <w:p w14:paraId="6A1910C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10B9BD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名称：广西同泽工程项目管理股份有限公司</w:t>
      </w:r>
    </w:p>
    <w:p w14:paraId="0EBE6C0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地址：广西南宁市良庆区凯旋路16号裕达国际中心广东大厦18层</w:t>
      </w:r>
    </w:p>
    <w:p w14:paraId="5965E9E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联系方式：黄艳艳</w:t>
      </w:r>
      <w:r>
        <w:rPr>
          <w:rFonts w:hint="eastAsia" w:ascii="宋体" w:hAnsi="宋体" w:cs="宋体"/>
          <w:color w:val="auto"/>
          <w:sz w:val="24"/>
          <w:highlight w:val="none"/>
          <w:lang w:eastAsia="zh-CN"/>
        </w:rPr>
        <w:t>、</w:t>
      </w:r>
      <w:r>
        <w:rPr>
          <w:rFonts w:hint="eastAsia" w:ascii="宋体" w:hAnsi="宋体" w:cs="宋体"/>
          <w:color w:val="auto"/>
          <w:sz w:val="24"/>
          <w:highlight w:val="none"/>
        </w:rPr>
        <w:t>农英民</w:t>
      </w:r>
    </w:p>
    <w:p w14:paraId="3DF10510">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eastAsia="zh-CN"/>
        </w:rPr>
        <w:t>0771-4305766</w:t>
      </w:r>
    </w:p>
    <w:p w14:paraId="08638385">
      <w:pPr>
        <w:pStyle w:val="231"/>
        <w:spacing w:line="360" w:lineRule="auto"/>
        <w:ind w:firstLine="480"/>
        <w:rPr>
          <w:rFonts w:ascii="宋体" w:hAnsi="宋体" w:cs="宋体"/>
          <w:color w:val="auto"/>
          <w:sz w:val="24"/>
          <w:szCs w:val="24"/>
          <w:highlight w:val="none"/>
        </w:rPr>
      </w:pPr>
    </w:p>
    <w:p w14:paraId="02704E88">
      <w:pPr>
        <w:pStyle w:val="231"/>
        <w:spacing w:line="360" w:lineRule="auto"/>
        <w:ind w:firstLine="480"/>
        <w:rPr>
          <w:rFonts w:ascii="宋体" w:hAnsi="宋体" w:cs="宋体"/>
          <w:color w:val="auto"/>
          <w:sz w:val="24"/>
          <w:szCs w:val="24"/>
          <w:highlight w:val="none"/>
        </w:rPr>
      </w:pPr>
    </w:p>
    <w:p w14:paraId="01B80904">
      <w:pPr>
        <w:spacing w:line="360" w:lineRule="auto"/>
        <w:ind w:firstLine="480"/>
        <w:jc w:val="right"/>
        <w:rPr>
          <w:rFonts w:hint="eastAsia" w:ascii="宋体" w:hAnsi="宋体" w:cs="宋体"/>
          <w:color w:val="auto"/>
          <w:sz w:val="24"/>
          <w:highlight w:val="none"/>
        </w:rPr>
      </w:pPr>
      <w:r>
        <w:rPr>
          <w:rFonts w:hint="eastAsia" w:ascii="宋体" w:hAnsi="宋体" w:cs="宋体"/>
          <w:color w:val="auto"/>
          <w:sz w:val="24"/>
          <w:highlight w:val="none"/>
        </w:rPr>
        <w:t>广西同泽工程项目管理股份有限公司</w:t>
      </w:r>
    </w:p>
    <w:p w14:paraId="73F0154C">
      <w:pPr>
        <w:spacing w:line="360" w:lineRule="auto"/>
        <w:ind w:firstLine="480"/>
        <w:jc w:val="righ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bookmarkEnd w:id="5"/>
    </w:p>
    <w:p w14:paraId="2A75CF6C">
      <w:pPr>
        <w:pStyle w:val="3"/>
        <w:pageBreakBefore/>
        <w:spacing w:line="380" w:lineRule="exact"/>
        <w:jc w:val="center"/>
        <w:rPr>
          <w:rFonts w:hint="eastAsia" w:ascii="宋体" w:hAnsi="宋体" w:cs="宋体"/>
          <w:color w:val="auto"/>
          <w:highlight w:val="none"/>
        </w:rPr>
      </w:pPr>
      <w:bookmarkStart w:id="36" w:name="_Toc3804"/>
      <w:bookmarkStart w:id="37" w:name="_Toc19557"/>
      <w:bookmarkStart w:id="38" w:name="_Toc10088"/>
      <w:r>
        <w:rPr>
          <w:rFonts w:hint="eastAsia" w:ascii="宋体" w:hAnsi="宋体" w:cs="宋体"/>
          <w:color w:val="auto"/>
          <w:highlight w:val="none"/>
        </w:rPr>
        <w:t>第二章 供应商须知</w:t>
      </w:r>
      <w:bookmarkEnd w:id="36"/>
      <w:bookmarkEnd w:id="37"/>
      <w:bookmarkEnd w:id="38"/>
    </w:p>
    <w:p w14:paraId="2290C9AF">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27A84712">
      <w:pPr>
        <w:spacing w:line="380" w:lineRule="exact"/>
        <w:jc w:val="center"/>
        <w:rPr>
          <w:rFonts w:hint="eastAsia" w:ascii="宋体" w:hAnsi="宋体" w:cs="宋体"/>
          <w:b/>
          <w:color w:val="auto"/>
          <w:sz w:val="32"/>
          <w:szCs w:val="32"/>
          <w:highlight w:val="none"/>
        </w:rPr>
      </w:pP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2A6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39C14C6E">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7912" w:type="dxa"/>
            <w:noWrap w:val="0"/>
            <w:vAlign w:val="top"/>
          </w:tcPr>
          <w:p w14:paraId="556B0E3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45AFB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DE7012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7912" w:type="dxa"/>
            <w:noWrap w:val="0"/>
            <w:vAlign w:val="center"/>
          </w:tcPr>
          <w:p w14:paraId="5A9F4A8B">
            <w:pPr>
              <w:spacing w:line="360" w:lineRule="auto"/>
              <w:rPr>
                <w:rFonts w:hint="eastAsia" w:ascii="宋体" w:hAnsi="宋体" w:cs="宋体"/>
                <w:color w:val="auto"/>
                <w:sz w:val="24"/>
                <w:highlight w:val="none"/>
              </w:rPr>
            </w:pPr>
            <w:r>
              <w:rPr>
                <w:rFonts w:hint="eastAsia" w:ascii="宋体" w:hAnsi="宋体" w:cs="宋体"/>
                <w:bCs/>
                <w:color w:val="auto"/>
                <w:sz w:val="24"/>
                <w:highlight w:val="none"/>
              </w:rPr>
              <w:t>供应商的资格条件</w:t>
            </w:r>
            <w:r>
              <w:rPr>
                <w:rFonts w:hint="eastAsia" w:ascii="宋体" w:hAnsi="宋体" w:cs="宋体"/>
                <w:color w:val="auto"/>
                <w:sz w:val="24"/>
                <w:highlight w:val="none"/>
              </w:rPr>
              <w:t>：详见竞争性磋商公告。</w:t>
            </w:r>
          </w:p>
        </w:tc>
      </w:tr>
      <w:tr w14:paraId="621C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E87FB8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5.1</w:t>
            </w:r>
          </w:p>
        </w:tc>
        <w:tc>
          <w:tcPr>
            <w:tcW w:w="7912" w:type="dxa"/>
            <w:noWrap w:val="0"/>
            <w:vAlign w:val="center"/>
          </w:tcPr>
          <w:p w14:paraId="432C9E43">
            <w:pPr>
              <w:spacing w:line="360" w:lineRule="auto"/>
              <w:rPr>
                <w:rFonts w:hint="eastAsia" w:ascii="宋体" w:hAnsi="宋体" w:cs="宋体"/>
                <w:color w:val="auto"/>
                <w:sz w:val="24"/>
                <w:highlight w:val="none"/>
              </w:rPr>
            </w:pPr>
            <w:r>
              <w:rPr>
                <w:rFonts w:hint="eastAsia" w:ascii="宋体" w:hAnsi="宋体" w:cs="宋体"/>
                <w:color w:val="auto"/>
                <w:sz w:val="24"/>
                <w:highlight w:val="none"/>
              </w:rPr>
              <w:t>是否接受联合体竞标：不接受联合体竞标。</w:t>
            </w:r>
          </w:p>
        </w:tc>
      </w:tr>
      <w:tr w14:paraId="4ACE4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D1E09C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6.2</w:t>
            </w:r>
          </w:p>
        </w:tc>
        <w:tc>
          <w:tcPr>
            <w:tcW w:w="7912" w:type="dxa"/>
            <w:noWrap w:val="0"/>
            <w:vAlign w:val="center"/>
          </w:tcPr>
          <w:p w14:paraId="5561AF49">
            <w:pPr>
              <w:pStyle w:val="16"/>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本项目不允许分包和转包</w:t>
            </w:r>
            <w:r>
              <w:rPr>
                <w:rFonts w:hint="eastAsia" w:ascii="宋体" w:hAnsi="宋体" w:cs="宋体"/>
                <w:color w:val="auto"/>
                <w:sz w:val="24"/>
                <w:highlight w:val="none"/>
                <w:lang w:eastAsia="zh-CN"/>
              </w:rPr>
              <w:t>。</w:t>
            </w:r>
          </w:p>
        </w:tc>
      </w:tr>
      <w:tr w14:paraId="1B38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68D86D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12.1.1</w:t>
            </w:r>
          </w:p>
        </w:tc>
        <w:tc>
          <w:tcPr>
            <w:tcW w:w="7912" w:type="dxa"/>
            <w:noWrap w:val="0"/>
            <w:vAlign w:val="center"/>
          </w:tcPr>
          <w:p w14:paraId="07FFC09F">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资格证明文件</w:t>
            </w:r>
          </w:p>
          <w:p w14:paraId="4C6948FF">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t>1.供应商为法人或者其他组织的提供其营业执照等证明文件（如营业执照或者事业单位法人证书或者执业许可证等）</w:t>
            </w:r>
            <w:bookmarkStart w:id="39" w:name="OLE_LINK19"/>
            <w:r>
              <w:rPr>
                <w:rFonts w:hint="eastAsia" w:ascii="宋体" w:hAnsi="宋体" w:cs="宋体"/>
                <w:color w:val="auto"/>
                <w:sz w:val="24"/>
                <w:highlight w:val="none"/>
              </w:rPr>
              <w:t>；</w:t>
            </w:r>
            <w:bookmarkStart w:id="40" w:name="OLE_LINK20"/>
            <w:r>
              <w:rPr>
                <w:rFonts w:hint="eastAsia" w:ascii="宋体" w:hAnsi="宋体" w:cs="宋体"/>
                <w:color w:val="auto"/>
                <w:sz w:val="24"/>
                <w:highlight w:val="none"/>
              </w:rPr>
              <w:t>（</w:t>
            </w:r>
            <w:r>
              <w:rPr>
                <w:rFonts w:hint="eastAsia" w:ascii="宋体" w:hAnsi="宋体" w:cs="宋体"/>
                <w:b/>
                <w:color w:val="auto"/>
                <w:sz w:val="24"/>
                <w:highlight w:val="none"/>
              </w:rPr>
              <w:t>必须提供</w:t>
            </w:r>
            <w:r>
              <w:rPr>
                <w:rFonts w:hint="eastAsia" w:ascii="宋体" w:hAnsi="宋体" w:cs="宋体"/>
                <w:color w:val="auto"/>
                <w:sz w:val="24"/>
                <w:highlight w:val="none"/>
              </w:rPr>
              <w:t>）</w:t>
            </w:r>
            <w:bookmarkEnd w:id="39"/>
            <w:bookmarkEnd w:id="40"/>
          </w:p>
          <w:p w14:paraId="7B80ECAE">
            <w:pPr>
              <w:pStyle w:val="16"/>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依法缴纳税收的相关材料（响应文件提交截止时间前半年内供应商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7C53505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依法缴纳社会保障资金的相关材料[响应文件提交截止时间前半年内供应商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3CA7A72B">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供应商财务状况报告2024年财务状况报告复印件或者银行出具的资信证明；供应商成立不满一年的应按提供首次响应文件提交截止时间上一个月的财务状况报告复印件或银行出具的资信证明；资信证明应在有效期内，未注明有效期的，银行出具时间至响应文件提交截止时间不超过一年；（</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24079E93">
            <w:pPr>
              <w:pStyle w:val="231"/>
              <w:spacing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5.供应商直接控股、管理关系信息表；（</w:t>
            </w:r>
            <w:r>
              <w:rPr>
                <w:rFonts w:hint="eastAsia" w:ascii="宋体" w:hAnsi="宋体" w:cs="宋体"/>
                <w:b/>
                <w:bCs/>
                <w:color w:val="auto"/>
                <w:sz w:val="24"/>
                <w:szCs w:val="24"/>
                <w:highlight w:val="none"/>
              </w:rPr>
              <w:t>必须提供</w:t>
            </w:r>
            <w:r>
              <w:rPr>
                <w:rFonts w:hint="eastAsia" w:ascii="宋体" w:hAnsi="宋体" w:cs="宋体"/>
                <w:color w:val="auto"/>
                <w:sz w:val="24"/>
                <w:szCs w:val="24"/>
                <w:highlight w:val="none"/>
              </w:rPr>
              <w:t>）</w:t>
            </w:r>
          </w:p>
          <w:p w14:paraId="380A050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6.竞标声明（格式后附）；（</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0ED0D73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.除磋商文件规定必须提供以外，供应商认为需要提供的其他证明材料； </w:t>
            </w:r>
          </w:p>
          <w:p w14:paraId="22461D27">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注：</w:t>
            </w:r>
          </w:p>
          <w:p w14:paraId="1D20517B">
            <w:pPr>
              <w:spacing w:line="360" w:lineRule="auto"/>
              <w:ind w:firstLine="472"/>
              <w:jc w:val="left"/>
              <w:rPr>
                <w:rFonts w:hint="eastAsia" w:ascii="宋体" w:hAnsi="宋体" w:cs="宋体"/>
                <w:b/>
                <w:color w:val="auto"/>
                <w:sz w:val="24"/>
                <w:highlight w:val="none"/>
              </w:rPr>
            </w:pPr>
            <w:r>
              <w:rPr>
                <w:rFonts w:hint="eastAsia" w:ascii="宋体" w:hAnsi="宋体" w:cs="宋体"/>
                <w:b/>
                <w:color w:val="auto"/>
                <w:sz w:val="24"/>
                <w:highlight w:val="none"/>
              </w:rPr>
              <w:t>1.以上标明“必须提供”的材料未提供、或提供的材料不符合要求、或未加盖供应商公章的，响应文件按无效响应处理。</w:t>
            </w:r>
          </w:p>
          <w:p w14:paraId="401060C9">
            <w:pPr>
              <w:spacing w:line="360" w:lineRule="auto"/>
              <w:ind w:firstLine="482"/>
              <w:jc w:val="left"/>
              <w:rPr>
                <w:rFonts w:hint="eastAsia" w:ascii="宋体" w:hAnsi="宋体" w:cs="宋体"/>
                <w:b/>
                <w:color w:val="auto"/>
                <w:sz w:val="24"/>
                <w:highlight w:val="none"/>
              </w:rPr>
            </w:pPr>
            <w:r>
              <w:rPr>
                <w:rFonts w:hint="eastAsia" w:ascii="宋体" w:hAnsi="宋体" w:cs="宋体"/>
                <w:b/>
                <w:color w:val="auto"/>
                <w:sz w:val="24"/>
                <w:highlight w:val="none"/>
              </w:rPr>
              <w:t>2.竞标声明必须由法定代表人在规定签章处签字并加盖供应商公章，否则响应文件按无效响应处理。</w:t>
            </w:r>
          </w:p>
          <w:p w14:paraId="2A585E76">
            <w:pPr>
              <w:spacing w:line="360" w:lineRule="auto"/>
              <w:ind w:firstLine="482"/>
              <w:jc w:val="left"/>
              <w:rPr>
                <w:rFonts w:hint="eastAsia" w:ascii="宋体" w:hAnsi="宋体" w:cs="宋体"/>
                <w:b/>
                <w:color w:val="auto"/>
                <w:sz w:val="24"/>
                <w:highlight w:val="none"/>
              </w:rPr>
            </w:pPr>
            <w:r>
              <w:rPr>
                <w:rFonts w:hint="eastAsia" w:ascii="宋体" w:hAnsi="宋体" w:cs="宋体"/>
                <w:b/>
                <w:color w:val="auto"/>
                <w:sz w:val="24"/>
                <w:highlight w:val="none"/>
              </w:rPr>
              <w:t>3.供应商直接控股、管理关系信息表必须由法定代表人或者委托代理人在规定签章处签字并加盖供应商公章，否则响应文件按无效响应处理。</w:t>
            </w:r>
          </w:p>
        </w:tc>
      </w:tr>
      <w:tr w14:paraId="3AA2D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2EA11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12.1.2</w:t>
            </w:r>
          </w:p>
        </w:tc>
        <w:tc>
          <w:tcPr>
            <w:tcW w:w="7912" w:type="dxa"/>
            <w:noWrap w:val="0"/>
            <w:vAlign w:val="center"/>
          </w:tcPr>
          <w:p w14:paraId="28FBEDB3">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报价商务技术文件</w:t>
            </w:r>
          </w:p>
          <w:p w14:paraId="1DF0EAF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1.无串通竞标行为的承诺函（格式后附）；（</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480BBC33">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2.竞标报价表；（</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3EC918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3.法定代表人身份证明书及法定代表人有效身份证正反面复印件（格式后附）；（</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78CAF292">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4.法定代表人授权委托书及委托代理人有效身份证正反面复印件（格式后附）；（</w:t>
            </w:r>
            <w:r>
              <w:rPr>
                <w:rFonts w:hint="eastAsia" w:ascii="宋体" w:hAnsi="宋体" w:cs="宋体"/>
                <w:b/>
                <w:color w:val="auto"/>
                <w:sz w:val="24"/>
                <w:highlight w:val="none"/>
              </w:rPr>
              <w:t>委托时必须提供</w:t>
            </w:r>
            <w:r>
              <w:rPr>
                <w:rFonts w:hint="eastAsia" w:ascii="宋体" w:hAnsi="宋体" w:cs="宋体"/>
                <w:color w:val="auto"/>
                <w:sz w:val="24"/>
                <w:highlight w:val="none"/>
              </w:rPr>
              <w:t>）</w:t>
            </w:r>
          </w:p>
          <w:p w14:paraId="08E587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5.磋商保证金提交凭证；（</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42D7A5A9">
            <w:pPr>
              <w:spacing w:line="360" w:lineRule="auto"/>
              <w:rPr>
                <w:rFonts w:hint="eastAsia" w:ascii="宋体" w:hAnsi="宋体" w:cs="宋体"/>
                <w:color w:val="auto"/>
                <w:sz w:val="24"/>
                <w:highlight w:val="none"/>
              </w:rPr>
            </w:pPr>
            <w:r>
              <w:rPr>
                <w:rFonts w:hint="eastAsia" w:ascii="宋体" w:hAnsi="宋体" w:cs="宋体"/>
                <w:color w:val="auto"/>
                <w:sz w:val="24"/>
                <w:highlight w:val="none"/>
              </w:rPr>
              <w:t>6.商务条款偏离表（格式后附）；（</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5F81A3D4">
            <w:pPr>
              <w:spacing w:line="360" w:lineRule="auto"/>
              <w:rPr>
                <w:rFonts w:hint="eastAsia" w:ascii="宋体" w:hAnsi="宋体" w:cs="宋体"/>
                <w:color w:val="auto"/>
                <w:sz w:val="24"/>
                <w:highlight w:val="none"/>
              </w:rPr>
            </w:pPr>
            <w:r>
              <w:rPr>
                <w:rFonts w:hint="eastAsia" w:ascii="宋体" w:hAnsi="宋体" w:cs="宋体"/>
                <w:color w:val="auto"/>
                <w:sz w:val="24"/>
                <w:highlight w:val="none"/>
              </w:rPr>
              <w:t>7.服务需求偏离表（格式后附）；（</w:t>
            </w:r>
            <w:r>
              <w:rPr>
                <w:rFonts w:hint="eastAsia" w:ascii="宋体" w:hAnsi="宋体" w:cs="宋体"/>
                <w:b/>
                <w:color w:val="auto"/>
                <w:sz w:val="24"/>
                <w:highlight w:val="none"/>
              </w:rPr>
              <w:t>必须提供</w:t>
            </w:r>
            <w:r>
              <w:rPr>
                <w:rFonts w:hint="eastAsia" w:ascii="宋体" w:hAnsi="宋体" w:cs="宋体"/>
                <w:color w:val="auto"/>
                <w:sz w:val="24"/>
                <w:highlight w:val="none"/>
              </w:rPr>
              <w:t>）</w:t>
            </w:r>
          </w:p>
          <w:p w14:paraId="2E4BFC0A">
            <w:pPr>
              <w:spacing w:line="360" w:lineRule="auto"/>
              <w:rPr>
                <w:rFonts w:hint="eastAsia" w:ascii="宋体" w:hAnsi="宋体" w:cs="宋体"/>
                <w:color w:val="auto"/>
                <w:sz w:val="24"/>
                <w:highlight w:val="none"/>
              </w:rPr>
            </w:pPr>
            <w:r>
              <w:rPr>
                <w:rFonts w:hint="eastAsia" w:ascii="宋体" w:hAnsi="宋体" w:cs="宋体"/>
                <w:color w:val="auto"/>
                <w:sz w:val="24"/>
                <w:highlight w:val="none"/>
              </w:rPr>
              <w:t>8.对应采购需求的技术需求、商务条款提供的其他文件资料；（如有）</w:t>
            </w:r>
          </w:p>
          <w:p w14:paraId="61742797">
            <w:pPr>
              <w:spacing w:line="360" w:lineRule="auto"/>
              <w:rPr>
                <w:rFonts w:hint="eastAsia" w:ascii="宋体" w:hAnsi="宋体" w:cs="宋体"/>
                <w:color w:val="auto"/>
                <w:sz w:val="24"/>
                <w:highlight w:val="none"/>
              </w:rPr>
            </w:pPr>
            <w:r>
              <w:rPr>
                <w:rFonts w:hint="eastAsia" w:ascii="宋体" w:hAnsi="宋体" w:cs="宋体"/>
                <w:color w:val="auto"/>
                <w:sz w:val="24"/>
                <w:highlight w:val="none"/>
              </w:rPr>
              <w:t>9.供应商认为需要提供的其他有关资料。（如有）</w:t>
            </w:r>
          </w:p>
          <w:p w14:paraId="56B09B93">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注： </w:t>
            </w:r>
          </w:p>
          <w:p w14:paraId="764454D0">
            <w:pPr>
              <w:spacing w:line="360" w:lineRule="auto"/>
              <w:ind w:firstLine="472"/>
              <w:jc w:val="left"/>
              <w:rPr>
                <w:rFonts w:hint="eastAsia" w:ascii="宋体" w:hAnsi="宋体" w:cs="宋体"/>
                <w:b/>
                <w:color w:val="auto"/>
                <w:sz w:val="24"/>
                <w:highlight w:val="none"/>
              </w:rPr>
            </w:pPr>
            <w:r>
              <w:rPr>
                <w:rFonts w:hint="eastAsia" w:ascii="宋体" w:hAnsi="宋体" w:cs="宋体"/>
                <w:b/>
                <w:color w:val="auto"/>
                <w:sz w:val="24"/>
                <w:highlight w:val="none"/>
              </w:rPr>
              <w:t>1.法定代表人授权委托书必须由法定代表人及委托代理人签字，并加盖供应商公章，否则响应文件按无效响应处理。</w:t>
            </w:r>
          </w:p>
          <w:p w14:paraId="45962F6C">
            <w:pPr>
              <w:spacing w:line="360" w:lineRule="auto"/>
              <w:ind w:firstLine="472"/>
              <w:rPr>
                <w:rFonts w:hint="eastAsia" w:ascii="宋体" w:hAnsi="宋体" w:cs="宋体"/>
                <w:b/>
                <w:color w:val="auto"/>
                <w:sz w:val="24"/>
                <w:highlight w:val="none"/>
              </w:rPr>
            </w:pPr>
            <w:r>
              <w:rPr>
                <w:rFonts w:hint="eastAsia" w:ascii="宋体" w:hAnsi="宋体" w:cs="宋体"/>
                <w:b/>
                <w:color w:val="auto"/>
                <w:sz w:val="24"/>
                <w:highlight w:val="none"/>
              </w:rPr>
              <w:t>2.以上标明“必须提供”的材料未提供、或提供的材料不符合要求、或未加盖供应商公章的，响应文件按无效响应处理。</w:t>
            </w:r>
          </w:p>
          <w:p w14:paraId="09E0006C">
            <w:pPr>
              <w:spacing w:line="360" w:lineRule="auto"/>
              <w:ind w:firstLine="472"/>
              <w:rPr>
                <w:rFonts w:hint="eastAsia" w:ascii="宋体" w:hAnsi="宋体" w:cs="宋体"/>
                <w:color w:val="auto"/>
                <w:sz w:val="24"/>
                <w:highlight w:val="none"/>
              </w:rPr>
            </w:pPr>
            <w:r>
              <w:rPr>
                <w:rFonts w:hint="eastAsia" w:ascii="宋体" w:hAnsi="宋体" w:cs="宋体"/>
                <w:b/>
                <w:color w:val="auto"/>
                <w:sz w:val="24"/>
                <w:highlight w:val="none"/>
              </w:rPr>
              <w:t>3.以上材料未附格式的，由供应商自行拟定。</w:t>
            </w:r>
          </w:p>
        </w:tc>
      </w:tr>
      <w:tr w14:paraId="3F328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D1A27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12.2</w:t>
            </w:r>
          </w:p>
        </w:tc>
        <w:tc>
          <w:tcPr>
            <w:tcW w:w="7912" w:type="dxa"/>
            <w:noWrap w:val="0"/>
            <w:vAlign w:val="center"/>
          </w:tcPr>
          <w:p w14:paraId="23CF139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响应文件电子版。供应商在递交响应文件时，同时递交响应文件电子版。</w:t>
            </w:r>
          </w:p>
          <w:p w14:paraId="235E3D7A">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1.响应文件电子版内容：与纸质响应文件全部内容一致。</w:t>
            </w:r>
          </w:p>
          <w:p w14:paraId="0113018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2.响应文件电子版形式：可编辑的word文档格式1份和已签字盖章的响应文件正本的扫描件（PDF格式）1份。</w:t>
            </w:r>
          </w:p>
          <w:p w14:paraId="0965675B">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3.响应文件电子版密封方式：响应文件电子版U盘与纸质版响应文件一并装入响应文件袋中。</w:t>
            </w:r>
          </w:p>
        </w:tc>
      </w:tr>
      <w:tr w14:paraId="2796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6486BE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15.2</w:t>
            </w:r>
          </w:p>
        </w:tc>
        <w:tc>
          <w:tcPr>
            <w:tcW w:w="7912" w:type="dxa"/>
            <w:noWrap w:val="0"/>
            <w:vAlign w:val="center"/>
          </w:tcPr>
          <w:p w14:paraId="4E29660C">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竞标报价必须包含满足本次竞标全部采购需求所应提供的服务，以及伴随的货物和工程（如有）的价格；包含竞标服务、货物、工程的成本、运输（含保险）、安装（如有）、调试、检验、技术服务、培训、税费等所有费用。</w:t>
            </w:r>
          </w:p>
        </w:tc>
      </w:tr>
      <w:tr w14:paraId="21C8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65059B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16.2</w:t>
            </w:r>
          </w:p>
        </w:tc>
        <w:tc>
          <w:tcPr>
            <w:tcW w:w="7912" w:type="dxa"/>
            <w:noWrap w:val="0"/>
            <w:vAlign w:val="center"/>
          </w:tcPr>
          <w:p w14:paraId="21758D9C">
            <w:pPr>
              <w:pStyle w:val="14"/>
              <w:widowControl w:val="0"/>
              <w:tabs>
                <w:tab w:val="clear" w:pos="454"/>
              </w:tabs>
              <w:spacing w:line="360" w:lineRule="auto"/>
              <w:ind w:left="324" w:hanging="324"/>
              <w:rPr>
                <w:rFonts w:hint="eastAsia" w:ascii="宋体" w:hAnsi="宋体" w:cs="宋体"/>
                <w:color w:val="auto"/>
                <w:sz w:val="24"/>
                <w:szCs w:val="24"/>
                <w:highlight w:val="none"/>
              </w:rPr>
            </w:pPr>
            <w:r>
              <w:rPr>
                <w:rFonts w:hint="eastAsia" w:ascii="宋体" w:hAnsi="宋体" w:cs="宋体"/>
                <w:color w:val="auto"/>
                <w:sz w:val="24"/>
                <w:szCs w:val="24"/>
                <w:highlight w:val="none"/>
              </w:rPr>
              <w:t>竞标有效期：自首次响应文件提交截止之日起</w:t>
            </w:r>
            <w:r>
              <w:rPr>
                <w:rFonts w:hint="eastAsia" w:ascii="宋体" w:hAnsi="宋体" w:cs="宋体"/>
                <w:color w:val="auto"/>
                <w:sz w:val="24"/>
                <w:szCs w:val="24"/>
                <w:highlight w:val="none"/>
                <w:u w:val="single"/>
              </w:rPr>
              <w:t xml:space="preserve"> 60 </w:t>
            </w:r>
            <w:r>
              <w:rPr>
                <w:rFonts w:hint="eastAsia" w:ascii="宋体" w:hAnsi="宋体" w:cs="宋体"/>
                <w:color w:val="auto"/>
                <w:sz w:val="24"/>
                <w:szCs w:val="24"/>
                <w:highlight w:val="none"/>
              </w:rPr>
              <w:t>日。</w:t>
            </w:r>
          </w:p>
        </w:tc>
      </w:tr>
      <w:tr w14:paraId="010D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C0870D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17.1</w:t>
            </w:r>
          </w:p>
        </w:tc>
        <w:tc>
          <w:tcPr>
            <w:tcW w:w="7912" w:type="dxa"/>
            <w:noWrap w:val="0"/>
            <w:vAlign w:val="center"/>
          </w:tcPr>
          <w:p w14:paraId="6D7ED088">
            <w:pPr>
              <w:spacing w:line="360" w:lineRule="auto"/>
              <w:rPr>
                <w:rFonts w:hint="eastAsia" w:ascii="宋体" w:hAnsi="宋体" w:cs="宋体"/>
                <w:color w:val="auto"/>
                <w:sz w:val="24"/>
                <w:highlight w:val="none"/>
              </w:rPr>
            </w:pPr>
            <w:r>
              <w:rPr>
                <w:rFonts w:hint="eastAsia" w:ascii="宋体" w:hAnsi="宋体" w:cs="宋体"/>
                <w:color w:val="auto"/>
                <w:sz w:val="24"/>
                <w:highlight w:val="none"/>
              </w:rPr>
              <w:t>磋商保证金的交纳方式：详见竞争性磋商公告。</w:t>
            </w:r>
          </w:p>
          <w:p w14:paraId="4275E4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磋商保证金的金额：详见竞争性磋商公告。</w:t>
            </w:r>
          </w:p>
          <w:p w14:paraId="098D29B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相关要求：</w:t>
            </w:r>
          </w:p>
          <w:p w14:paraId="15317901">
            <w:pPr>
              <w:spacing w:line="360" w:lineRule="auto"/>
              <w:rPr>
                <w:rFonts w:hint="eastAsia" w:ascii="宋体" w:hAnsi="宋体" w:cs="宋体"/>
                <w:color w:val="auto"/>
                <w:sz w:val="24"/>
                <w:highlight w:val="none"/>
              </w:rPr>
            </w:pPr>
            <w:r>
              <w:rPr>
                <w:rFonts w:hint="eastAsia" w:ascii="宋体" w:hAnsi="宋体" w:cs="宋体"/>
                <w:color w:val="auto"/>
                <w:sz w:val="24"/>
                <w:highlight w:val="none"/>
              </w:rPr>
              <w:t>1.磋商保证金采用银行转账交纳方式的，在首次响应文件提交截止时间前交至采购代理机构指定账户并且到账，供应商应将银行转账底单的复印件作为磋商保证金提交凭证，放置于报价商务技术文件中，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4D66000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 w:val="24"/>
                <w:highlight w:val="none"/>
              </w:rPr>
              <w:t>否则投标无效</w:t>
            </w:r>
            <w:r>
              <w:rPr>
                <w:rFonts w:hint="eastAsia" w:ascii="宋体" w:hAnsi="宋体" w:cs="宋体"/>
                <w:color w:val="auto"/>
                <w:sz w:val="24"/>
                <w:highlight w:val="none"/>
              </w:rPr>
              <w:t>。供应商必须于递交响应文件时将支票、汇票、本票或者金融、担保机构出具的保函原件提交给采购人或者采购代理机构，由采购人或者采购代理机构向供应商出具回执，并妥善保管。</w:t>
            </w:r>
          </w:p>
          <w:p w14:paraId="570650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3.磋商保证金指定账户：详见竞争性磋商公告。</w:t>
            </w:r>
          </w:p>
          <w:p w14:paraId="4E4A15A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备注： </w:t>
            </w:r>
          </w:p>
          <w:p w14:paraId="4E8BA43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1.磋商保证金在首次响应文件提交截止时间后提交的，或者不按规定交纳方式交纳的，或者未足额交纳的（包含保函额度不足的），视为无效磋商保证金。</w:t>
            </w:r>
          </w:p>
          <w:p w14:paraId="609797F9">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2.供应商采用现钞方式或者从个人账户（自然人竞标除外）转出的磋商保证金，视为无效磋商保证金。</w:t>
            </w:r>
          </w:p>
          <w:p w14:paraId="7E38840B">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3.支票、汇票或者本票出现无效或者背书情形的，视为无效磋商保证金。</w:t>
            </w:r>
          </w:p>
          <w:p w14:paraId="373440DC">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4.保函有效期低于竞标有效期的，视为无效磋商保证金。</w:t>
            </w:r>
          </w:p>
          <w:p w14:paraId="302E226D">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5.采用金融、担保机构出具保函的，必须为无条件保函，否则视为无效磋商保证金。</w:t>
            </w:r>
          </w:p>
        </w:tc>
      </w:tr>
      <w:tr w14:paraId="21167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BFCAB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18.2</w:t>
            </w:r>
          </w:p>
        </w:tc>
        <w:tc>
          <w:tcPr>
            <w:tcW w:w="7912" w:type="dxa"/>
            <w:noWrap w:val="0"/>
            <w:vAlign w:val="center"/>
          </w:tcPr>
          <w:p w14:paraId="008EB42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响应文件份数：</w:t>
            </w:r>
            <w:r>
              <w:rPr>
                <w:rFonts w:hint="eastAsia" w:ascii="宋体" w:hAnsi="宋体" w:cs="宋体"/>
                <w:b/>
                <w:color w:val="auto"/>
                <w:sz w:val="24"/>
                <w:highlight w:val="none"/>
              </w:rPr>
              <w:t>正本一份、副本三份</w:t>
            </w:r>
            <w:r>
              <w:rPr>
                <w:rFonts w:hint="eastAsia" w:ascii="宋体" w:hAnsi="宋体" w:cs="宋体"/>
                <w:color w:val="auto"/>
                <w:sz w:val="24"/>
                <w:highlight w:val="none"/>
              </w:rPr>
              <w:t>。</w:t>
            </w:r>
          </w:p>
        </w:tc>
      </w:tr>
      <w:tr w14:paraId="2A18D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2DCCE7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20.1</w:t>
            </w:r>
          </w:p>
        </w:tc>
        <w:tc>
          <w:tcPr>
            <w:tcW w:w="7912" w:type="dxa"/>
            <w:noWrap w:val="0"/>
            <w:vAlign w:val="center"/>
          </w:tcPr>
          <w:p w14:paraId="06FB8BBD">
            <w:pPr>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1.首次响应文件提交起止时间：详见竞争性磋商公告。</w:t>
            </w:r>
          </w:p>
          <w:p w14:paraId="5C1AEFE0">
            <w:pPr>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2.首次响应文件提交截止时间：详见竞争性磋商公告。</w:t>
            </w:r>
          </w:p>
          <w:p w14:paraId="62E466C0">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3.首次响应文件提交地点：详见竞争性磋商公告。</w:t>
            </w:r>
          </w:p>
          <w:p w14:paraId="0C4B5F87">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4.供应商必须在首次响应文件提交截止时间前，将响应文件密封送达首次响应文件提交地点。在首次响应文件提交截止时间后送达的响应文件为无效文件，采购代理机构应当拒收。</w:t>
            </w:r>
          </w:p>
        </w:tc>
      </w:tr>
      <w:tr w14:paraId="65F00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16E64B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24.1</w:t>
            </w:r>
          </w:p>
        </w:tc>
        <w:tc>
          <w:tcPr>
            <w:tcW w:w="7912" w:type="dxa"/>
            <w:noWrap w:val="0"/>
            <w:vAlign w:val="center"/>
          </w:tcPr>
          <w:p w14:paraId="2E0349C1">
            <w:pPr>
              <w:spacing w:line="360"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磋商小组的人数：</w:t>
            </w:r>
            <w:r>
              <w:rPr>
                <w:rFonts w:hint="eastAsia" w:ascii="宋体" w:hAnsi="宋体" w:cs="宋体"/>
                <w:color w:val="auto"/>
                <w:sz w:val="24"/>
                <w:highlight w:val="none"/>
                <w:u w:val="single"/>
              </w:rPr>
              <w:t>3</w:t>
            </w:r>
            <w:r>
              <w:rPr>
                <w:rFonts w:hint="eastAsia" w:ascii="宋体" w:hAnsi="宋体" w:cs="宋体"/>
                <w:color w:val="auto"/>
                <w:sz w:val="24"/>
                <w:highlight w:val="none"/>
              </w:rPr>
              <w:t>人。</w:t>
            </w:r>
          </w:p>
        </w:tc>
      </w:tr>
      <w:tr w14:paraId="6CF1A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restart"/>
            <w:noWrap w:val="0"/>
            <w:vAlign w:val="center"/>
          </w:tcPr>
          <w:p w14:paraId="2BD4918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26.2</w:t>
            </w:r>
          </w:p>
        </w:tc>
        <w:tc>
          <w:tcPr>
            <w:tcW w:w="7912" w:type="dxa"/>
            <w:noWrap w:val="0"/>
            <w:vAlign w:val="center"/>
          </w:tcPr>
          <w:p w14:paraId="03B0D661">
            <w:pPr>
              <w:spacing w:line="360" w:lineRule="auto"/>
              <w:rPr>
                <w:rFonts w:hint="eastAsia"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项。</w:t>
            </w:r>
          </w:p>
          <w:p w14:paraId="223CCA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lang w:val="en-US" w:eastAsia="zh-CN"/>
              </w:rPr>
              <w:t xml:space="preserve"> 0 </w:t>
            </w:r>
            <w:r>
              <w:rPr>
                <w:rFonts w:hint="eastAsia" w:ascii="宋体" w:hAnsi="宋体" w:cs="宋体"/>
                <w:color w:val="auto"/>
                <w:sz w:val="24"/>
                <w:highlight w:val="none"/>
              </w:rPr>
              <w:t>项。</w:t>
            </w:r>
          </w:p>
        </w:tc>
      </w:tr>
      <w:tr w14:paraId="1FCBB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2B186C16">
            <w:pPr>
              <w:spacing w:line="360" w:lineRule="auto"/>
              <w:jc w:val="center"/>
              <w:rPr>
                <w:rFonts w:hint="eastAsia" w:ascii="宋体" w:hAnsi="宋体" w:cs="宋体"/>
                <w:color w:val="auto"/>
                <w:sz w:val="24"/>
                <w:highlight w:val="none"/>
              </w:rPr>
            </w:pPr>
          </w:p>
        </w:tc>
        <w:tc>
          <w:tcPr>
            <w:tcW w:w="7912" w:type="dxa"/>
            <w:noWrap w:val="0"/>
            <w:vAlign w:val="center"/>
          </w:tcPr>
          <w:p w14:paraId="6A31FD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磋商的顺序：按照提交首次响应文件的顺序，通知磋商时，若某供应商不在通知现场时（该供应商排序到最后磋商），按照签到的顺序由其下一位供应商先参与磋商。</w:t>
            </w:r>
          </w:p>
          <w:p w14:paraId="3D70196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33B6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BD54E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28.1</w:t>
            </w:r>
          </w:p>
        </w:tc>
        <w:tc>
          <w:tcPr>
            <w:tcW w:w="7912" w:type="dxa"/>
            <w:noWrap w:val="0"/>
            <w:vAlign w:val="center"/>
          </w:tcPr>
          <w:p w14:paraId="2D0E2116">
            <w:pPr>
              <w:spacing w:line="430" w:lineRule="exac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本项目不收取履约保证金。</w:t>
            </w:r>
          </w:p>
          <w:p w14:paraId="15860408">
            <w:pPr>
              <w:spacing w:line="430" w:lineRule="exact"/>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本项目收取履约保证金，具体规定如下：</w:t>
            </w:r>
          </w:p>
          <w:p w14:paraId="0394F013">
            <w:pPr>
              <w:spacing w:line="43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履约保证金金额：合同金额的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b w:val="0"/>
                <w:bCs w:val="0"/>
                <w:color w:val="auto"/>
                <w:sz w:val="24"/>
                <w:highlight w:val="none"/>
              </w:rPr>
              <w:t>（成交供应商为中小企业的按成交金额的2%提交履约保证金）</w:t>
            </w:r>
          </w:p>
          <w:p w14:paraId="1EC3F76A">
            <w:pPr>
              <w:spacing w:line="360" w:lineRule="auto"/>
              <w:rPr>
                <w:rFonts w:hint="eastAsia" w:ascii="宋体" w:hAnsi="宋体" w:cs="宋体"/>
                <w:b w:val="0"/>
                <w:bCs w:val="0"/>
                <w:color w:val="auto"/>
                <w:sz w:val="24"/>
                <w:highlight w:val="yellow"/>
              </w:rPr>
            </w:pPr>
            <w:r>
              <w:rPr>
                <w:rFonts w:hint="eastAsia" w:ascii="宋体" w:hAnsi="宋体" w:cs="宋体"/>
                <w:b w:val="0"/>
                <w:bCs w:val="0"/>
                <w:color w:val="auto"/>
                <w:sz w:val="24"/>
                <w:highlight w:val="none"/>
              </w:rPr>
              <w:t>2.履约保证金递交方式：以电汇、转账、汇票等非现金形式提交。由</w:t>
            </w:r>
            <w:r>
              <w:rPr>
                <w:rFonts w:hint="eastAsia" w:ascii="宋体" w:hAnsi="宋体" w:cs="宋体"/>
                <w:b w:val="0"/>
                <w:bCs w:val="0"/>
                <w:color w:val="auto"/>
                <w:sz w:val="24"/>
                <w:highlight w:val="none"/>
                <w:lang w:val="en-US" w:eastAsia="zh-CN"/>
              </w:rPr>
              <w:t>成交供应商</w:t>
            </w:r>
            <w:r>
              <w:rPr>
                <w:rFonts w:hint="eastAsia" w:ascii="宋体" w:hAnsi="宋体" w:cs="宋体"/>
                <w:b w:val="0"/>
                <w:bCs w:val="0"/>
                <w:color w:val="auto"/>
                <w:sz w:val="24"/>
                <w:highlight w:val="none"/>
              </w:rPr>
              <w:t>在签订合同前按规定的金额直接缴入</w:t>
            </w:r>
            <w:r>
              <w:rPr>
                <w:rFonts w:hint="eastAsia" w:ascii="宋体" w:hAnsi="宋体" w:eastAsia="宋体" w:cs="宋体"/>
                <w:b w:val="0"/>
                <w:bCs w:val="0"/>
                <w:color w:val="auto"/>
                <w:sz w:val="24"/>
                <w:highlight w:val="none"/>
              </w:rPr>
              <w:t>广西壮族自治区卫生健康委员会项目资金监管服务中心</w:t>
            </w:r>
            <w:r>
              <w:rPr>
                <w:rFonts w:hint="eastAsia" w:ascii="宋体" w:hAnsi="宋体" w:cs="宋体"/>
                <w:b w:val="0"/>
                <w:bCs w:val="0"/>
                <w:color w:val="auto"/>
                <w:sz w:val="24"/>
                <w:highlight w:val="none"/>
              </w:rPr>
              <w:t xml:space="preserve">账户，账户名称: </w:t>
            </w:r>
            <w:r>
              <w:rPr>
                <w:rFonts w:hint="eastAsia" w:ascii="宋体" w:hAnsi="宋体" w:cs="宋体"/>
                <w:b w:val="0"/>
                <w:bCs w:val="0"/>
                <w:color w:val="auto"/>
                <w:sz w:val="24"/>
                <w:highlight w:val="none"/>
                <w:lang w:val="en-US" w:eastAsia="zh-CN"/>
              </w:rPr>
              <w:t>/</w:t>
            </w:r>
            <w:r>
              <w:rPr>
                <w:rFonts w:hint="eastAsia" w:ascii="宋体" w:hAnsi="宋体" w:cs="宋体"/>
                <w:b w:val="0"/>
                <w:bCs w:val="0"/>
                <w:color w:val="auto"/>
                <w:sz w:val="24"/>
                <w:highlight w:val="none"/>
              </w:rPr>
              <w:t>；开户行：</w:t>
            </w:r>
            <w:r>
              <w:rPr>
                <w:rFonts w:hint="eastAsia" w:ascii="宋体" w:hAnsi="宋体" w:cs="宋体"/>
                <w:b w:val="0"/>
                <w:bCs w:val="0"/>
                <w:color w:val="auto"/>
                <w:sz w:val="24"/>
                <w:highlight w:val="none"/>
                <w:lang w:val="en-US" w:eastAsia="zh-CN"/>
              </w:rPr>
              <w:t>/</w:t>
            </w:r>
            <w:r>
              <w:rPr>
                <w:rFonts w:hint="eastAsia" w:ascii="宋体" w:hAnsi="宋体" w:cs="宋体"/>
                <w:b w:val="0"/>
                <w:bCs w:val="0"/>
                <w:color w:val="auto"/>
                <w:sz w:val="24"/>
                <w:highlight w:val="none"/>
              </w:rPr>
              <w:t>；银行账号：</w:t>
            </w:r>
            <w:r>
              <w:rPr>
                <w:rFonts w:hint="eastAsia" w:ascii="宋体" w:hAnsi="宋体" w:cs="宋体"/>
                <w:b w:val="0"/>
                <w:bCs w:val="0"/>
                <w:color w:val="auto"/>
                <w:sz w:val="24"/>
                <w:highlight w:val="none"/>
                <w:lang w:val="en-US" w:eastAsia="zh-CN"/>
              </w:rPr>
              <w:t>/</w:t>
            </w:r>
            <w:r>
              <w:rPr>
                <w:rFonts w:hint="eastAsia" w:ascii="宋体" w:hAnsi="宋体" w:cs="宋体"/>
                <w:b w:val="0"/>
                <w:bCs w:val="0"/>
                <w:color w:val="auto"/>
                <w:sz w:val="24"/>
                <w:highlight w:val="none"/>
              </w:rPr>
              <w:t>。</w:t>
            </w:r>
          </w:p>
          <w:p w14:paraId="3E803B36">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3.因成交供应商原因逾期10日未交付合同货物或服务的，采购人有权解除合同，不支付合同款项，没收项目全部的履约保证金（如有），采购人有权追回已支付的全部预付款项（如有），按成交供应商违约收取违约金，给采购人造成损失的，采购人依法进行追偿。</w:t>
            </w:r>
          </w:p>
          <w:p w14:paraId="7CC8995B">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成交供应商提供不符合采购需求和本合同规定的货物或服务的，采购人有权拒绝接受并要求成交供应商在5日内负责更换或补充符合采购需求和本合同规定的货物及服务。如成交供应商未能在约定期限内完成整改，采购人可单方面解除合同，采购人有权解除合同，不支付合同款项，采购人有权追回已支付的全部预付款项（如有），并要求成交供应商支付合同总值5%的违约金，违约金不足以弥补采购人损失的，成交供应商还应负责赔偿。</w:t>
            </w:r>
          </w:p>
          <w:p w14:paraId="4E87810C">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rPr>
              <w:t>.质保期内成交供应商应按竞标时响应的需求参数、售后服务及合同条款等约定履行义务， 如在质保期内成交供应商收到采购人的售后服 务申请后未按要求履行售后服务的，采购人有权按每次1000元的金额扣除履约保证金（如有），累计3次（含）不提供售后服务的，采购人有权要求成交供应商按合同金额的5%支付违约金。因成交供应商未提供售后服务，采购人有权委托第三方进行维护排除故障， 由此产生的费用，采购人有权从履约保证金中扣除或向成交供应商追偿。</w:t>
            </w:r>
          </w:p>
          <w:p w14:paraId="4C52D76D">
            <w:pPr>
              <w:spacing w:line="360" w:lineRule="auto"/>
              <w:rPr>
                <w:rFonts w:hint="eastAsia" w:ascii="宋体" w:hAnsi="宋体" w:cs="宋体"/>
                <w:b/>
                <w:bCs/>
                <w:color w:val="auto"/>
                <w:sz w:val="24"/>
                <w:highlight w:val="none"/>
              </w:rPr>
            </w:pPr>
            <w:r>
              <w:rPr>
                <w:rFonts w:hint="eastAsia" w:ascii="宋体" w:hAnsi="宋体" w:cs="宋体"/>
                <w:b w:val="0"/>
                <w:bCs w:val="0"/>
                <w:color w:val="auto"/>
                <w:sz w:val="24"/>
                <w:highlight w:val="none"/>
                <w:lang w:val="en-US" w:eastAsia="zh-CN"/>
              </w:rPr>
              <w:t>6</w:t>
            </w:r>
            <w:r>
              <w:rPr>
                <w:rFonts w:hint="eastAsia" w:ascii="宋体" w:hAnsi="宋体" w:cs="宋体"/>
                <w:b w:val="0"/>
                <w:bCs w:val="0"/>
                <w:color w:val="auto"/>
                <w:sz w:val="24"/>
                <w:highlight w:val="none"/>
              </w:rPr>
              <w:t>.合同签订生效之日起的5个工作日内，成交供应商向采购人交纳合同总金额5%履约保证金（成交供应商为中小企业的按成交金额的2%提交履约保证金），项目正式验收合格质保期内项目无问题后无息退还履约保证金。</w:t>
            </w:r>
          </w:p>
        </w:tc>
      </w:tr>
      <w:tr w14:paraId="1C791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677BF37">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29.1</w:t>
            </w:r>
          </w:p>
        </w:tc>
        <w:tc>
          <w:tcPr>
            <w:tcW w:w="7912" w:type="dxa"/>
            <w:noWrap w:val="0"/>
            <w:vAlign w:val="center"/>
          </w:tcPr>
          <w:p w14:paraId="29AB581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60F08F9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委托代理人负责签订合同的，须携带授权委托书及委托代理人身份证原件等其他资格证件。</w:t>
            </w:r>
          </w:p>
          <w:p w14:paraId="1AF3339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法定代表人负责签订合同的，须携带法定代表人身份证明原件及身份证原件等其他证明材料。</w:t>
            </w:r>
          </w:p>
        </w:tc>
      </w:tr>
      <w:tr w14:paraId="3311E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7A5BF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31.2</w:t>
            </w:r>
          </w:p>
        </w:tc>
        <w:tc>
          <w:tcPr>
            <w:tcW w:w="7912" w:type="dxa"/>
            <w:noWrap w:val="0"/>
            <w:vAlign w:val="center"/>
          </w:tcPr>
          <w:p w14:paraId="54AA272B">
            <w:pPr>
              <w:spacing w:line="360" w:lineRule="auto"/>
              <w:rPr>
                <w:rFonts w:hint="eastAsia" w:ascii="宋体" w:hAnsi="宋体" w:cs="宋体"/>
                <w:color w:val="auto"/>
                <w:sz w:val="24"/>
                <w:highlight w:val="none"/>
              </w:rPr>
            </w:pPr>
            <w:r>
              <w:rPr>
                <w:rFonts w:hint="eastAsia" w:ascii="宋体" w:hAnsi="宋体" w:cs="宋体"/>
                <w:color w:val="auto"/>
                <w:sz w:val="24"/>
                <w:highlight w:val="none"/>
              </w:rPr>
              <w:t>接收质疑函方式：以书面形式。</w:t>
            </w:r>
          </w:p>
          <w:p w14:paraId="03A342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质疑联系部门及联系方式：广西同泽工程项目管理股份有限公司，联系电话：</w:t>
            </w:r>
            <w:r>
              <w:rPr>
                <w:rFonts w:hint="eastAsia" w:ascii="宋体" w:hAnsi="宋体" w:cs="宋体"/>
                <w:color w:val="auto"/>
                <w:sz w:val="24"/>
                <w:highlight w:val="none"/>
                <w:lang w:eastAsia="zh-CN"/>
              </w:rPr>
              <w:t>0771-4305766</w:t>
            </w:r>
            <w:r>
              <w:rPr>
                <w:rFonts w:hint="eastAsia" w:ascii="宋体" w:hAnsi="宋体" w:cs="宋体"/>
                <w:color w:val="auto"/>
                <w:sz w:val="24"/>
                <w:highlight w:val="none"/>
              </w:rPr>
              <w:t>，通讯地址：南宁市良庆区凯旋路16号裕达国际中心广东大厦18层</w:t>
            </w:r>
            <w:r>
              <w:rPr>
                <w:rFonts w:hint="eastAsia" w:ascii="宋体" w:hAnsi="宋体" w:cs="宋体"/>
                <w:color w:val="auto"/>
                <w:sz w:val="24"/>
                <w:highlight w:val="none"/>
                <w:lang w:val="en-US" w:eastAsia="zh-CN"/>
              </w:rPr>
              <w:t>众创中心</w:t>
            </w:r>
            <w:r>
              <w:rPr>
                <w:rFonts w:hint="eastAsia" w:ascii="宋体" w:hAnsi="宋体" w:cs="宋体"/>
                <w:color w:val="auto"/>
                <w:sz w:val="24"/>
                <w:highlight w:val="none"/>
              </w:rPr>
              <w:t>。</w:t>
            </w:r>
          </w:p>
          <w:p w14:paraId="04FFC6AD">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业务时间：上午9时00分到12时00分，下午2时30分到5时30分，业务时间以外、双休日和法定节假日不办理业务。</w:t>
            </w:r>
          </w:p>
        </w:tc>
      </w:tr>
      <w:tr w14:paraId="41DF7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jc w:val="center"/>
        </w:trPr>
        <w:tc>
          <w:tcPr>
            <w:tcW w:w="992" w:type="dxa"/>
            <w:noWrap w:val="0"/>
            <w:vAlign w:val="center"/>
          </w:tcPr>
          <w:p w14:paraId="15747F6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32.1</w:t>
            </w:r>
          </w:p>
        </w:tc>
        <w:tc>
          <w:tcPr>
            <w:tcW w:w="7912" w:type="dxa"/>
            <w:noWrap w:val="0"/>
            <w:vAlign w:val="center"/>
          </w:tcPr>
          <w:p w14:paraId="50CA31D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代理服务费收费标准：</w:t>
            </w:r>
            <w:r>
              <w:rPr>
                <w:rFonts w:hint="eastAsia" w:ascii="宋体" w:hAnsi="宋体" w:eastAsia="宋体" w:cs="宋体"/>
                <w:color w:val="auto"/>
                <w:sz w:val="24"/>
                <w:highlight w:val="none"/>
                <w:lang w:val="en-US" w:eastAsia="zh-CN"/>
              </w:rPr>
              <w:t>招标代理服务费参照</w:t>
            </w:r>
            <w:r>
              <w:rPr>
                <w:rFonts w:hint="eastAsia" w:ascii="宋体" w:hAnsi="宋体" w:eastAsia="宋体" w:cs="宋体"/>
                <w:color w:val="auto"/>
                <w:sz w:val="24"/>
                <w:highlight w:val="none"/>
              </w:rPr>
              <w:t>国家发展计划委员会《招标代理服务费管理暂行办法》（计价格〔2002〕1980号收费标准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、《国家发展改革委关于降低部分建设项目收费标准规范收费行为等有关问题的通知》（发改价格〔2011〕534号）规定的基础上下浮 </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 xml:space="preserve"> %收取。</w:t>
            </w:r>
            <w:r>
              <w:rPr>
                <w:rFonts w:hint="eastAsia" w:ascii="宋体" w:hAnsi="宋体" w:cs="宋体"/>
                <w:color w:val="auto"/>
                <w:sz w:val="24"/>
                <w:highlight w:val="none"/>
              </w:rPr>
              <w:t>签订合同前，中标（成交）供应商应向乙方一次付清代理服务费。</w:t>
            </w:r>
          </w:p>
        </w:tc>
      </w:tr>
      <w:tr w14:paraId="5AA9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4061C5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33.1</w:t>
            </w:r>
          </w:p>
        </w:tc>
        <w:tc>
          <w:tcPr>
            <w:tcW w:w="7912" w:type="dxa"/>
            <w:noWrap w:val="0"/>
            <w:vAlign w:val="center"/>
          </w:tcPr>
          <w:p w14:paraId="248A244E">
            <w:pPr>
              <w:pStyle w:val="23"/>
              <w:spacing w:line="360" w:lineRule="auto"/>
              <w:rPr>
                <w:rFonts w:hint="eastAsia" w:hAnsi="宋体" w:cs="宋体"/>
                <w:color w:val="auto"/>
                <w:sz w:val="24"/>
                <w:szCs w:val="24"/>
                <w:highlight w:val="none"/>
              </w:rPr>
            </w:pPr>
            <w:r>
              <w:rPr>
                <w:rFonts w:hint="eastAsia" w:hAnsi="宋体" w:cs="宋体"/>
                <w:color w:val="auto"/>
                <w:sz w:val="24"/>
                <w:szCs w:val="24"/>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BBFA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AA7ABD">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33.2</w:t>
            </w:r>
          </w:p>
        </w:tc>
        <w:tc>
          <w:tcPr>
            <w:tcW w:w="7912" w:type="dxa"/>
            <w:noWrap w:val="0"/>
            <w:vAlign w:val="center"/>
          </w:tcPr>
          <w:p w14:paraId="3D4EB502">
            <w:pPr>
              <w:pStyle w:val="23"/>
              <w:spacing w:line="360" w:lineRule="auto"/>
              <w:rPr>
                <w:rFonts w:hint="eastAsia" w:hAnsi="宋体" w:cs="宋体"/>
                <w:color w:val="auto"/>
                <w:sz w:val="24"/>
                <w:szCs w:val="24"/>
                <w:highlight w:val="none"/>
              </w:rPr>
            </w:pPr>
            <w:r>
              <w:rPr>
                <w:rFonts w:hint="eastAsia" w:hAnsi="宋体" w:cs="宋体"/>
                <w:color w:val="auto"/>
                <w:sz w:val="24"/>
                <w:szCs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2941EDE">
            <w:pPr>
              <w:pStyle w:val="23"/>
              <w:spacing w:line="360" w:lineRule="auto"/>
              <w:rPr>
                <w:rFonts w:hint="eastAsia" w:hAnsi="宋体" w:cs="宋体"/>
                <w:color w:val="auto"/>
                <w:sz w:val="24"/>
                <w:szCs w:val="24"/>
                <w:highlight w:val="none"/>
              </w:rPr>
            </w:pPr>
            <w:r>
              <w:rPr>
                <w:rFonts w:hint="eastAsia" w:hAnsi="宋体" w:cs="宋体"/>
                <w:color w:val="auto"/>
                <w:sz w:val="24"/>
                <w:szCs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89DC656">
            <w:pPr>
              <w:pStyle w:val="23"/>
              <w:spacing w:line="360" w:lineRule="auto"/>
              <w:rPr>
                <w:rFonts w:hint="eastAsia" w:hAnsi="宋体" w:cs="宋体"/>
                <w:color w:val="auto"/>
                <w:sz w:val="24"/>
                <w:szCs w:val="24"/>
                <w:highlight w:val="none"/>
              </w:rPr>
            </w:pPr>
            <w:r>
              <w:rPr>
                <w:rFonts w:hint="eastAsia" w:hAnsi="宋体" w:cs="宋体"/>
                <w:color w:val="auto"/>
                <w:sz w:val="24"/>
                <w:szCs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487E117A">
            <w:pPr>
              <w:pStyle w:val="23"/>
              <w:spacing w:line="360" w:lineRule="auto"/>
              <w:rPr>
                <w:rFonts w:hint="eastAsia" w:hAnsi="宋体" w:cs="宋体"/>
                <w:color w:val="auto"/>
                <w:sz w:val="24"/>
                <w:szCs w:val="24"/>
                <w:highlight w:val="none"/>
              </w:rPr>
            </w:pPr>
            <w:r>
              <w:rPr>
                <w:rFonts w:hint="eastAsia" w:hAnsi="宋体" w:cs="宋体"/>
                <w:color w:val="auto"/>
                <w:sz w:val="24"/>
                <w:szCs w:val="24"/>
                <w:highlight w:val="none"/>
              </w:rPr>
              <w:t>4.自然人竞标的，磋商文件规定盖公章处由自然人摁手指指印。</w:t>
            </w:r>
          </w:p>
          <w:p w14:paraId="15034558">
            <w:pPr>
              <w:pStyle w:val="23"/>
              <w:spacing w:line="360" w:lineRule="auto"/>
              <w:rPr>
                <w:rFonts w:hint="eastAsia" w:hAnsi="宋体" w:cs="宋体"/>
                <w:color w:val="auto"/>
                <w:sz w:val="24"/>
                <w:szCs w:val="24"/>
                <w:highlight w:val="none"/>
              </w:rPr>
            </w:pPr>
            <w:r>
              <w:rPr>
                <w:rFonts w:hint="eastAsia" w:hAnsi="宋体" w:cs="宋体"/>
                <w:color w:val="auto"/>
                <w:sz w:val="24"/>
                <w:szCs w:val="24"/>
                <w:highlight w:val="none"/>
              </w:rPr>
              <w:t>5.本磋商文件所称的“以上”“以下”“以内”“届满”，包括本数；所称的“不满”“超过”“以外”，不包括本数。</w:t>
            </w:r>
          </w:p>
        </w:tc>
      </w:tr>
    </w:tbl>
    <w:p w14:paraId="0E8B31CF">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21"/>
          <w:szCs w:val="21"/>
          <w:highlight w:val="none"/>
        </w:rPr>
        <w:br w:type="page"/>
      </w:r>
      <w:r>
        <w:rPr>
          <w:rFonts w:hint="eastAsia" w:ascii="宋体" w:hAnsi="宋体" w:cs="宋体"/>
          <w:b/>
          <w:color w:val="auto"/>
          <w:sz w:val="32"/>
          <w:szCs w:val="32"/>
          <w:highlight w:val="none"/>
        </w:rPr>
        <w:t>供应商须知正文</w:t>
      </w:r>
    </w:p>
    <w:p w14:paraId="50785DA8">
      <w:pPr>
        <w:spacing w:line="380" w:lineRule="exact"/>
        <w:jc w:val="center"/>
        <w:rPr>
          <w:rFonts w:hint="eastAsia" w:ascii="宋体" w:hAnsi="宋体" w:cs="宋体"/>
          <w:b/>
          <w:color w:val="auto"/>
          <w:sz w:val="32"/>
          <w:szCs w:val="32"/>
          <w:highlight w:val="none"/>
        </w:rPr>
      </w:pPr>
    </w:p>
    <w:p w14:paraId="74173F06">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一、总则</w:t>
      </w:r>
    </w:p>
    <w:p w14:paraId="07D4192B">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1.适用范围</w:t>
      </w:r>
    </w:p>
    <w:p w14:paraId="1BCCA78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1.1本项目参照《政府采购竞争性磋商采购方式管理暂行办法》《财政部关于政府采购竞争性磋商采购方式管理暂行办法有关问题的补充通知》的有关规定组织采购活动。</w:t>
      </w:r>
    </w:p>
    <w:p w14:paraId="353C95B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1E998091">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2.定义</w:t>
      </w:r>
    </w:p>
    <w:p w14:paraId="4281D05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2.1“采购人”是</w:t>
      </w:r>
      <w:r>
        <w:rPr>
          <w:rFonts w:hint="eastAsia" w:ascii="宋体" w:hAnsi="宋体" w:cs="宋体"/>
          <w:b w:val="0"/>
          <w:bCs w:val="0"/>
          <w:color w:val="auto"/>
          <w:sz w:val="24"/>
          <w:highlight w:val="none"/>
        </w:rPr>
        <w:t>指</w:t>
      </w:r>
      <w:r>
        <w:rPr>
          <w:rFonts w:hint="eastAsia" w:ascii="宋体" w:hAnsi="宋体" w:eastAsia="宋体" w:cs="宋体"/>
          <w:b w:val="0"/>
          <w:bCs w:val="0"/>
          <w:color w:val="auto"/>
          <w:sz w:val="24"/>
          <w:highlight w:val="none"/>
        </w:rPr>
        <w:t>广西壮族自治区卫生健康委员会项目资金监管服务中心</w:t>
      </w:r>
      <w:r>
        <w:rPr>
          <w:rFonts w:hint="eastAsia" w:ascii="宋体" w:hAnsi="宋体" w:cs="宋体"/>
          <w:color w:val="auto"/>
          <w:sz w:val="24"/>
          <w:highlight w:val="none"/>
        </w:rPr>
        <w:t>。</w:t>
      </w:r>
    </w:p>
    <w:p w14:paraId="12CDCBA0">
      <w:pPr>
        <w:spacing w:line="360" w:lineRule="auto"/>
        <w:ind w:firstLine="480"/>
        <w:rPr>
          <w:rFonts w:hint="eastAsia" w:ascii="宋体" w:hAnsi="宋体" w:cs="宋体"/>
          <w:color w:val="auto"/>
          <w:sz w:val="24"/>
          <w:highlight w:val="none"/>
          <w:u w:val="single"/>
        </w:rPr>
      </w:pPr>
      <w:r>
        <w:rPr>
          <w:rFonts w:hint="eastAsia" w:ascii="宋体" w:hAnsi="宋体" w:cs="宋体"/>
          <w:color w:val="auto"/>
          <w:sz w:val="24"/>
          <w:highlight w:val="none"/>
        </w:rPr>
        <w:t>2.2“采购代理机构”是指广西同泽工程项目管理股份有限公司。</w:t>
      </w:r>
    </w:p>
    <w:p w14:paraId="6D6D431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2A5ABA4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7B20422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2.5“竞标”是指供应商按照本项目竞争性磋商公告规定的方式获取磋商文件、提交响应文件并希望获得标的的行为。</w:t>
      </w:r>
    </w:p>
    <w:p w14:paraId="18E05E2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2.6“响应文件”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411AF4D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2.7“实质性要求”是指磋商文件中已经指明不满足则响应文件按无效响应处理的条款，或者不能负偏离的条款，或者采购需求中带“▲”的条款。</w:t>
      </w:r>
    </w:p>
    <w:p w14:paraId="55C1AC2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2.8“正偏离”，是指响应文件对磋商文件“采购需求”中有关条款作出的响应优于条款要求并有利于采购人的情形。</w:t>
      </w:r>
    </w:p>
    <w:p w14:paraId="276D8E3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2.9“负偏离”，是指响应文件对磋商文件“采购需求”中有关条款作出的响应不满足条款要求，导致采购人要求不能得到满足的情形。</w:t>
      </w:r>
    </w:p>
    <w:p w14:paraId="08B5EB9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2.10“允许负偏离的条款”是指采购需求中的不属于“实质性要求”的条款。</w:t>
      </w:r>
    </w:p>
    <w:p w14:paraId="52F33D0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2.11“书面形式”是指合同书、信件和数据电文（包括电报、电传、传真、电子数据交换和电子邮件）等可以有形地表现所载内容的形式。</w:t>
      </w:r>
    </w:p>
    <w:p w14:paraId="4A88C8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7EB881E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2.13“评审价”是指供应商提交的最后报价并经修正（如有）和政策功能价格扣除（如有）后的价格。</w:t>
      </w:r>
    </w:p>
    <w:p w14:paraId="379028A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3.供应商的资格条件</w:t>
      </w:r>
    </w:p>
    <w:p w14:paraId="788BA63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200B399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25F0B7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供应商应承担参与本次采购活动有关的所有费用，包括但不限于获取磋商文件、勘查现场、编制和提交响应文件、参加磋商与应答、签订合同等，不论竞标结果如何，均应自行承担。</w:t>
      </w:r>
    </w:p>
    <w:p w14:paraId="46A360F1">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1E42116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5.1本项目是否接受联合体竞标，详见“供应商须知前附表”。</w:t>
      </w:r>
    </w:p>
    <w:p w14:paraId="39EDA21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5.2如接受联合体竞标，联合体竞标要求详见“供应商须知前附表”。</w:t>
      </w:r>
    </w:p>
    <w:p w14:paraId="198E89C2">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0EED19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6.1本项目不允许转包。</w:t>
      </w:r>
    </w:p>
    <w:p w14:paraId="1FAE13C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6.2本项目是否允许分包详见“供应商须知前附表”，本项目不允许违法分包。</w:t>
      </w:r>
    </w:p>
    <w:p w14:paraId="107779F6">
      <w:pPr>
        <w:spacing w:line="360" w:lineRule="auto"/>
        <w:ind w:firstLine="482"/>
        <w:rPr>
          <w:rFonts w:hint="eastAsia" w:ascii="宋体" w:hAnsi="宋体" w:cs="宋体"/>
          <w:b/>
          <w:bCs/>
          <w:color w:val="auto"/>
          <w:sz w:val="24"/>
          <w:highlight w:val="none"/>
        </w:rPr>
      </w:pPr>
      <w:bookmarkStart w:id="41" w:name="_Toc254970673"/>
      <w:bookmarkStart w:id="42" w:name="_Toc254970532"/>
      <w:r>
        <w:rPr>
          <w:rFonts w:hint="eastAsia" w:ascii="宋体" w:hAnsi="宋体" w:cs="宋体"/>
          <w:b/>
          <w:bCs/>
          <w:color w:val="auto"/>
          <w:sz w:val="24"/>
          <w:highlight w:val="none"/>
        </w:rPr>
        <w:t>7.特别说明</w:t>
      </w:r>
      <w:bookmarkEnd w:id="41"/>
      <w:bookmarkEnd w:id="42"/>
    </w:p>
    <w:p w14:paraId="3BD676D7">
      <w:pPr>
        <w:spacing w:line="360" w:lineRule="auto"/>
        <w:ind w:firstLine="480"/>
        <w:rPr>
          <w:rFonts w:hint="eastAsia" w:ascii="宋体" w:hAnsi="宋体" w:cs="宋体"/>
          <w:color w:val="auto"/>
          <w:sz w:val="24"/>
          <w:highlight w:val="none"/>
        </w:rPr>
      </w:pPr>
      <w:bookmarkStart w:id="43" w:name="_8.1提供相同品牌产品且通过资格审查、符合性审查的不同投标人参加同一合"/>
      <w:bookmarkEnd w:id="43"/>
      <w:r>
        <w:rPr>
          <w:rFonts w:hint="eastAsia" w:ascii="宋体" w:hAnsi="宋体" w:cs="宋体"/>
          <w:color w:val="auto"/>
          <w:sz w:val="24"/>
          <w:highlight w:val="none"/>
        </w:rPr>
        <w:t>7.1如果本磋商文件要求供应商提供资格、信誉、荣誉、业绩与企业认证等材料的，则供应商所提供的以上材料必须为供应商所拥有。</w:t>
      </w:r>
    </w:p>
    <w:p w14:paraId="0909083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24EA10A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DFD897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39BEC59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3B9060C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6427645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75001BD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56EA5AC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（5）与供应商有其他可能影响采购活动公平、公正进行的关系。</w:t>
      </w:r>
    </w:p>
    <w:p w14:paraId="63261A3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64C9D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7.5有下列情形之一的视为供应商相互串通竞标，响应文件将被视为无效：</w:t>
      </w:r>
    </w:p>
    <w:p w14:paraId="055679C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（1）不同供应商的响应文件由同一单位或者个人编制；或者不同供应商报名的IP地址一致的；</w:t>
      </w:r>
    </w:p>
    <w:p w14:paraId="440EA29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3358B4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7CFF57E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3FEDAFC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6A8AF7A4">
      <w:pPr>
        <w:tabs>
          <w:tab w:val="left" w:pos="6931"/>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rPr>
        <w:tab/>
      </w:r>
    </w:p>
    <w:p w14:paraId="0D5F00E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5A06141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5E5C3CE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D77766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2259FC5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（4）属于同一集团、协会、商会等组织成员的供应商按照该组织要求协同参加采购活动；</w:t>
      </w:r>
    </w:p>
    <w:p w14:paraId="766E90C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（5）供应商之间事先约定一致抬高或者压低报价，或者在政府采购活动中事先约定轮流以高价位或者低价位成交，或者事先约定由某一特定供应商成交，然后再参加竞标；</w:t>
      </w:r>
    </w:p>
    <w:p w14:paraId="6C614B2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（6）供应商之间商定部分供应商放弃参加采购活动或者放弃成交；</w:t>
      </w:r>
    </w:p>
    <w:p w14:paraId="5D78CFB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08694EA9">
      <w:pPr>
        <w:spacing w:line="360" w:lineRule="auto"/>
        <w:jc w:val="center"/>
        <w:rPr>
          <w:rFonts w:hint="eastAsia" w:ascii="宋体" w:hAnsi="宋体" w:cs="宋体"/>
          <w:b/>
          <w:bCs/>
          <w:color w:val="auto"/>
          <w:sz w:val="24"/>
          <w:highlight w:val="none"/>
        </w:rPr>
      </w:pPr>
      <w:bookmarkStart w:id="44" w:name="_Toc254970675"/>
      <w:bookmarkStart w:id="45" w:name="_Toc254970534"/>
    </w:p>
    <w:p w14:paraId="752A9FF5">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二、磋商文件</w:t>
      </w:r>
      <w:bookmarkEnd w:id="44"/>
      <w:bookmarkEnd w:id="45"/>
    </w:p>
    <w:p w14:paraId="7A740299">
      <w:pPr>
        <w:spacing w:line="360" w:lineRule="auto"/>
        <w:jc w:val="center"/>
        <w:rPr>
          <w:rFonts w:hint="eastAsia" w:ascii="宋体" w:hAnsi="宋体" w:cs="宋体"/>
          <w:color w:val="auto"/>
          <w:sz w:val="24"/>
          <w:highlight w:val="none"/>
        </w:rPr>
      </w:pPr>
    </w:p>
    <w:p w14:paraId="62B04FBE">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8.磋商文件的构成</w:t>
      </w:r>
    </w:p>
    <w:p w14:paraId="3730DA88">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8.1竞争性磋商公告；</w:t>
      </w:r>
    </w:p>
    <w:p w14:paraId="5AF445A7">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8.2供应商须知； </w:t>
      </w:r>
    </w:p>
    <w:p w14:paraId="1B2A24CC">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8.3采购需求；</w:t>
      </w:r>
    </w:p>
    <w:p w14:paraId="11DF30EE">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8.4评审程序、评审方法和评审标准；</w:t>
      </w:r>
    </w:p>
    <w:p w14:paraId="3AB63523">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8.5响应文件格式；</w:t>
      </w:r>
    </w:p>
    <w:p w14:paraId="7E6CD1AA">
      <w:pPr>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8.6合同文本。</w:t>
      </w:r>
    </w:p>
    <w:p w14:paraId="7354D3C2">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772901F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5CCF2779">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7ABEB3A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5EDA04E4">
      <w:pPr>
        <w:spacing w:line="360" w:lineRule="auto"/>
        <w:rPr>
          <w:rFonts w:hint="eastAsia" w:ascii="宋体" w:hAnsi="宋体" w:cs="宋体"/>
          <w:color w:val="auto"/>
          <w:sz w:val="24"/>
          <w:highlight w:val="none"/>
        </w:rPr>
      </w:pPr>
    </w:p>
    <w:p w14:paraId="1A5AFD40">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三、响应文件的编制</w:t>
      </w:r>
    </w:p>
    <w:p w14:paraId="3E2D30B4">
      <w:pPr>
        <w:spacing w:line="360" w:lineRule="auto"/>
        <w:rPr>
          <w:rFonts w:hint="eastAsia" w:ascii="宋体" w:hAnsi="宋体" w:cs="宋体"/>
          <w:color w:val="auto"/>
          <w:sz w:val="24"/>
          <w:highlight w:val="none"/>
        </w:rPr>
      </w:pPr>
    </w:p>
    <w:p w14:paraId="699FF357">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1411CE6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供应商必须按照磋商文件的要求编制响应文件，并对其提交的响应文件的真实性、合法性承担法律责任。响应文件必须对磋商文件作出实质性响应。</w:t>
      </w:r>
    </w:p>
    <w:p w14:paraId="55BF2A9F">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2B5C3CD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12.1响应文件由资格证明文件、报价商务技术文件两部分组成。</w:t>
      </w:r>
    </w:p>
    <w:p w14:paraId="2635FDD8">
      <w:pPr>
        <w:spacing w:line="360" w:lineRule="auto"/>
        <w:ind w:left="900" w:hanging="480"/>
        <w:rPr>
          <w:rFonts w:hint="eastAsia" w:ascii="宋体" w:hAnsi="宋体" w:cs="宋体"/>
          <w:color w:val="auto"/>
          <w:sz w:val="24"/>
          <w:highlight w:val="none"/>
        </w:rPr>
      </w:pPr>
      <w:r>
        <w:rPr>
          <w:rFonts w:hint="eastAsia" w:ascii="宋体" w:hAnsi="宋体" w:cs="宋体"/>
          <w:color w:val="auto"/>
          <w:sz w:val="24"/>
          <w:highlight w:val="none"/>
        </w:rPr>
        <w:t>12.1.1资格证明文件：详见须知前附表</w:t>
      </w:r>
    </w:p>
    <w:p w14:paraId="38415402">
      <w:pPr>
        <w:spacing w:line="360" w:lineRule="auto"/>
        <w:ind w:left="900" w:hanging="480"/>
        <w:rPr>
          <w:rFonts w:hint="eastAsia" w:ascii="宋体" w:hAnsi="宋体" w:cs="宋体"/>
          <w:color w:val="auto"/>
          <w:sz w:val="24"/>
          <w:highlight w:val="none"/>
        </w:rPr>
      </w:pPr>
      <w:r>
        <w:rPr>
          <w:rFonts w:hint="eastAsia" w:ascii="宋体" w:hAnsi="宋体" w:cs="宋体"/>
          <w:color w:val="auto"/>
          <w:sz w:val="24"/>
          <w:highlight w:val="none"/>
        </w:rPr>
        <w:t>12.1.2报价商务技术文件：详见须知前附表</w:t>
      </w:r>
    </w:p>
    <w:p w14:paraId="111FDEE5">
      <w:pPr>
        <w:spacing w:line="360" w:lineRule="auto"/>
        <w:ind w:left="900" w:hanging="480"/>
        <w:rPr>
          <w:rFonts w:hint="eastAsia" w:ascii="宋体" w:hAnsi="宋体" w:cs="宋体"/>
          <w:color w:val="auto"/>
          <w:sz w:val="24"/>
          <w:highlight w:val="none"/>
        </w:rPr>
      </w:pPr>
      <w:r>
        <w:rPr>
          <w:rFonts w:hint="eastAsia" w:ascii="宋体" w:hAnsi="宋体" w:cs="宋体"/>
          <w:color w:val="auto"/>
          <w:sz w:val="24"/>
          <w:highlight w:val="none"/>
        </w:rPr>
        <w:t>12.2响应文件电子版：详见须知前附表</w:t>
      </w:r>
    </w:p>
    <w:p w14:paraId="037CEB2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6FD973C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0DCB7AA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50CF7AC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供应商没有按照磋商文件要求提供全部资料，或者供应商没有对磋商文件在各方面作出实质性响应可能导致其响应无效，是供应商应当考虑的风险。</w:t>
      </w:r>
    </w:p>
    <w:p w14:paraId="0098295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15.竞标报价要求和构成</w:t>
      </w:r>
    </w:p>
    <w:p w14:paraId="7AA698AB">
      <w:pPr>
        <w:tabs>
          <w:tab w:val="left" w:pos="2492"/>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15.1竞标报价应按磋商文件中“竞标报价表”格式填写。</w:t>
      </w:r>
    </w:p>
    <w:p w14:paraId="486CE7E9">
      <w:pPr>
        <w:tabs>
          <w:tab w:val="left" w:pos="2492"/>
        </w:tabs>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15.2竞标报价的价格构成见“供应商须知前附表”。</w:t>
      </w:r>
    </w:p>
    <w:p w14:paraId="501EB2CF">
      <w:pPr>
        <w:spacing w:line="360" w:lineRule="auto"/>
        <w:ind w:left="426"/>
        <w:rPr>
          <w:rFonts w:hint="eastAsia" w:ascii="宋体" w:hAnsi="宋体" w:cs="宋体"/>
          <w:color w:val="auto"/>
          <w:sz w:val="24"/>
          <w:highlight w:val="none"/>
        </w:rPr>
      </w:pPr>
      <w:r>
        <w:rPr>
          <w:rFonts w:hint="eastAsia" w:ascii="宋体" w:hAnsi="宋体" w:cs="宋体"/>
          <w:color w:val="auto"/>
          <w:sz w:val="24"/>
          <w:highlight w:val="none"/>
        </w:rPr>
        <w:t>15.3竞标报价要求</w:t>
      </w:r>
    </w:p>
    <w:p w14:paraId="2BD0374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15.3.1供应商的竞标报价应符合以下要求，否则响应文件按无效响应处理：</w:t>
      </w:r>
    </w:p>
    <w:p w14:paraId="5CB52C2F">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（1）供应商必须就“采购需求”中的全部内容分别作完整唯一总价报价，不得存在漏项报价；</w:t>
      </w:r>
    </w:p>
    <w:p w14:paraId="696A7B9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4D27E9D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15.3.2竞标报价（包含首次报价、最后报价）超过所竞标分标规定的采购预算金额或者最高限价的，其响应文件将作无效处理。</w:t>
      </w:r>
    </w:p>
    <w:p w14:paraId="095AE36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15.3.3</w:t>
      </w:r>
      <w:bookmarkStart w:id="46" w:name="_Hlk42592874"/>
      <w:r>
        <w:rPr>
          <w:rFonts w:hint="eastAsia" w:ascii="宋体" w:hAnsi="宋体" w:cs="宋体"/>
          <w:color w:val="auto"/>
          <w:sz w:val="24"/>
          <w:highlight w:val="none"/>
        </w:rPr>
        <w:t>竞标报价（包含首次报价、最后报价）超过分项采购预算金额或者最高限价的，其响应文件将作无效处理。</w:t>
      </w:r>
      <w:bookmarkEnd w:id="46"/>
    </w:p>
    <w:p w14:paraId="7BD36D31">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214D885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16.1竞标有效期是指为保证采购人有足够的时间在提交响应文件后完成评审、确定成交供应商、合同签订等工作而要求供应商提交的响应文件在一定时间内保持有效的期限。</w:t>
      </w:r>
    </w:p>
    <w:p w14:paraId="29F3AB1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16.2 竞标有效期应由供应商按“供应商须知前附表”规定的期限作出响应。</w:t>
      </w:r>
    </w:p>
    <w:p w14:paraId="67B36CF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16.3供应商的响应文件在竞标有效期内均保持有效。</w:t>
      </w:r>
    </w:p>
    <w:p w14:paraId="4C68AC55">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17.磋商保证金</w:t>
      </w:r>
    </w:p>
    <w:p w14:paraId="0749777E">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17.1供应商须按“供应商须知前附表”的规定提交磋商保证金。</w:t>
      </w:r>
    </w:p>
    <w:p w14:paraId="3F2D6F3E">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17.2磋商保证金的退还</w:t>
      </w:r>
    </w:p>
    <w:p w14:paraId="4B40FB7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17.2.1未</w:t>
      </w:r>
      <w:r>
        <w:rPr>
          <w:rFonts w:hint="eastAsia" w:ascii="宋体" w:hAnsi="宋体" w:cs="宋体"/>
          <w:color w:val="auto"/>
          <w:spacing w:val="-6"/>
          <w:sz w:val="24"/>
          <w:highlight w:val="none"/>
        </w:rPr>
        <w:t>成交供应商的磋商保证金自成交通知书发出之日起5个工作日内退还，退还方式如下：</w:t>
      </w:r>
    </w:p>
    <w:p w14:paraId="2395D87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（1）采用银行转账方式的，以转账方式退回到供应商银行账户。</w:t>
      </w:r>
    </w:p>
    <w:p w14:paraId="7A005E47">
      <w:pPr>
        <w:pStyle w:val="7"/>
        <w:spacing w:line="360" w:lineRule="auto"/>
        <w:ind w:firstLine="360"/>
        <w:rPr>
          <w:rFonts w:hint="eastAsia" w:ascii="宋体" w:hAnsi="宋体" w:cs="宋体"/>
          <w:color w:val="auto"/>
          <w:sz w:val="24"/>
          <w:szCs w:val="24"/>
          <w:highlight w:val="none"/>
        </w:rPr>
      </w:pPr>
      <w:r>
        <w:rPr>
          <w:rFonts w:hint="eastAsia" w:ascii="宋体" w:hAnsi="宋体" w:cs="宋体"/>
          <w:color w:val="auto"/>
          <w:sz w:val="24"/>
          <w:szCs w:val="24"/>
          <w:highlight w:val="none"/>
        </w:rPr>
        <w:t>（2）采用支票、汇票、本票或者金融、担保机构出具的保函方式的，由供应商代表持相关授权证明材料至采购人或者采购代理机构办理支票、汇票、本票或者金融、担保机构出具的保函原件退还手续。</w:t>
      </w:r>
    </w:p>
    <w:p w14:paraId="246F1FF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17.2.2成交供应商的磋商保证金自签订合同之日起5个工作日内退还，退还方式同未成交供应商的磋商保证金的退还方式。 </w:t>
      </w:r>
    </w:p>
    <w:p w14:paraId="05DD94F8">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17.3磋商保证金不计息。</w:t>
      </w:r>
    </w:p>
    <w:p w14:paraId="1B6EB769">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7A7A1F61">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（1）供应商在提交响应文件截止时间后撤回响应文件的；</w:t>
      </w:r>
    </w:p>
    <w:p w14:paraId="642DC997">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（2）供应商在响应文件中提供虚假材料的；</w:t>
      </w:r>
    </w:p>
    <w:p w14:paraId="3306623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（3）除因不可抗力或者磋商文件认可的情形以外，成交供应商不与采购人签订合同的；</w:t>
      </w:r>
    </w:p>
    <w:p w14:paraId="546D7B50">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（4）供应商与采购人、其他供应商或者采购代理机构恶意串通的；</w:t>
      </w:r>
    </w:p>
    <w:p w14:paraId="4FCD98C4">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（5）磋商文件规定的其他情形。</w:t>
      </w:r>
    </w:p>
    <w:p w14:paraId="11A5B14A">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67288DA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18.1供应商应按本磋商文件规定的格式和顺序编制、装订响应文件并标注页码，响应文件内容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highlight w:val="none"/>
        </w:rPr>
        <w:t>由此引发的</w:t>
      </w:r>
      <w:r>
        <w:rPr>
          <w:rFonts w:hint="eastAsia" w:ascii="宋体" w:hAnsi="宋体" w:cs="宋体"/>
          <w:color w:val="auto"/>
          <w:spacing w:val="-6"/>
          <w:sz w:val="24"/>
          <w:highlight w:val="none"/>
        </w:rPr>
        <w:t>后果由供应商承担。</w:t>
      </w:r>
    </w:p>
    <w:p w14:paraId="589F684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18.2响应文件应按资格证明文件、报价商务技术文件分别编制，资格证明文件、报价商务技术文件按顺序</w:t>
      </w:r>
      <w:r>
        <w:rPr>
          <w:rFonts w:hint="eastAsia" w:ascii="宋体" w:hAnsi="宋体" w:cs="宋体"/>
          <w:b/>
          <w:bCs/>
          <w:color w:val="auto"/>
          <w:sz w:val="24"/>
          <w:highlight w:val="none"/>
        </w:rPr>
        <w:t>合并装订成册</w:t>
      </w:r>
      <w:r>
        <w:rPr>
          <w:rFonts w:hint="eastAsia" w:ascii="宋体" w:hAnsi="宋体" w:cs="宋体"/>
          <w:color w:val="auto"/>
          <w:sz w:val="24"/>
          <w:highlight w:val="none"/>
        </w:rPr>
        <w:t>。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14:paraId="74DCE04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18.3响应文件的正本应打印或者用不褪色的墨水填写，响应文件正本除本“供应商须知”中规定的可提供复印件外均须提供原件，副本可为正本签字、盖章后的复印件，当副本和正本不一致时，以正本为准。</w:t>
      </w:r>
    </w:p>
    <w:p w14:paraId="7D47FE2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18.4响应文件须由供应商在规定位置盖公章并由法定代表人或者委托代理人签字，否则其响应文件按无效响应处理。骑缝盖公章不视为在规定位置盖章。</w:t>
      </w:r>
    </w:p>
    <w:p w14:paraId="79D6F05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18.5响应文件中标注的供应商名称应与营业执照（事业单位法人证书、执业许可证、自然人身份证）及公章一致，否则其响应文件按无效响应处理。</w:t>
      </w:r>
    </w:p>
    <w:p w14:paraId="65861C4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18.6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1DB07617">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462A36F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19.1响应文件正、副本全部装入一个包封袋/箱（响应文件的补充、修改可另行单独递交）中并加以密封，封口处必须加盖供应商公章或者法定代表人签字或者委托代理人签字，以示密封。</w:t>
      </w:r>
    </w:p>
    <w:p w14:paraId="173D983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19.2响应文件外层包装封面上应标记“项目名称、项目编号、供应商名称、所竞分标、首次响应文件提交截止时间前不得启封”字样。</w:t>
      </w:r>
    </w:p>
    <w:p w14:paraId="34FC108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19.3未按上述规定密封的响应文件将被拒收。</w:t>
      </w:r>
    </w:p>
    <w:p w14:paraId="1FB24C15">
      <w:pPr>
        <w:spacing w:line="360" w:lineRule="auto"/>
        <w:ind w:firstLine="480"/>
        <w:rPr>
          <w:rFonts w:hint="eastAsia" w:ascii="宋体" w:hAnsi="宋体" w:cs="宋体"/>
          <w:b/>
          <w:bCs/>
          <w:color w:val="auto"/>
          <w:sz w:val="24"/>
          <w:highlight w:val="none"/>
        </w:rPr>
      </w:pPr>
      <w:r>
        <w:rPr>
          <w:rFonts w:hint="eastAsia" w:ascii="宋体" w:hAnsi="宋体" w:cs="宋体"/>
          <w:color w:val="auto"/>
          <w:sz w:val="24"/>
          <w:highlight w:val="none"/>
        </w:rPr>
        <w:t xml:space="preserve">19.4 </w:t>
      </w:r>
      <w:r>
        <w:rPr>
          <w:rFonts w:hint="eastAsia" w:ascii="宋体" w:hAnsi="宋体" w:cs="宋体"/>
          <w:b/>
          <w:bCs/>
          <w:color w:val="auto"/>
          <w:sz w:val="24"/>
          <w:highlight w:val="none"/>
        </w:rPr>
        <w:t>供应商应在递交响应文件的同时单独递交以下资料【由法定代表人或委托代理人持本人身份证原件及复印件（二代身份证须正、反两面复印）、法定代表人授权委托书原件（委托代理时必须提供）】（不需密封）,否则竞标无效。</w:t>
      </w:r>
    </w:p>
    <w:p w14:paraId="0335FF5E">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175AD04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2095295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20.2采购代理机构工作人员收到响应文件后，应当如实记载响应文件的密封情况。</w:t>
      </w:r>
    </w:p>
    <w:p w14:paraId="2CBF750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20.3在首次响应文件提交截止时间后送达的或者不符合本须知正文第19.3条的响应文件为无效文件，采购人或者采购代理机构应当拒收。</w:t>
      </w:r>
    </w:p>
    <w:p w14:paraId="101D1ADB">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305446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在首次响应文件提交截止时间前，可以对所提交的响应文件进行补充、修改或者撤回，并书面通知采购人、采购代理机构。补充、修改的内容作为响应文件的组成部分。补充、修改的内容与响应文件不一致的，以补充、修改的内容为准。</w:t>
      </w:r>
    </w:p>
    <w:p w14:paraId="329A9004">
      <w:pPr>
        <w:spacing w:line="360" w:lineRule="auto"/>
        <w:ind w:firstLine="482"/>
        <w:rPr>
          <w:rFonts w:hint="eastAsia" w:ascii="宋体" w:hAnsi="宋体" w:cs="宋体"/>
          <w:b/>
          <w:bCs/>
          <w:color w:val="auto"/>
          <w:sz w:val="24"/>
          <w:highlight w:val="none"/>
        </w:rPr>
      </w:pPr>
      <w:bookmarkStart w:id="47" w:name="_Hlk45702405"/>
      <w:r>
        <w:rPr>
          <w:rFonts w:hint="eastAsia" w:ascii="宋体" w:hAnsi="宋体" w:cs="宋体"/>
          <w:b/>
          <w:bCs/>
          <w:color w:val="auto"/>
          <w:sz w:val="24"/>
          <w:highlight w:val="none"/>
        </w:rPr>
        <w:t>22. 首次响应文件的退回</w:t>
      </w:r>
    </w:p>
    <w:p w14:paraId="522528A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在首次响应文件提交截止时间止提交响应文件的供应商不足3家时，应当由供应商签字领回响应文件，除此之外采购人和采购代理机构对已提交的响应文件概不退回。</w:t>
      </w:r>
    </w:p>
    <w:p w14:paraId="2993A147">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23. 截止时间后的撤回</w:t>
      </w:r>
    </w:p>
    <w:p w14:paraId="19ED8EF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供应商在首次响应文件提交截止时间后向采购人、采购代理机构书面申请撤回响应文件的，将根据本须知正文17.4的规定不予退还其磋商保证金。</w:t>
      </w:r>
      <w:bookmarkEnd w:id="47"/>
    </w:p>
    <w:p w14:paraId="1E910D9D">
      <w:pPr>
        <w:spacing w:line="360" w:lineRule="auto"/>
        <w:jc w:val="center"/>
        <w:rPr>
          <w:rFonts w:hint="eastAsia" w:ascii="宋体" w:hAnsi="宋体" w:cs="宋体"/>
          <w:b/>
          <w:bCs/>
          <w:color w:val="auto"/>
          <w:sz w:val="24"/>
          <w:highlight w:val="none"/>
        </w:rPr>
      </w:pPr>
    </w:p>
    <w:p w14:paraId="0D6F8E9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四、评审及磋商</w:t>
      </w:r>
    </w:p>
    <w:p w14:paraId="60137264">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24.磋商小组成立</w:t>
      </w:r>
    </w:p>
    <w:p w14:paraId="2BB7A84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24.1磋商小组由采购人代表和评审专家同组成。采购代理机构人员不得参加本机构代理的采购项目的评审。</w:t>
      </w:r>
    </w:p>
    <w:p w14:paraId="5F7702B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24.2评审专家从采购代理机构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F0091F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5A0ACC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首次响应文件由磋商小组或者采购代理机构在“供应商须知前附表”规定的时间开启。</w:t>
      </w:r>
    </w:p>
    <w:p w14:paraId="1477B23E">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684A81A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26.1本项目的评审方法为综合评分法。</w:t>
      </w:r>
    </w:p>
    <w:p w14:paraId="52BCFCC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26.2磋商小组按照“第四章 评审程序、评审方法和评审标准”规定的方法、评审因素、标准和程序对响应文件进行评审。</w:t>
      </w:r>
    </w:p>
    <w:p w14:paraId="26507FFC">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0776988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6C8940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27.2采购代理机构应当在成交供应商确定后2个工作日内，在发布竞争性磋商公告的媒体上公告成交结果，同时向成交供应商发出成交通知书。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w:t>
      </w:r>
    </w:p>
    <w:p w14:paraId="16B8D2A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8375550">
      <w:pPr>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1F40BF44">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0B7F76A3">
      <w:pPr>
        <w:spacing w:line="360" w:lineRule="auto"/>
        <w:ind w:firstLine="484"/>
        <w:rPr>
          <w:rFonts w:hint="eastAsia" w:ascii="宋体" w:hAnsi="宋体" w:cs="宋体"/>
          <w:color w:val="auto"/>
          <w:sz w:val="24"/>
          <w:highlight w:val="none"/>
        </w:rPr>
      </w:pPr>
      <w:r>
        <w:rPr>
          <w:rFonts w:hint="eastAsia" w:ascii="宋体" w:hAnsi="宋体" w:cs="宋体"/>
          <w:color w:val="auto"/>
          <w:sz w:val="24"/>
          <w:highlight w:val="none"/>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57AC0833">
      <w:pPr>
        <w:spacing w:line="360" w:lineRule="auto"/>
        <w:ind w:firstLine="484"/>
        <w:rPr>
          <w:rFonts w:hint="eastAsia" w:ascii="宋体" w:hAnsi="宋体" w:cs="宋体"/>
          <w:color w:val="auto"/>
          <w:sz w:val="24"/>
          <w:highlight w:val="none"/>
        </w:rPr>
      </w:pPr>
      <w:r>
        <w:rPr>
          <w:rFonts w:hint="eastAsia" w:ascii="宋体" w:hAnsi="宋体" w:cs="宋体"/>
          <w:color w:val="auto"/>
          <w:sz w:val="24"/>
          <w:highlight w:val="none"/>
        </w:rPr>
        <w:t>28.2签订合同后，如成交供应商不按双方签订的合同规定履约，则没收其全部履约保证金，履约保证金不足以赔偿损失的，按实际损失赔偿。</w:t>
      </w:r>
    </w:p>
    <w:p w14:paraId="7747B0EF">
      <w:pPr>
        <w:spacing w:line="360" w:lineRule="auto"/>
        <w:ind w:firstLine="484"/>
        <w:rPr>
          <w:rFonts w:hint="eastAsia" w:ascii="宋体" w:hAnsi="宋体" w:cs="宋体"/>
          <w:color w:val="auto"/>
          <w:sz w:val="24"/>
          <w:highlight w:val="none"/>
        </w:rPr>
      </w:pPr>
      <w:r>
        <w:rPr>
          <w:rFonts w:hint="eastAsia" w:ascii="宋体" w:hAnsi="宋体" w:cs="宋体"/>
          <w:color w:val="auto"/>
          <w:sz w:val="24"/>
          <w:highlight w:val="none"/>
        </w:rPr>
        <w:t>28.3在履约保证金退还日期前，若成交供应商的开户名称、开户银行、帐号有变动的，请以书面形式通知履约保证金收取单位，否则由此产生的后果由成交供应商自行承担。</w:t>
      </w:r>
    </w:p>
    <w:p w14:paraId="1A2A6900">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4BA696A6">
      <w:pPr>
        <w:spacing w:line="360" w:lineRule="auto"/>
        <w:ind w:firstLine="484"/>
        <w:rPr>
          <w:rFonts w:hint="eastAsia" w:ascii="宋体" w:hAnsi="宋体" w:cs="宋体"/>
          <w:color w:val="auto"/>
          <w:sz w:val="24"/>
          <w:highlight w:val="none"/>
        </w:rPr>
      </w:pPr>
      <w:r>
        <w:rPr>
          <w:rFonts w:hint="eastAsia" w:ascii="宋体" w:hAnsi="宋体" w:cs="宋体"/>
          <w:color w:val="auto"/>
          <w:sz w:val="24"/>
          <w:highlight w:val="none"/>
        </w:rPr>
        <w:t>29.1成交供应商在收到成交通知书后，应当在签订合同时向采购人出示相关证明材料，具体内容详见 “供应商须知前附表”，经采购人核验合格后方可签订合同。</w:t>
      </w:r>
    </w:p>
    <w:p w14:paraId="18E63C87">
      <w:pPr>
        <w:spacing w:line="360" w:lineRule="auto"/>
        <w:ind w:firstLine="484"/>
        <w:rPr>
          <w:rFonts w:hint="eastAsia" w:ascii="宋体" w:hAnsi="宋体" w:cs="宋体"/>
          <w:color w:val="auto"/>
          <w:sz w:val="24"/>
          <w:highlight w:val="none"/>
        </w:rPr>
      </w:pPr>
      <w:r>
        <w:rPr>
          <w:rFonts w:hint="eastAsia" w:ascii="宋体" w:hAnsi="宋体" w:cs="宋体"/>
          <w:color w:val="auto"/>
          <w:sz w:val="24"/>
          <w:highlight w:val="none"/>
        </w:rPr>
        <w:t>29.2 签订合同时间：按成交通知书规定的时间与采购人签订采购合同。</w:t>
      </w:r>
    </w:p>
    <w:p w14:paraId="3AA5CA5B">
      <w:pPr>
        <w:spacing w:line="360" w:lineRule="auto"/>
        <w:ind w:firstLine="484"/>
        <w:rPr>
          <w:rFonts w:hint="eastAsia" w:ascii="宋体" w:hAnsi="宋体" w:cs="宋体"/>
          <w:color w:val="auto"/>
          <w:sz w:val="24"/>
          <w:highlight w:val="none"/>
        </w:rPr>
      </w:pPr>
      <w:r>
        <w:rPr>
          <w:rFonts w:hint="eastAsia" w:ascii="宋体" w:hAnsi="宋体" w:cs="宋体"/>
          <w:color w:val="auto"/>
          <w:sz w:val="24"/>
          <w:highlight w:val="none"/>
        </w:rPr>
        <w:t>29.3成交供应商拒绝与采购人签订合同的，采购人可以按照评审报告推荐的成交候选人名单排序，确定下一候选人为成交供应商，也可以重新开展政府采购活动。拒绝签订采购合同的成交供应商不得参加对该合同项重新开展的采购活动。</w:t>
      </w:r>
    </w:p>
    <w:p w14:paraId="34963BD6">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30.采购合同公告</w:t>
      </w:r>
    </w:p>
    <w:p w14:paraId="56BA7D0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由采购人按规定公示采购合同。</w:t>
      </w:r>
    </w:p>
    <w:p w14:paraId="4AE714AD">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31. 询问、质疑和投诉</w:t>
      </w:r>
    </w:p>
    <w:p w14:paraId="70E2938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31.1供应商对采购活动事项有疑问的，可以向采购人、采购代理机构提出询问，采购人或者采购代理机构应当在3个工作日内对供应商依法提出的询问作出答复。</w:t>
      </w:r>
    </w:p>
    <w:p w14:paraId="3932F44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 w:val="24"/>
          <w:highlight w:val="none"/>
          <w:shd w:val="clear" w:color="auto" w:fill="FFFFFF"/>
        </w:rPr>
        <w:t>接收质疑函的方式、联系部门、联系电话和通讯地址等信息详见</w:t>
      </w:r>
      <w:r>
        <w:rPr>
          <w:rFonts w:hint="eastAsia" w:ascii="宋体" w:hAnsi="宋体" w:cs="宋体"/>
          <w:color w:val="auto"/>
          <w:sz w:val="24"/>
          <w:highlight w:val="none"/>
        </w:rPr>
        <w:t>“供应商须知前附表”。具体质疑起算时间如下：</w:t>
      </w:r>
    </w:p>
    <w:p w14:paraId="252D97B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（1）对可以质疑的磋商文件提出质疑的，为收到磋商文件之日或者竞争性磋商公告期限届满之日；</w:t>
      </w:r>
    </w:p>
    <w:p w14:paraId="22BE34B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（2）对采购过程提出质疑的，为各采购程序环节结束之日；</w:t>
      </w:r>
    </w:p>
    <w:p w14:paraId="3A1758C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（3）对成交结果提出质疑的，为成交结果公告期限届满之日。</w:t>
      </w:r>
    </w:p>
    <w:p w14:paraId="62B40F4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76AE8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6B06FF0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4510082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（2）质疑项目的名称、编号；</w:t>
      </w:r>
    </w:p>
    <w:p w14:paraId="11BFF93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17383C81">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（4）事实依据；</w:t>
      </w:r>
    </w:p>
    <w:p w14:paraId="4DB547D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（5）必要的法律依据；</w:t>
      </w:r>
    </w:p>
    <w:p w14:paraId="2540730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（6）提出质疑的日期。</w:t>
      </w:r>
    </w:p>
    <w:p w14:paraId="74F42FB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39FD244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AB0432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1D42066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7F41AD3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2B1EF092">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31.6投诉的权利。质疑供应商对采购人、采购代理机构的答复不满意，或者采购人、采购代理机构未在规定时间内作出答复的，可以在答复期满后15个工作日内有关部门提起投诉。</w:t>
      </w:r>
    </w:p>
    <w:p w14:paraId="579F24E4">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74F463A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32.1代理服务收费标准及缴费账户详见“供应商须知前附表”。</w:t>
      </w:r>
    </w:p>
    <w:p w14:paraId="0A48F231">
      <w:pPr>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6EE0324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33.1本磋商文件解释规则详见“供应商须知前附表”。</w:t>
      </w:r>
    </w:p>
    <w:p w14:paraId="7B19FF30">
      <w:pPr>
        <w:spacing w:line="360" w:lineRule="auto"/>
        <w:ind w:firstLine="480"/>
        <w:rPr>
          <w:rFonts w:hint="eastAsia" w:ascii="宋体" w:hAnsi="宋体" w:cs="宋体"/>
          <w:b/>
          <w:color w:val="auto"/>
          <w:sz w:val="24"/>
          <w:highlight w:val="none"/>
        </w:rPr>
      </w:pPr>
      <w:r>
        <w:rPr>
          <w:rFonts w:hint="eastAsia" w:ascii="宋体" w:hAnsi="宋体" w:cs="宋体"/>
          <w:color w:val="auto"/>
          <w:sz w:val="24"/>
          <w:highlight w:val="none"/>
        </w:rPr>
        <w:t>33.2 其他事项详见“供应商须知前附表”。</w:t>
      </w:r>
    </w:p>
    <w:p w14:paraId="1E018C59">
      <w:pPr>
        <w:pStyle w:val="3"/>
        <w:pageBreakBefore/>
        <w:spacing w:line="380" w:lineRule="exact"/>
        <w:jc w:val="center"/>
        <w:rPr>
          <w:rFonts w:hint="eastAsia" w:ascii="宋体" w:hAnsi="宋体" w:cs="宋体"/>
          <w:color w:val="auto"/>
          <w:highlight w:val="none"/>
        </w:rPr>
      </w:pPr>
      <w:bookmarkStart w:id="48" w:name="_Toc4424"/>
      <w:bookmarkStart w:id="49" w:name="_Toc21993"/>
      <w:bookmarkStart w:id="50" w:name="_Toc11903"/>
      <w:r>
        <w:rPr>
          <w:rFonts w:hint="eastAsia" w:ascii="宋体" w:hAnsi="宋体" w:cs="宋体"/>
          <w:color w:val="auto"/>
          <w:highlight w:val="none"/>
        </w:rPr>
        <w:t>第三章 采购需求</w:t>
      </w:r>
      <w:bookmarkEnd w:id="48"/>
      <w:bookmarkEnd w:id="49"/>
      <w:bookmarkEnd w:id="50"/>
    </w:p>
    <w:tbl>
      <w:tblPr>
        <w:tblStyle w:val="44"/>
        <w:tblpPr w:leftFromText="180" w:rightFromText="180" w:vertAnchor="text" w:horzAnchor="page" w:tblpX="1152" w:tblpY="938"/>
        <w:tblW w:w="9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960"/>
        <w:gridCol w:w="628"/>
        <w:gridCol w:w="533"/>
        <w:gridCol w:w="7123"/>
        <w:gridCol w:w="21"/>
      </w:tblGrid>
      <w:tr w14:paraId="5CA71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1" w:type="dxa"/>
          <w:trHeight w:val="824" w:hRule="atLeast"/>
        </w:trPr>
        <w:tc>
          <w:tcPr>
            <w:tcW w:w="532" w:type="dxa"/>
            <w:noWrap w:val="0"/>
            <w:vAlign w:val="center"/>
          </w:tcPr>
          <w:p w14:paraId="7723CDCE">
            <w:pPr>
              <w:tabs>
                <w:tab w:val="left" w:pos="180"/>
                <w:tab w:val="left" w:pos="1620"/>
              </w:tabs>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60" w:type="dxa"/>
            <w:noWrap w:val="0"/>
            <w:vAlign w:val="center"/>
          </w:tcPr>
          <w:p w14:paraId="3CA25C17">
            <w:pPr>
              <w:tabs>
                <w:tab w:val="left" w:pos="180"/>
                <w:tab w:val="left" w:pos="1620"/>
              </w:tabs>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标的名称</w:t>
            </w:r>
          </w:p>
        </w:tc>
        <w:tc>
          <w:tcPr>
            <w:tcW w:w="628" w:type="dxa"/>
            <w:tcBorders>
              <w:right w:val="single" w:color="auto" w:sz="4" w:space="0"/>
            </w:tcBorders>
            <w:noWrap w:val="0"/>
            <w:vAlign w:val="center"/>
          </w:tcPr>
          <w:p w14:paraId="5D73DC41">
            <w:pPr>
              <w:tabs>
                <w:tab w:val="left" w:pos="180"/>
                <w:tab w:val="left" w:pos="1620"/>
              </w:tabs>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数量及单位</w:t>
            </w:r>
          </w:p>
        </w:tc>
        <w:tc>
          <w:tcPr>
            <w:tcW w:w="533" w:type="dxa"/>
            <w:tcBorders>
              <w:left w:val="single" w:color="auto" w:sz="4" w:space="0"/>
            </w:tcBorders>
            <w:noWrap w:val="0"/>
            <w:vAlign w:val="center"/>
          </w:tcPr>
          <w:p w14:paraId="7FBC7FBB">
            <w:pPr>
              <w:tabs>
                <w:tab w:val="left" w:pos="180"/>
                <w:tab w:val="left" w:pos="1620"/>
              </w:tabs>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所属行业</w:t>
            </w:r>
          </w:p>
        </w:tc>
        <w:tc>
          <w:tcPr>
            <w:tcW w:w="7123" w:type="dxa"/>
            <w:noWrap w:val="0"/>
            <w:vAlign w:val="center"/>
          </w:tcPr>
          <w:p w14:paraId="3EB0D27E">
            <w:pPr>
              <w:tabs>
                <w:tab w:val="left" w:pos="180"/>
                <w:tab w:val="left" w:pos="1620"/>
              </w:tabs>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服务、技术要求</w:t>
            </w:r>
          </w:p>
        </w:tc>
      </w:tr>
      <w:tr w14:paraId="0DF6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1" w:type="dxa"/>
          <w:trHeight w:val="10361" w:hRule="atLeast"/>
        </w:trPr>
        <w:tc>
          <w:tcPr>
            <w:tcW w:w="532" w:type="dxa"/>
            <w:noWrap w:val="0"/>
            <w:vAlign w:val="center"/>
          </w:tcPr>
          <w:p w14:paraId="6E6541BA">
            <w:pPr>
              <w:tabs>
                <w:tab w:val="left" w:pos="180"/>
                <w:tab w:val="left" w:pos="1620"/>
              </w:tabs>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60" w:type="dxa"/>
            <w:noWrap w:val="0"/>
            <w:vAlign w:val="center"/>
          </w:tcPr>
          <w:p w14:paraId="65B36FDF">
            <w:pPr>
              <w:tabs>
                <w:tab w:val="left" w:pos="180"/>
                <w:tab w:val="left" w:pos="1620"/>
              </w:tabs>
              <w:spacing w:line="360" w:lineRule="exact"/>
              <w:jc w:val="center"/>
              <w:rPr>
                <w:rFonts w:hint="eastAsia" w:ascii="宋体" w:hAnsi="宋体" w:eastAsia="宋体" w:cs="宋体"/>
                <w:color w:val="auto"/>
                <w:sz w:val="24"/>
                <w:highlight w:val="none"/>
                <w:lang w:eastAsia="zh-CN"/>
              </w:rPr>
            </w:pPr>
            <w:r>
              <w:rPr>
                <w:rFonts w:hint="eastAsia" w:ascii="宋体" w:hAnsi="宋体" w:cs="宋体"/>
                <w:sz w:val="21"/>
                <w:szCs w:val="21"/>
                <w:highlight w:val="none"/>
                <w:lang w:eastAsia="zh-CN"/>
              </w:rPr>
              <w:t>2026年度委托外包服务</w:t>
            </w:r>
          </w:p>
        </w:tc>
        <w:tc>
          <w:tcPr>
            <w:tcW w:w="628" w:type="dxa"/>
            <w:tcBorders>
              <w:right w:val="single" w:color="auto" w:sz="4" w:space="0"/>
            </w:tcBorders>
            <w:noWrap w:val="0"/>
            <w:vAlign w:val="center"/>
          </w:tcPr>
          <w:p w14:paraId="6E4582C8">
            <w:pPr>
              <w:tabs>
                <w:tab w:val="left" w:pos="180"/>
                <w:tab w:val="left" w:pos="1620"/>
              </w:tabs>
              <w:spacing w:line="36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533" w:type="dxa"/>
            <w:tcBorders>
              <w:left w:val="single" w:color="auto" w:sz="4" w:space="0"/>
            </w:tcBorders>
            <w:noWrap w:val="0"/>
            <w:vAlign w:val="center"/>
          </w:tcPr>
          <w:p w14:paraId="01789462">
            <w:pPr>
              <w:tabs>
                <w:tab w:val="left" w:pos="180"/>
                <w:tab w:val="left" w:pos="1620"/>
              </w:tabs>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其他未列明行业</w:t>
            </w:r>
          </w:p>
        </w:tc>
        <w:tc>
          <w:tcPr>
            <w:tcW w:w="7123" w:type="dxa"/>
            <w:noWrap w:val="0"/>
            <w:vAlign w:val="top"/>
          </w:tcPr>
          <w:p w14:paraId="49732A7D">
            <w:pPr>
              <w:pStyle w:val="241"/>
              <w:spacing w:line="380" w:lineRule="exact"/>
              <w:ind w:firstLine="422"/>
              <w:rPr>
                <w:rFonts w:ascii="宋体" w:hAnsi="宋体" w:cs="宋体"/>
                <w:b/>
                <w:bCs/>
                <w:sz w:val="21"/>
                <w:szCs w:val="21"/>
                <w:highlight w:val="none"/>
              </w:rPr>
            </w:pPr>
            <w:r>
              <w:rPr>
                <w:rFonts w:hint="eastAsia" w:ascii="宋体" w:hAnsi="宋体" w:cs="宋体"/>
                <w:b/>
                <w:bCs/>
                <w:sz w:val="21"/>
                <w:szCs w:val="21"/>
                <w:highlight w:val="none"/>
              </w:rPr>
              <w:t>一、委托概况</w:t>
            </w:r>
          </w:p>
          <w:p w14:paraId="47F52F0F">
            <w:pPr>
              <w:pStyle w:val="241"/>
              <w:spacing w:line="380" w:lineRule="exact"/>
              <w:ind w:firstLine="420"/>
              <w:rPr>
                <w:rFonts w:hint="eastAsia" w:ascii="宋体" w:hAnsi="宋体" w:eastAsia="宋体" w:cs="宋体"/>
                <w:sz w:val="21"/>
                <w:szCs w:val="21"/>
                <w:highlight w:val="none"/>
                <w:lang w:eastAsia="zh-CN"/>
              </w:rPr>
            </w:pPr>
            <w:r>
              <w:rPr>
                <w:rFonts w:hint="eastAsia" w:ascii="宋体" w:hAnsi="宋体" w:cs="宋体"/>
                <w:sz w:val="21"/>
                <w:szCs w:val="21"/>
                <w:highlight w:val="none"/>
              </w:rPr>
              <w:t>广西卫生健康项目资金监管系统</w:t>
            </w:r>
            <w:r>
              <w:rPr>
                <w:rFonts w:hint="eastAsia" w:ascii="宋体" w:hAnsi="宋体" w:cs="宋体"/>
                <w:sz w:val="21"/>
                <w:szCs w:val="21"/>
                <w:highlight w:val="none"/>
                <w:lang w:eastAsia="zh-CN"/>
              </w:rPr>
              <w:t>、基本建设系统</w:t>
            </w:r>
            <w:r>
              <w:rPr>
                <w:rFonts w:hint="eastAsia" w:ascii="宋体" w:hAnsi="宋体" w:cs="宋体"/>
                <w:sz w:val="21"/>
                <w:szCs w:val="21"/>
                <w:highlight w:val="none"/>
              </w:rPr>
              <w:t>数据维护、</w:t>
            </w:r>
            <w:r>
              <w:rPr>
                <w:rFonts w:hint="eastAsia" w:ascii="宋体" w:hAnsi="宋体" w:cs="宋体"/>
                <w:sz w:val="21"/>
                <w:szCs w:val="21"/>
                <w:highlight w:val="none"/>
                <w:lang w:eastAsia="zh-CN"/>
              </w:rPr>
              <w:t>数据</w:t>
            </w:r>
            <w:r>
              <w:rPr>
                <w:rFonts w:hint="eastAsia" w:ascii="宋体" w:hAnsi="宋体" w:cs="宋体"/>
                <w:sz w:val="21"/>
                <w:szCs w:val="21"/>
                <w:highlight w:val="none"/>
              </w:rPr>
              <w:t>梳理统计</w:t>
            </w:r>
            <w:r>
              <w:rPr>
                <w:rFonts w:hint="eastAsia" w:ascii="宋体" w:hAnsi="宋体" w:cs="宋体"/>
                <w:sz w:val="21"/>
                <w:szCs w:val="21"/>
                <w:highlight w:val="none"/>
                <w:lang w:eastAsia="zh-CN"/>
              </w:rPr>
              <w:t>，以及</w:t>
            </w:r>
            <w:r>
              <w:rPr>
                <w:rFonts w:hint="eastAsia" w:ascii="宋体" w:hAnsi="宋体" w:cs="宋体"/>
                <w:sz w:val="21"/>
                <w:szCs w:val="21"/>
                <w:highlight w:val="none"/>
              </w:rPr>
              <w:t>财务、审计等有关专业技术服务，</w:t>
            </w:r>
            <w:r>
              <w:rPr>
                <w:rFonts w:hint="eastAsia" w:ascii="宋体" w:hAnsi="宋体" w:cs="宋体"/>
                <w:b w:val="0"/>
                <w:bCs w:val="0"/>
                <w:sz w:val="21"/>
                <w:szCs w:val="21"/>
                <w:lang w:eastAsia="zh-CN"/>
              </w:rPr>
              <w:t>保证日常工作正常运转</w:t>
            </w:r>
            <w:r>
              <w:rPr>
                <w:rFonts w:hint="eastAsia" w:ascii="宋体" w:hAnsi="宋体" w:cs="宋体"/>
                <w:sz w:val="21"/>
                <w:szCs w:val="21"/>
                <w:highlight w:val="none"/>
                <w:lang w:eastAsia="zh-CN"/>
              </w:rPr>
              <w:t>。</w:t>
            </w:r>
          </w:p>
          <w:p w14:paraId="373A0700">
            <w:pPr>
              <w:pStyle w:val="241"/>
              <w:spacing w:line="380" w:lineRule="exact"/>
              <w:ind w:firstLine="422"/>
              <w:rPr>
                <w:rFonts w:ascii="宋体" w:hAnsi="宋体" w:cs="宋体"/>
                <w:b/>
                <w:bCs/>
                <w:sz w:val="21"/>
                <w:szCs w:val="21"/>
                <w:highlight w:val="none"/>
              </w:rPr>
            </w:pPr>
            <w:r>
              <w:rPr>
                <w:rFonts w:hint="eastAsia" w:ascii="宋体" w:hAnsi="宋体" w:cs="宋体"/>
                <w:b/>
                <w:bCs/>
                <w:sz w:val="21"/>
                <w:szCs w:val="21"/>
                <w:highlight w:val="none"/>
              </w:rPr>
              <w:t>二、服务周期</w:t>
            </w:r>
          </w:p>
          <w:p w14:paraId="24E2F507">
            <w:pPr>
              <w:pStyle w:val="241"/>
              <w:spacing w:line="380" w:lineRule="exact"/>
              <w:ind w:firstLine="420"/>
              <w:rPr>
                <w:rFonts w:ascii="宋体" w:hAnsi="宋体" w:cs="宋体"/>
                <w:sz w:val="21"/>
                <w:szCs w:val="21"/>
                <w:highlight w:val="none"/>
              </w:rPr>
            </w:pPr>
            <w:r>
              <w:rPr>
                <w:rFonts w:hint="eastAsia" w:ascii="宋体" w:hAnsi="宋体" w:cs="宋体"/>
                <w:sz w:val="21"/>
                <w:szCs w:val="21"/>
                <w:highlight w:val="none"/>
              </w:rPr>
              <w:t>2026年2月-2027年</w:t>
            </w:r>
            <w:r>
              <w:rPr>
                <w:rFonts w:hint="eastAsia" w:ascii="宋体" w:hAnsi="宋体" w:cs="宋体"/>
                <w:sz w:val="21"/>
                <w:szCs w:val="21"/>
                <w:highlight w:val="none"/>
                <w:lang w:val="en-US" w:eastAsia="zh-CN"/>
              </w:rPr>
              <w:t>1</w:t>
            </w:r>
            <w:r>
              <w:rPr>
                <w:rFonts w:hint="eastAsia" w:ascii="宋体" w:hAnsi="宋体" w:cs="宋体"/>
                <w:sz w:val="21"/>
                <w:szCs w:val="21"/>
                <w:highlight w:val="none"/>
              </w:rPr>
              <w:t>月。</w:t>
            </w:r>
          </w:p>
          <w:p w14:paraId="44CBE656">
            <w:pPr>
              <w:pStyle w:val="241"/>
              <w:spacing w:line="380" w:lineRule="exact"/>
              <w:ind w:firstLine="422"/>
              <w:rPr>
                <w:rFonts w:ascii="宋体" w:hAnsi="宋体" w:cs="宋体"/>
                <w:b/>
                <w:bCs/>
                <w:sz w:val="21"/>
                <w:szCs w:val="21"/>
                <w:highlight w:val="none"/>
              </w:rPr>
            </w:pPr>
            <w:r>
              <w:rPr>
                <w:rFonts w:hint="eastAsia" w:ascii="宋体" w:hAnsi="宋体" w:cs="宋体"/>
                <w:b/>
                <w:bCs/>
                <w:sz w:val="21"/>
                <w:szCs w:val="21"/>
                <w:highlight w:val="none"/>
              </w:rPr>
              <w:t>三、服务地点</w:t>
            </w:r>
          </w:p>
          <w:p w14:paraId="0D5E6B9B">
            <w:pPr>
              <w:pStyle w:val="241"/>
              <w:spacing w:line="380" w:lineRule="exact"/>
              <w:ind w:firstLine="420"/>
              <w:rPr>
                <w:rFonts w:ascii="宋体" w:hAnsi="宋体" w:cs="宋体"/>
                <w:dstrike/>
                <w:color w:val="FF0000"/>
                <w:sz w:val="21"/>
                <w:szCs w:val="21"/>
                <w:highlight w:val="none"/>
              </w:rPr>
            </w:pPr>
            <w:r>
              <w:rPr>
                <w:rFonts w:hint="eastAsia" w:ascii="宋体" w:hAnsi="宋体" w:cs="宋体"/>
                <w:sz w:val="21"/>
                <w:szCs w:val="21"/>
                <w:highlight w:val="none"/>
              </w:rPr>
              <w:t>广西壮族自治区卫生健康委员会项目资金监管服务中心（南宁市青秀区桃源路4-2号）。</w:t>
            </w:r>
          </w:p>
          <w:p w14:paraId="29971274">
            <w:pPr>
              <w:pStyle w:val="241"/>
              <w:spacing w:line="380" w:lineRule="exact"/>
              <w:ind w:firstLine="422"/>
              <w:rPr>
                <w:rFonts w:ascii="宋体" w:hAnsi="宋体" w:cs="宋体"/>
                <w:sz w:val="21"/>
                <w:szCs w:val="21"/>
                <w:highlight w:val="none"/>
              </w:rPr>
            </w:pPr>
            <w:r>
              <w:rPr>
                <w:rFonts w:hint="eastAsia" w:ascii="宋体" w:hAnsi="宋体" w:cs="宋体"/>
                <w:b/>
                <w:bCs/>
                <w:sz w:val="21"/>
                <w:szCs w:val="21"/>
                <w:highlight w:val="none"/>
              </w:rPr>
              <w:t>四、服务要求</w:t>
            </w:r>
          </w:p>
          <w:p w14:paraId="14D30019">
            <w:pPr>
              <w:pStyle w:val="241"/>
              <w:spacing w:line="380" w:lineRule="exact"/>
              <w:ind w:firstLine="420"/>
              <w:rPr>
                <w:rFonts w:ascii="宋体" w:hAnsi="宋体" w:cs="宋体"/>
                <w:sz w:val="21"/>
                <w:szCs w:val="21"/>
                <w:highlight w:val="none"/>
              </w:rPr>
            </w:pPr>
            <w:r>
              <w:rPr>
                <w:rFonts w:hint="eastAsia" w:ascii="宋体" w:hAnsi="宋体" w:cs="宋体"/>
                <w:sz w:val="21"/>
                <w:szCs w:val="21"/>
                <w:highlight w:val="none"/>
              </w:rPr>
              <w:t>（一）</w:t>
            </w:r>
            <w:r>
              <w:rPr>
                <w:rFonts w:hint="eastAsia" w:ascii="宋体" w:hAnsi="宋体" w:cs="宋体"/>
                <w:sz w:val="21"/>
                <w:szCs w:val="21"/>
                <w:highlight w:val="none"/>
                <w:lang w:eastAsia="zh-CN"/>
              </w:rPr>
              <w:t>供应商</w:t>
            </w:r>
            <w:r>
              <w:rPr>
                <w:rFonts w:hint="eastAsia" w:ascii="宋体" w:hAnsi="宋体" w:cs="宋体"/>
                <w:sz w:val="21"/>
                <w:szCs w:val="21"/>
                <w:highlight w:val="none"/>
              </w:rPr>
              <w:t>需储备数据维护、数据统计、财务管理、审计等相关工作经验人才队伍，并能在服务期限内提供专业的服务技术支持。</w:t>
            </w:r>
          </w:p>
          <w:p w14:paraId="30407B9F">
            <w:pPr>
              <w:pStyle w:val="241"/>
              <w:spacing w:line="380" w:lineRule="exact"/>
              <w:ind w:firstLine="420"/>
              <w:rPr>
                <w:rFonts w:ascii="宋体" w:hAnsi="宋体" w:cs="宋体"/>
                <w:sz w:val="21"/>
                <w:szCs w:val="21"/>
                <w:highlight w:val="none"/>
              </w:rPr>
            </w:pPr>
            <w:r>
              <w:rPr>
                <w:rFonts w:hint="eastAsia" w:ascii="宋体" w:hAnsi="宋体" w:cs="宋体"/>
                <w:sz w:val="21"/>
                <w:szCs w:val="21"/>
                <w:highlight w:val="none"/>
              </w:rPr>
              <w:t>（二）服务周期需符合要求，确保委托事项按时完成。</w:t>
            </w:r>
          </w:p>
          <w:p w14:paraId="7C336E95">
            <w:pPr>
              <w:pStyle w:val="241"/>
              <w:spacing w:line="380" w:lineRule="exact"/>
              <w:ind w:firstLine="42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（三）为保障中心工作延续性及驻点服务人员稳定性，派驻驻点服务人员专业须与委托内容相关，且具备委托内容相关工作经历，驻点期间</w:t>
            </w:r>
            <w:r>
              <w:rPr>
                <w:rFonts w:hint="eastAsia" w:ascii="宋体" w:hAnsi="宋体" w:cs="宋体"/>
                <w:sz w:val="21"/>
                <w:szCs w:val="21"/>
                <w:highlight w:val="none"/>
                <w:lang w:eastAsia="zh-CN"/>
              </w:rPr>
              <w:t>采购人</w:t>
            </w:r>
            <w:r>
              <w:rPr>
                <w:rFonts w:hint="eastAsia" w:ascii="宋体" w:hAnsi="宋体" w:cs="宋体"/>
                <w:sz w:val="21"/>
                <w:szCs w:val="21"/>
                <w:highlight w:val="none"/>
                <w:lang w:val="en-US" w:eastAsia="zh-CN"/>
              </w:rPr>
              <w:t>期间</w:t>
            </w:r>
            <w:r>
              <w:rPr>
                <w:rFonts w:hint="eastAsia" w:ascii="宋体" w:hAnsi="宋体" w:cs="宋体"/>
                <w:sz w:val="21"/>
                <w:szCs w:val="21"/>
                <w:highlight w:val="none"/>
              </w:rPr>
              <w:t>承诺</w:t>
            </w:r>
            <w:r>
              <w:rPr>
                <w:rFonts w:hint="eastAsia" w:ascii="宋体" w:hAnsi="宋体" w:cs="宋体"/>
                <w:sz w:val="21"/>
                <w:szCs w:val="21"/>
                <w:highlight w:val="none"/>
                <w:lang w:val="en-US" w:eastAsia="zh-CN"/>
              </w:rPr>
              <w:t>驻点人员的劳务</w:t>
            </w:r>
            <w:r>
              <w:rPr>
                <w:rFonts w:hint="eastAsia" w:ascii="宋体" w:hAnsi="宋体" w:cs="宋体"/>
                <w:sz w:val="21"/>
                <w:szCs w:val="21"/>
                <w:highlight w:val="none"/>
                <w:lang w:eastAsia="zh-CN"/>
              </w:rPr>
              <w:t>报酬及社保等费用</w:t>
            </w:r>
            <w:r>
              <w:rPr>
                <w:rFonts w:hint="eastAsia" w:ascii="宋体" w:hAnsi="宋体" w:cs="宋体"/>
                <w:sz w:val="21"/>
                <w:szCs w:val="21"/>
                <w:highlight w:val="none"/>
              </w:rPr>
              <w:t>不低于中心同职称岗位标准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服务期间驻点人员</w:t>
            </w:r>
            <w:r>
              <w:rPr>
                <w:rFonts w:hint="eastAsia" w:ascii="宋体" w:hAnsi="宋体" w:cs="宋体"/>
                <w:sz w:val="21"/>
                <w:szCs w:val="21"/>
                <w:highlight w:val="none"/>
                <w:u w:val="none"/>
              </w:rPr>
              <w:t>劳务报酬</w:t>
            </w:r>
            <w:r>
              <w:rPr>
                <w:rFonts w:hint="eastAsia" w:ascii="宋体" w:hAnsi="宋体" w:cs="宋体"/>
                <w:sz w:val="21"/>
                <w:szCs w:val="21"/>
                <w:highlight w:val="none"/>
                <w:u w:val="none"/>
                <w:lang w:val="en-US" w:eastAsia="zh-CN"/>
              </w:rPr>
              <w:t>据实结算。</w:t>
            </w:r>
          </w:p>
          <w:p w14:paraId="30E608A2">
            <w:pPr>
              <w:pStyle w:val="241"/>
              <w:spacing w:line="380" w:lineRule="exact"/>
              <w:ind w:firstLine="42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eastAsia="zh-CN"/>
              </w:rPr>
              <w:t>（四）</w:t>
            </w:r>
            <w:r>
              <w:rPr>
                <w:rFonts w:hint="eastAsia" w:ascii="宋体" w:hAnsi="宋体" w:cs="宋体"/>
                <w:sz w:val="21"/>
                <w:szCs w:val="21"/>
                <w:highlight w:val="none"/>
              </w:rPr>
              <w:t>驻点服务人员不低于</w:t>
            </w:r>
            <w:r>
              <w:rPr>
                <w:rFonts w:hint="eastAsia" w:ascii="宋体" w:hAnsi="宋体" w:cs="宋体"/>
                <w:sz w:val="21"/>
                <w:szCs w:val="21"/>
                <w:highlight w:val="none"/>
                <w:lang w:val="en-US" w:eastAsia="zh-CN"/>
              </w:rPr>
              <w:t>4</w:t>
            </w:r>
            <w:r>
              <w:rPr>
                <w:rFonts w:hint="eastAsia" w:ascii="宋体" w:hAnsi="宋体" w:cs="宋体"/>
                <w:sz w:val="21"/>
                <w:szCs w:val="21"/>
                <w:highlight w:val="none"/>
              </w:rPr>
              <w:t>人</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上一招标</w:t>
            </w:r>
            <w:r>
              <w:rPr>
                <w:rFonts w:hint="eastAsia" w:ascii="宋体" w:hAnsi="宋体" w:cs="宋体"/>
                <w:sz w:val="21"/>
                <w:szCs w:val="21"/>
                <w:highlight w:val="none"/>
                <w:lang w:eastAsia="zh-CN"/>
              </w:rPr>
              <w:t>驻点</w:t>
            </w:r>
            <w:r>
              <w:rPr>
                <w:rFonts w:hint="eastAsia" w:ascii="宋体" w:hAnsi="宋体" w:eastAsia="宋体" w:cs="宋体"/>
                <w:sz w:val="21"/>
                <w:szCs w:val="21"/>
                <w:highlight w:val="none"/>
              </w:rPr>
              <w:t>人员未离职的</w:t>
            </w:r>
            <w:r>
              <w:rPr>
                <w:rFonts w:hint="eastAsia" w:ascii="宋体" w:hAnsi="宋体" w:cs="宋体"/>
                <w:sz w:val="21"/>
                <w:szCs w:val="21"/>
                <w:highlight w:val="none"/>
                <w:lang w:eastAsia="zh-CN"/>
              </w:rPr>
              <w:t>，同等条件下优先保留</w:t>
            </w:r>
            <w:r>
              <w:rPr>
                <w:rFonts w:hint="eastAsia" w:ascii="宋体" w:hAnsi="宋体" w:eastAsia="宋体" w:cs="宋体"/>
                <w:sz w:val="21"/>
                <w:szCs w:val="21"/>
                <w:highlight w:val="none"/>
              </w:rPr>
              <w:t>。</w:t>
            </w:r>
          </w:p>
          <w:p w14:paraId="3A29DB26">
            <w:pPr>
              <w:pStyle w:val="241"/>
              <w:spacing w:line="380" w:lineRule="exact"/>
              <w:ind w:firstLine="422"/>
              <w:rPr>
                <w:rFonts w:ascii="宋体" w:hAnsi="宋体" w:cs="宋体"/>
                <w:b/>
                <w:bCs/>
                <w:sz w:val="21"/>
                <w:szCs w:val="21"/>
                <w:highlight w:val="none"/>
              </w:rPr>
            </w:pPr>
            <w:r>
              <w:rPr>
                <w:rFonts w:hint="eastAsia" w:ascii="宋体" w:hAnsi="宋体" w:cs="宋体"/>
                <w:b/>
                <w:bCs/>
                <w:sz w:val="21"/>
                <w:szCs w:val="21"/>
                <w:highlight w:val="none"/>
                <w:lang w:val="en-US" w:eastAsia="zh-CN"/>
              </w:rPr>
              <w:t>五</w:t>
            </w:r>
            <w:r>
              <w:rPr>
                <w:rFonts w:hint="eastAsia" w:ascii="宋体" w:hAnsi="宋体" w:cs="宋体"/>
                <w:b/>
                <w:bCs/>
                <w:sz w:val="21"/>
                <w:szCs w:val="21"/>
                <w:highlight w:val="none"/>
              </w:rPr>
              <w:t>、驻点服务人员要求</w:t>
            </w:r>
          </w:p>
          <w:p w14:paraId="7742ACBC">
            <w:pPr>
              <w:pStyle w:val="241"/>
              <w:spacing w:line="380" w:lineRule="exact"/>
              <w:ind w:firstLine="420"/>
              <w:rPr>
                <w:rFonts w:ascii="宋体" w:hAnsi="宋体" w:cs="宋体"/>
                <w:sz w:val="21"/>
                <w:szCs w:val="21"/>
                <w:highlight w:val="none"/>
              </w:rPr>
            </w:pPr>
            <w:r>
              <w:rPr>
                <w:rFonts w:hint="eastAsia" w:ascii="宋体" w:hAnsi="宋体" w:cs="宋体"/>
                <w:sz w:val="21"/>
                <w:szCs w:val="21"/>
                <w:highlight w:val="none"/>
              </w:rPr>
              <w:t>（一）35岁以下（含应届毕业生），会计类、经济类、审计类、统计类、信息类等相关专业本科及以上学历；其中至少1人具备中级及以上资格证书。</w:t>
            </w:r>
          </w:p>
          <w:p w14:paraId="29E67188">
            <w:pPr>
              <w:pStyle w:val="241"/>
              <w:spacing w:line="380" w:lineRule="exact"/>
              <w:ind w:firstLine="420"/>
              <w:rPr>
                <w:rFonts w:ascii="宋体" w:hAnsi="宋体" w:cs="宋体"/>
                <w:sz w:val="21"/>
                <w:szCs w:val="21"/>
                <w:highlight w:val="none"/>
              </w:rPr>
            </w:pPr>
            <w:r>
              <w:rPr>
                <w:rFonts w:hint="eastAsia" w:ascii="宋体" w:hAnsi="宋体" w:cs="宋体"/>
                <w:sz w:val="21"/>
                <w:szCs w:val="21"/>
                <w:highlight w:val="none"/>
              </w:rPr>
              <w:t>（二）熟练Office、WPS等办公软件。</w:t>
            </w:r>
          </w:p>
          <w:p w14:paraId="19DC91F8">
            <w:pPr>
              <w:pStyle w:val="241"/>
              <w:spacing w:line="380" w:lineRule="exact"/>
              <w:ind w:firstLine="420"/>
              <w:rPr>
                <w:rFonts w:ascii="宋体" w:hAnsi="宋体" w:cs="宋体"/>
                <w:sz w:val="21"/>
                <w:szCs w:val="21"/>
                <w:highlight w:val="none"/>
              </w:rPr>
            </w:pPr>
            <w:r>
              <w:rPr>
                <w:rFonts w:hint="eastAsia" w:ascii="宋体" w:hAnsi="宋体" w:cs="宋体"/>
                <w:sz w:val="21"/>
                <w:szCs w:val="21"/>
                <w:highlight w:val="none"/>
              </w:rPr>
              <w:t>（三）具备较强的沟通能力，执行能力，做事细心，有责任心，具备发现与解决问题能力，有较好组织协调能力。身体健康，责任心强，工作细心，具有良好的沟通能力和人际交往能力。</w:t>
            </w:r>
          </w:p>
          <w:p w14:paraId="5B419DDB">
            <w:pPr>
              <w:pStyle w:val="241"/>
              <w:spacing w:line="380" w:lineRule="exact"/>
              <w:ind w:firstLine="420"/>
              <w:rPr>
                <w:rFonts w:hint="eastAsia" w:ascii="宋体" w:hAnsi="宋体" w:eastAsia="宋体" w:cs="宋体"/>
                <w:sz w:val="21"/>
                <w:szCs w:val="21"/>
                <w:highlight w:val="none"/>
                <w:lang w:val="en-US" w:eastAsia="zh-CN" w:bidi="ar-SA"/>
              </w:rPr>
            </w:pPr>
            <w:r>
              <w:rPr>
                <w:rFonts w:hint="eastAsia" w:ascii="宋体" w:hAnsi="宋体" w:cs="宋体"/>
                <w:sz w:val="21"/>
                <w:szCs w:val="21"/>
                <w:highlight w:val="none"/>
              </w:rPr>
              <w:t>（四）其他：派驻人员由成交供应商负责按照采购人的用工条件组织招录，也可由采购人推荐；</w:t>
            </w:r>
            <w:r>
              <w:rPr>
                <w:rFonts w:hint="eastAsia" w:ascii="宋体" w:hAnsi="宋体" w:cs="宋体"/>
                <w:sz w:val="21"/>
                <w:szCs w:val="21"/>
                <w:highlight w:val="none"/>
                <w:lang w:val="en-US" w:eastAsia="zh-CN"/>
              </w:rPr>
              <w:t>经</w:t>
            </w:r>
            <w:r>
              <w:rPr>
                <w:rFonts w:hint="eastAsia" w:ascii="宋体" w:hAnsi="宋体" w:cs="宋体"/>
                <w:sz w:val="21"/>
                <w:szCs w:val="21"/>
                <w:highlight w:val="none"/>
              </w:rPr>
              <w:t>采购人</w:t>
            </w:r>
            <w:r>
              <w:rPr>
                <w:rFonts w:hint="eastAsia" w:ascii="宋体" w:hAnsi="宋体" w:cs="宋体"/>
                <w:sz w:val="21"/>
                <w:szCs w:val="21"/>
                <w:highlight w:val="none"/>
                <w:lang w:val="en-US" w:eastAsia="zh-CN"/>
              </w:rPr>
              <w:t>统一考核通过后，正式签订录用劳务合同后派驻服务；</w:t>
            </w:r>
            <w:r>
              <w:rPr>
                <w:rFonts w:hint="eastAsia" w:ascii="宋体" w:hAnsi="宋体" w:cs="宋体"/>
                <w:sz w:val="21"/>
                <w:szCs w:val="21"/>
                <w:highlight w:val="none"/>
              </w:rPr>
              <w:t>派驻人员的劳务报酬按采购人的有关分配方案执行</w:t>
            </w:r>
            <w:r>
              <w:rPr>
                <w:rFonts w:hint="eastAsia" w:ascii="宋体" w:hAnsi="宋体" w:cs="宋体"/>
                <w:sz w:val="21"/>
                <w:szCs w:val="21"/>
                <w:highlight w:val="none"/>
                <w:lang w:eastAsia="zh-CN"/>
              </w:rPr>
              <w:t>。</w:t>
            </w:r>
          </w:p>
        </w:tc>
      </w:tr>
      <w:tr w14:paraId="6C92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97" w:type="dxa"/>
            <w:gridSpan w:val="6"/>
            <w:tcBorders>
              <w:top w:val="single" w:color="auto" w:sz="4" w:space="0"/>
              <w:left w:val="single" w:color="auto" w:sz="4" w:space="0"/>
              <w:bottom w:val="single" w:color="auto" w:sz="4" w:space="0"/>
              <w:right w:val="single" w:color="auto" w:sz="4" w:space="0"/>
            </w:tcBorders>
            <w:noWrap w:val="0"/>
            <w:vAlign w:val="top"/>
          </w:tcPr>
          <w:p w14:paraId="0FE3AE42">
            <w:pPr>
              <w:spacing w:line="360" w:lineRule="exact"/>
              <w:rPr>
                <w:rFonts w:hint="eastAsia"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b/>
                <w:color w:val="auto"/>
                <w:sz w:val="24"/>
                <w:highlight w:val="none"/>
              </w:rPr>
              <w:t>商务要求</w:t>
            </w:r>
          </w:p>
        </w:tc>
      </w:tr>
      <w:tr w14:paraId="3F331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1085148F">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时间及地点</w:t>
            </w:r>
          </w:p>
        </w:tc>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757CD527">
            <w:pPr>
              <w:spacing w:line="36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日期：2026年2月-2027年1月。</w:t>
            </w:r>
          </w:p>
          <w:p w14:paraId="49F4BA0F">
            <w:pPr>
              <w:spacing w:line="360" w:lineRule="exact"/>
              <w:rPr>
                <w:rFonts w:hint="eastAsia" w:ascii="宋体" w:hAnsi="宋体" w:cs="宋体"/>
                <w:color w:val="auto"/>
                <w:sz w:val="24"/>
                <w:highlight w:val="none"/>
              </w:rPr>
            </w:pPr>
            <w:r>
              <w:rPr>
                <w:rFonts w:hint="eastAsia" w:ascii="宋体" w:hAnsi="宋体" w:cs="宋体"/>
                <w:color w:val="auto"/>
                <w:sz w:val="24"/>
                <w:highlight w:val="none"/>
              </w:rPr>
              <w:t>2.交货地点：广西壮族自治区卫生健康委员会项目资金监管服务中心（南宁市青秀区桃源路4-2号）。</w:t>
            </w:r>
          </w:p>
        </w:tc>
      </w:tr>
      <w:tr w14:paraId="2CE9E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46272C06">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合同签订时间</w:t>
            </w:r>
          </w:p>
        </w:tc>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06D8F400">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自成交通知书发出之日起</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日内。</w:t>
            </w:r>
          </w:p>
        </w:tc>
      </w:tr>
      <w:tr w14:paraId="5CDF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275EAF1B">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售后服务及保险等</w:t>
            </w:r>
          </w:p>
        </w:tc>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3B1D4FDF">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质保期：一年服务质保期，服务期限自验收合格之日起计算。</w:t>
            </w:r>
          </w:p>
          <w:p w14:paraId="7F9595C1">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.处理问题响应时间：要求提供7×24小时的电话支持服务，一旦出现的问题，电话解决不了的，2小时内到达指定地点解决。</w:t>
            </w:r>
          </w:p>
          <w:p w14:paraId="4F6071CF">
            <w:pPr>
              <w:spacing w:line="3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售后服务方案由</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根据自身实际，对项目的售后服务内容进行承诺，在项目实施过程中，也需按此承诺的响应内容进行实施，如</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不按承诺的内容进行的，采购人可取消其成交资格。</w:t>
            </w:r>
          </w:p>
        </w:tc>
      </w:tr>
      <w:tr w14:paraId="1D7BA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2121A245">
            <w:pPr>
              <w:spacing w:line="360" w:lineRule="exact"/>
              <w:jc w:val="left"/>
              <w:rPr>
                <w:rFonts w:hint="eastAsia" w:ascii="宋体" w:hAnsi="宋体" w:cs="宋体"/>
                <w:color w:val="auto"/>
                <w:sz w:val="24"/>
                <w:highlight w:val="none"/>
              </w:rPr>
            </w:pPr>
            <w:bookmarkStart w:id="51" w:name="_Toc53386023"/>
            <w:r>
              <w:rPr>
                <w:rFonts w:hint="eastAsia" w:ascii="宋体" w:hAnsi="宋体" w:cs="宋体"/>
                <w:color w:val="auto"/>
                <w:sz w:val="24"/>
                <w:highlight w:val="none"/>
              </w:rPr>
              <w:t>付款方式</w:t>
            </w:r>
            <w:bookmarkEnd w:id="51"/>
          </w:p>
        </w:tc>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78C17A8D">
            <w:pPr>
              <w:spacing w:line="360" w:lineRule="exact"/>
              <w:rPr>
                <w:rFonts w:hint="eastAsia" w:ascii="宋体" w:hAnsi="宋体" w:cs="宋体"/>
                <w:color w:val="auto"/>
                <w:sz w:val="24"/>
                <w:highlight w:val="none"/>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3</w:t>
            </w:r>
            <w:r>
              <w:rPr>
                <w:rFonts w:hint="eastAsia" w:ascii="宋体" w:hAnsi="宋体" w:cs="宋体"/>
                <w:color w:val="auto"/>
                <w:sz w:val="24"/>
                <w:highlight w:val="none"/>
              </w:rPr>
              <w:t>0个工作日内预付一个</w:t>
            </w:r>
            <w:r>
              <w:rPr>
                <w:rFonts w:hint="eastAsia" w:ascii="宋体" w:hAnsi="宋体" w:cs="宋体"/>
                <w:color w:val="auto"/>
                <w:sz w:val="24"/>
                <w:highlight w:val="none"/>
                <w:lang w:eastAsia="zh-CN"/>
              </w:rPr>
              <w:t>季度</w:t>
            </w:r>
            <w:r>
              <w:rPr>
                <w:rFonts w:hint="eastAsia" w:ascii="宋体" w:hAnsi="宋体" w:cs="宋体"/>
                <w:color w:val="auto"/>
                <w:sz w:val="24"/>
                <w:highlight w:val="none"/>
              </w:rPr>
              <w:t>费用，自次</w:t>
            </w:r>
            <w:r>
              <w:rPr>
                <w:rFonts w:hint="eastAsia" w:ascii="宋体" w:hAnsi="宋体" w:cs="宋体"/>
                <w:color w:val="auto"/>
                <w:sz w:val="24"/>
                <w:highlight w:val="none"/>
                <w:lang w:val="en-US" w:eastAsia="zh-CN"/>
              </w:rPr>
              <w:t>季度</w:t>
            </w:r>
            <w:r>
              <w:rPr>
                <w:rFonts w:hint="eastAsia" w:ascii="宋体" w:hAnsi="宋体" w:cs="宋体"/>
                <w:color w:val="auto"/>
                <w:sz w:val="24"/>
                <w:highlight w:val="none"/>
              </w:rPr>
              <w:t>起按</w:t>
            </w:r>
            <w:r>
              <w:rPr>
                <w:rFonts w:hint="eastAsia" w:ascii="宋体" w:hAnsi="宋体" w:cs="宋体"/>
                <w:color w:val="auto"/>
                <w:sz w:val="24"/>
                <w:highlight w:val="none"/>
                <w:lang w:val="en-US" w:eastAsia="zh-CN"/>
              </w:rPr>
              <w:t>季度</w:t>
            </w:r>
            <w:r>
              <w:rPr>
                <w:rFonts w:hint="eastAsia" w:ascii="宋体" w:hAnsi="宋体" w:cs="宋体"/>
                <w:color w:val="auto"/>
                <w:sz w:val="24"/>
                <w:highlight w:val="none"/>
              </w:rPr>
              <w:t>实际结算。由成交人提供结算表，经采购人审核确认无误后再提交请款函，自请款函提交次日起，采购人10个工作日内付款，如遇节假日提前安排付款。</w:t>
            </w:r>
          </w:p>
        </w:tc>
      </w:tr>
      <w:tr w14:paraId="3CEA1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39511290">
            <w:pPr>
              <w:spacing w:line="360" w:lineRule="exact"/>
              <w:jc w:val="center"/>
              <w:rPr>
                <w:rFonts w:hint="eastAsia" w:ascii="宋体" w:hAnsi="宋体" w:cs="宋体"/>
                <w:b/>
                <w:color w:val="auto"/>
                <w:sz w:val="24"/>
                <w:highlight w:val="none"/>
              </w:rPr>
            </w:pPr>
            <w:r>
              <w:rPr>
                <w:rFonts w:hint="eastAsia" w:ascii="宋体" w:hAnsi="宋体" w:cs="宋体"/>
                <w:color w:val="auto"/>
                <w:sz w:val="24"/>
                <w:highlight w:val="none"/>
              </w:rPr>
              <w:t>知识产权</w:t>
            </w:r>
          </w:p>
        </w:tc>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45B2E2F9">
            <w:pPr>
              <w:spacing w:line="360" w:lineRule="exact"/>
              <w:jc w:val="left"/>
              <w:rPr>
                <w:rFonts w:hint="eastAsia" w:ascii="宋体" w:hAnsi="宋体" w:cs="宋体"/>
                <w:b/>
                <w:color w:val="auto"/>
                <w:sz w:val="24"/>
                <w:highlight w:val="none"/>
              </w:rPr>
            </w:pPr>
            <w:r>
              <w:rPr>
                <w:rFonts w:hint="eastAsia" w:ascii="宋体" w:hAnsi="宋体" w:cs="宋体"/>
                <w:color w:val="auto"/>
                <w:sz w:val="24"/>
                <w:highlight w:val="none"/>
              </w:rPr>
              <w:t>成交供应商应对磋商承诺内容及服务成果所涉及的专利、著作权等知识产权承担责任，并负责保护用户的利益不受任何损害。一切由于文字、商标、技术和软件专利授权引起的法律裁决、诉讼和赔偿费用均由中标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供应商负责。所使用的设备、材料须符合国家有关标准要求。</w:t>
            </w:r>
          </w:p>
        </w:tc>
      </w:tr>
      <w:tr w14:paraId="44896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28C3B800">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验收标准</w:t>
            </w:r>
          </w:p>
        </w:tc>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7E0F8F4E">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1.按</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文件、响应文件以及合同的相关条款进行验收，验收过程中所产生的一切费用均由成交供应商承担。报价时应考虑相关费用。</w:t>
            </w:r>
          </w:p>
          <w:p w14:paraId="64E5DCA0">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2.提供的服务与响应文件中承诺的服务内容不一致的，由此导致的所有损失由成交供应商承担。</w:t>
            </w:r>
          </w:p>
          <w:p w14:paraId="0E21926C">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3.合同条款有其他规定的按其规定。</w:t>
            </w:r>
          </w:p>
          <w:p w14:paraId="654B0A23">
            <w:pPr>
              <w:spacing w:line="360" w:lineRule="exact"/>
              <w:jc w:val="left"/>
              <w:rPr>
                <w:rFonts w:hint="eastAsia" w:ascii="宋体" w:hAnsi="宋体" w:cs="宋体"/>
                <w:color w:val="auto"/>
                <w:sz w:val="24"/>
                <w:highlight w:val="none"/>
              </w:rPr>
            </w:pPr>
            <w:r>
              <w:rPr>
                <w:rFonts w:hint="eastAsia" w:ascii="宋体" w:hAnsi="宋体" w:cs="宋体"/>
                <w:bCs/>
                <w:color w:val="auto"/>
                <w:sz w:val="24"/>
                <w:highlight w:val="none"/>
              </w:rPr>
              <w:t>4.其他验收要求按本项目采购合同执行，未尽事宜参照《关于印发广西壮族自治区政府采购项目履约验收管理办法的通知》[桂财采〔2015〕22号]以及《财政部关于进一步加强政府采购需求和履约验收管理的指导意见》[财库〔2016〕205号]规定执行。</w:t>
            </w:r>
          </w:p>
        </w:tc>
      </w:tr>
      <w:tr w14:paraId="5C41B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gridSpan w:val="2"/>
            <w:tcBorders>
              <w:top w:val="single" w:color="auto" w:sz="4" w:space="0"/>
              <w:left w:val="single" w:color="auto" w:sz="4" w:space="0"/>
              <w:bottom w:val="single" w:color="auto" w:sz="4" w:space="0"/>
              <w:right w:val="single" w:color="auto" w:sz="4" w:space="0"/>
            </w:tcBorders>
            <w:noWrap w:val="0"/>
            <w:vAlign w:val="center"/>
          </w:tcPr>
          <w:p w14:paraId="25620FC3">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其他要求</w:t>
            </w:r>
          </w:p>
        </w:tc>
        <w:tc>
          <w:tcPr>
            <w:tcW w:w="8305" w:type="dxa"/>
            <w:gridSpan w:val="4"/>
            <w:tcBorders>
              <w:top w:val="single" w:color="auto" w:sz="4" w:space="0"/>
              <w:left w:val="single" w:color="auto" w:sz="4" w:space="0"/>
              <w:bottom w:val="single" w:color="auto" w:sz="4" w:space="0"/>
              <w:right w:val="single" w:color="auto" w:sz="4" w:space="0"/>
            </w:tcBorders>
            <w:noWrap w:val="0"/>
            <w:vAlign w:val="center"/>
          </w:tcPr>
          <w:p w14:paraId="3660516E">
            <w:pPr>
              <w:numPr>
                <w:ilvl w:val="0"/>
                <w:numId w:val="3"/>
              </w:num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供应商可根据自身优势在响应文件中提供项目实施方案、</w:t>
            </w:r>
            <w:r>
              <w:rPr>
                <w:rFonts w:hint="eastAsia" w:ascii="宋体" w:hAnsi="宋体" w:cs="宋体"/>
                <w:bCs/>
                <w:color w:val="auto"/>
                <w:sz w:val="24"/>
                <w:highlight w:val="none"/>
              </w:rPr>
              <w:t>进度计划、售后服务方案、人员情况</w:t>
            </w:r>
            <w:r>
              <w:rPr>
                <w:rFonts w:hint="eastAsia" w:ascii="宋体" w:hAnsi="宋体" w:cs="宋体"/>
                <w:color w:val="auto"/>
                <w:sz w:val="24"/>
                <w:highlight w:val="none"/>
              </w:rPr>
              <w:t>、相关业绩证明等材料。</w:t>
            </w:r>
          </w:p>
          <w:p w14:paraId="1D228AD1">
            <w:pPr>
              <w:numPr>
                <w:ilvl w:val="0"/>
                <w:numId w:val="3"/>
              </w:num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本次采购预算包含包装和运输费用。</w:t>
            </w:r>
          </w:p>
        </w:tc>
      </w:tr>
    </w:tbl>
    <w:p w14:paraId="1E2AC075">
      <w:pPr>
        <w:spacing w:line="480" w:lineRule="exact"/>
        <w:ind w:firstLine="480"/>
        <w:jc w:val="left"/>
        <w:rPr>
          <w:rFonts w:hint="eastAsia" w:ascii="宋体" w:hAnsi="宋体" w:cs="宋体"/>
          <w:color w:val="auto"/>
          <w:sz w:val="24"/>
          <w:highlight w:val="none"/>
        </w:rPr>
      </w:pPr>
      <w:r>
        <w:rPr>
          <w:rFonts w:hint="eastAsia" w:ascii="宋体" w:hAnsi="宋体" w:cs="宋体"/>
          <w:color w:val="auto"/>
          <w:sz w:val="24"/>
          <w:szCs w:val="21"/>
          <w:highlight w:val="none"/>
        </w:rPr>
        <w:t>说明：“实质性要求”是指磋商文件中已经指明不满足则响应文件按无效响应处理的条款，或者不能负偏离的条款，或者采购需求中带“▲”的条款。</w:t>
      </w:r>
    </w:p>
    <w:p w14:paraId="532A5DF0">
      <w:pPr>
        <w:widowControl/>
        <w:jc w:val="left"/>
        <w:rPr>
          <w:rFonts w:hint="eastAsia" w:ascii="黑体" w:hAnsi="黑体" w:eastAsia="黑体" w:cs="黑体"/>
          <w:color w:val="auto"/>
          <w:sz w:val="32"/>
          <w:szCs w:val="32"/>
          <w:highlight w:val="none"/>
        </w:rPr>
      </w:pPr>
    </w:p>
    <w:p w14:paraId="20CF77D9">
      <w:pPr>
        <w:widowControl/>
        <w:jc w:val="left"/>
        <w:rPr>
          <w:rFonts w:hint="eastAsia" w:ascii="黑体" w:hAnsi="黑体" w:eastAsia="黑体" w:cs="黑体"/>
          <w:color w:val="auto"/>
          <w:sz w:val="32"/>
          <w:szCs w:val="32"/>
          <w:highlight w:val="none"/>
        </w:rPr>
      </w:pPr>
    </w:p>
    <w:p w14:paraId="19544F27">
      <w:pPr>
        <w:widowControl/>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52E0A489">
      <w:pPr>
        <w:spacing w:line="528" w:lineRule="exact"/>
        <w:ind w:firstLine="28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中小微企业划型标准</w:t>
      </w:r>
    </w:p>
    <w:tbl>
      <w:tblPr>
        <w:tblStyle w:val="4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5960634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5E421F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15ED5D95">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304E731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6D4246C5">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3934746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0D6010B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微型</w:t>
            </w:r>
          </w:p>
        </w:tc>
      </w:tr>
      <w:tr w14:paraId="5499B8C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20ADC0B5">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4ECC6FF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881ADD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6738B74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1570" w:type="dxa"/>
            <w:tcBorders>
              <w:top w:val="nil"/>
              <w:left w:val="nil"/>
              <w:bottom w:val="single" w:color="auto" w:sz="4" w:space="0"/>
              <w:right w:val="single" w:color="auto" w:sz="4" w:space="0"/>
            </w:tcBorders>
            <w:noWrap w:val="0"/>
            <w:vAlign w:val="center"/>
          </w:tcPr>
          <w:p w14:paraId="3184D31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50≤Y＜500</w:t>
            </w:r>
          </w:p>
        </w:tc>
        <w:tc>
          <w:tcPr>
            <w:tcW w:w="1009" w:type="dxa"/>
            <w:tcBorders>
              <w:top w:val="nil"/>
              <w:left w:val="nil"/>
              <w:bottom w:val="single" w:color="auto" w:sz="4" w:space="0"/>
              <w:right w:val="single" w:color="auto" w:sz="4" w:space="0"/>
            </w:tcBorders>
            <w:noWrap w:val="0"/>
            <w:vAlign w:val="center"/>
          </w:tcPr>
          <w:p w14:paraId="76C163F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4CF3A13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17C17BB">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工业</w:t>
            </w:r>
          </w:p>
        </w:tc>
        <w:tc>
          <w:tcPr>
            <w:tcW w:w="1701" w:type="dxa"/>
            <w:tcBorders>
              <w:top w:val="nil"/>
              <w:left w:val="nil"/>
              <w:bottom w:val="single" w:color="auto" w:sz="4" w:space="0"/>
              <w:right w:val="single" w:color="auto" w:sz="4" w:space="0"/>
            </w:tcBorders>
            <w:noWrap w:val="0"/>
            <w:vAlign w:val="center"/>
          </w:tcPr>
          <w:p w14:paraId="7CC3118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C9BC68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345321C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1570" w:type="dxa"/>
            <w:tcBorders>
              <w:top w:val="nil"/>
              <w:left w:val="nil"/>
              <w:bottom w:val="single" w:color="auto" w:sz="4" w:space="0"/>
              <w:right w:val="single" w:color="auto" w:sz="4" w:space="0"/>
            </w:tcBorders>
            <w:noWrap w:val="0"/>
            <w:vAlign w:val="center"/>
          </w:tcPr>
          <w:p w14:paraId="53F3ECC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009" w:type="dxa"/>
            <w:tcBorders>
              <w:top w:val="nil"/>
              <w:left w:val="nil"/>
              <w:bottom w:val="single" w:color="auto" w:sz="4" w:space="0"/>
              <w:right w:val="single" w:color="auto" w:sz="4" w:space="0"/>
            </w:tcBorders>
            <w:noWrap w:val="0"/>
            <w:vAlign w:val="center"/>
          </w:tcPr>
          <w:p w14:paraId="6CF2186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54E7851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23BC9C">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1625218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0D1975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60CCEDC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4507CB3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300≤Y＜2000</w:t>
            </w:r>
          </w:p>
        </w:tc>
        <w:tc>
          <w:tcPr>
            <w:tcW w:w="1009" w:type="dxa"/>
            <w:tcBorders>
              <w:top w:val="nil"/>
              <w:left w:val="nil"/>
              <w:bottom w:val="single" w:color="auto" w:sz="4" w:space="0"/>
              <w:right w:val="single" w:color="auto" w:sz="4" w:space="0"/>
            </w:tcBorders>
            <w:noWrap w:val="0"/>
            <w:vAlign w:val="center"/>
          </w:tcPr>
          <w:p w14:paraId="5C13C1D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12FC3C2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FD3A945">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建筑业</w:t>
            </w:r>
          </w:p>
        </w:tc>
        <w:tc>
          <w:tcPr>
            <w:tcW w:w="1701" w:type="dxa"/>
            <w:tcBorders>
              <w:top w:val="nil"/>
              <w:left w:val="nil"/>
              <w:bottom w:val="single" w:color="auto" w:sz="4" w:space="0"/>
              <w:right w:val="single" w:color="auto" w:sz="4" w:space="0"/>
            </w:tcBorders>
            <w:noWrap w:val="0"/>
            <w:vAlign w:val="center"/>
          </w:tcPr>
          <w:p w14:paraId="6979FCCA">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F9267F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60F4A75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19E88AB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300≤Y＜6000</w:t>
            </w:r>
          </w:p>
        </w:tc>
        <w:tc>
          <w:tcPr>
            <w:tcW w:w="1009" w:type="dxa"/>
            <w:tcBorders>
              <w:top w:val="nil"/>
              <w:left w:val="nil"/>
              <w:bottom w:val="single" w:color="auto" w:sz="4" w:space="0"/>
              <w:right w:val="single" w:color="auto" w:sz="4" w:space="0"/>
            </w:tcBorders>
            <w:noWrap w:val="0"/>
            <w:vAlign w:val="center"/>
          </w:tcPr>
          <w:p w14:paraId="6F88A7F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Y＜300</w:t>
            </w:r>
          </w:p>
        </w:tc>
      </w:tr>
      <w:tr w14:paraId="705A195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C0B7786">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43F36B8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2B6121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1423F79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20D7D16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300≤Z＜5000</w:t>
            </w:r>
          </w:p>
        </w:tc>
        <w:tc>
          <w:tcPr>
            <w:tcW w:w="1009" w:type="dxa"/>
            <w:tcBorders>
              <w:top w:val="nil"/>
              <w:left w:val="nil"/>
              <w:bottom w:val="single" w:color="auto" w:sz="4" w:space="0"/>
              <w:right w:val="single" w:color="auto" w:sz="4" w:space="0"/>
            </w:tcBorders>
            <w:noWrap w:val="0"/>
            <w:vAlign w:val="center"/>
          </w:tcPr>
          <w:p w14:paraId="50932FF5">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Z＜300</w:t>
            </w:r>
          </w:p>
        </w:tc>
      </w:tr>
      <w:tr w14:paraId="362248D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BAD7909">
            <w:pPr>
              <w:widowControl/>
              <w:ind w:firstLine="315"/>
              <w:rPr>
                <w:rFonts w:hint="eastAsia" w:ascii="宋体" w:hAnsi="宋体" w:cs="宋体"/>
                <w:color w:val="auto"/>
                <w:sz w:val="21"/>
                <w:szCs w:val="21"/>
                <w:highlight w:val="none"/>
              </w:rPr>
            </w:pPr>
            <w:r>
              <w:rPr>
                <w:rFonts w:hint="eastAsia" w:ascii="宋体" w:hAnsi="宋体" w:cs="宋体"/>
                <w:color w:val="auto"/>
                <w:sz w:val="21"/>
                <w:szCs w:val="21"/>
                <w:highlight w:val="none"/>
              </w:rPr>
              <w:t>批发业</w:t>
            </w:r>
          </w:p>
        </w:tc>
        <w:tc>
          <w:tcPr>
            <w:tcW w:w="1701" w:type="dxa"/>
            <w:tcBorders>
              <w:top w:val="nil"/>
              <w:left w:val="nil"/>
              <w:bottom w:val="single" w:color="auto" w:sz="4" w:space="0"/>
              <w:right w:val="single" w:color="auto" w:sz="4" w:space="0"/>
            </w:tcBorders>
            <w:noWrap w:val="0"/>
            <w:vAlign w:val="center"/>
          </w:tcPr>
          <w:p w14:paraId="15A2D60A">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72E4B5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017F33AA">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20≤X＜200</w:t>
            </w:r>
          </w:p>
        </w:tc>
        <w:tc>
          <w:tcPr>
            <w:tcW w:w="1570" w:type="dxa"/>
            <w:tcBorders>
              <w:top w:val="nil"/>
              <w:left w:val="nil"/>
              <w:bottom w:val="single" w:color="auto" w:sz="4" w:space="0"/>
              <w:right w:val="single" w:color="auto" w:sz="4" w:space="0"/>
            </w:tcBorders>
            <w:noWrap w:val="0"/>
            <w:vAlign w:val="center"/>
          </w:tcPr>
          <w:p w14:paraId="49513F2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5≤X＜20</w:t>
            </w:r>
          </w:p>
        </w:tc>
        <w:tc>
          <w:tcPr>
            <w:tcW w:w="1009" w:type="dxa"/>
            <w:tcBorders>
              <w:top w:val="nil"/>
              <w:left w:val="nil"/>
              <w:bottom w:val="single" w:color="auto" w:sz="4" w:space="0"/>
              <w:right w:val="single" w:color="auto" w:sz="4" w:space="0"/>
            </w:tcBorders>
            <w:noWrap w:val="0"/>
            <w:vAlign w:val="center"/>
          </w:tcPr>
          <w:p w14:paraId="27B492C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X＜5</w:t>
            </w:r>
          </w:p>
        </w:tc>
      </w:tr>
      <w:tr w14:paraId="1352265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964CF6E">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0DB5FEF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36AE14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435F954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0AD6E8D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009" w:type="dxa"/>
            <w:tcBorders>
              <w:top w:val="nil"/>
              <w:left w:val="nil"/>
              <w:bottom w:val="single" w:color="auto" w:sz="4" w:space="0"/>
              <w:right w:val="single" w:color="auto" w:sz="4" w:space="0"/>
            </w:tcBorders>
            <w:noWrap w:val="0"/>
            <w:vAlign w:val="center"/>
          </w:tcPr>
          <w:p w14:paraId="4E1A15A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Y＜1000</w:t>
            </w:r>
          </w:p>
        </w:tc>
      </w:tr>
      <w:tr w14:paraId="5A4F2B4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D2DB36">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零售业</w:t>
            </w:r>
          </w:p>
        </w:tc>
        <w:tc>
          <w:tcPr>
            <w:tcW w:w="1701" w:type="dxa"/>
            <w:tcBorders>
              <w:top w:val="nil"/>
              <w:left w:val="nil"/>
              <w:bottom w:val="single" w:color="auto" w:sz="4" w:space="0"/>
              <w:right w:val="single" w:color="auto" w:sz="4" w:space="0"/>
            </w:tcBorders>
            <w:noWrap w:val="0"/>
            <w:vAlign w:val="center"/>
          </w:tcPr>
          <w:p w14:paraId="495E226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A88180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5F071A05">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50≤X＜300</w:t>
            </w:r>
          </w:p>
        </w:tc>
        <w:tc>
          <w:tcPr>
            <w:tcW w:w="1570" w:type="dxa"/>
            <w:tcBorders>
              <w:top w:val="nil"/>
              <w:left w:val="nil"/>
              <w:bottom w:val="single" w:color="auto" w:sz="4" w:space="0"/>
              <w:right w:val="single" w:color="auto" w:sz="4" w:space="0"/>
            </w:tcBorders>
            <w:noWrap w:val="0"/>
            <w:vAlign w:val="center"/>
          </w:tcPr>
          <w:p w14:paraId="4D6B0C0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10≤X＜50</w:t>
            </w:r>
          </w:p>
        </w:tc>
        <w:tc>
          <w:tcPr>
            <w:tcW w:w="1009" w:type="dxa"/>
            <w:tcBorders>
              <w:top w:val="nil"/>
              <w:left w:val="nil"/>
              <w:bottom w:val="single" w:color="auto" w:sz="4" w:space="0"/>
              <w:right w:val="single" w:color="auto" w:sz="4" w:space="0"/>
            </w:tcBorders>
            <w:noWrap w:val="0"/>
            <w:vAlign w:val="center"/>
          </w:tcPr>
          <w:p w14:paraId="01AD13C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794281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0DF63B5">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3AE6D01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0CFEAC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2134C3E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F1A985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100≤Y＜500</w:t>
            </w:r>
          </w:p>
        </w:tc>
        <w:tc>
          <w:tcPr>
            <w:tcW w:w="1009" w:type="dxa"/>
            <w:tcBorders>
              <w:top w:val="nil"/>
              <w:left w:val="nil"/>
              <w:bottom w:val="single" w:color="auto" w:sz="4" w:space="0"/>
              <w:right w:val="single" w:color="auto" w:sz="4" w:space="0"/>
            </w:tcBorders>
            <w:noWrap w:val="0"/>
            <w:vAlign w:val="center"/>
          </w:tcPr>
          <w:p w14:paraId="43A829C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3905FF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818538">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45E9FE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2BCA5F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70C7674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1570" w:type="dxa"/>
            <w:tcBorders>
              <w:top w:val="nil"/>
              <w:left w:val="nil"/>
              <w:bottom w:val="single" w:color="auto" w:sz="4" w:space="0"/>
              <w:right w:val="single" w:color="auto" w:sz="4" w:space="0"/>
            </w:tcBorders>
            <w:noWrap w:val="0"/>
            <w:vAlign w:val="center"/>
          </w:tcPr>
          <w:p w14:paraId="0D9055D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009" w:type="dxa"/>
            <w:tcBorders>
              <w:top w:val="nil"/>
              <w:left w:val="nil"/>
              <w:bottom w:val="single" w:color="auto" w:sz="4" w:space="0"/>
              <w:right w:val="single" w:color="auto" w:sz="4" w:space="0"/>
            </w:tcBorders>
            <w:noWrap w:val="0"/>
            <w:vAlign w:val="center"/>
          </w:tcPr>
          <w:p w14:paraId="6B150C4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20F4228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EBA332">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04ECDBD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D71485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615A388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03F1BE1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200≤Y＜3000</w:t>
            </w:r>
          </w:p>
        </w:tc>
        <w:tc>
          <w:tcPr>
            <w:tcW w:w="1009" w:type="dxa"/>
            <w:tcBorders>
              <w:top w:val="nil"/>
              <w:left w:val="nil"/>
              <w:bottom w:val="single" w:color="auto" w:sz="4" w:space="0"/>
              <w:right w:val="single" w:color="auto" w:sz="4" w:space="0"/>
            </w:tcBorders>
            <w:noWrap w:val="0"/>
            <w:vAlign w:val="center"/>
          </w:tcPr>
          <w:p w14:paraId="3D2B64A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Y＜200</w:t>
            </w:r>
          </w:p>
        </w:tc>
      </w:tr>
      <w:tr w14:paraId="2443372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75718A8">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仓储业</w:t>
            </w:r>
          </w:p>
        </w:tc>
        <w:tc>
          <w:tcPr>
            <w:tcW w:w="1701" w:type="dxa"/>
            <w:tcBorders>
              <w:top w:val="nil"/>
              <w:left w:val="nil"/>
              <w:bottom w:val="single" w:color="auto" w:sz="4" w:space="0"/>
              <w:right w:val="single" w:color="auto" w:sz="4" w:space="0"/>
            </w:tcBorders>
            <w:noWrap w:val="0"/>
            <w:vAlign w:val="center"/>
          </w:tcPr>
          <w:p w14:paraId="54F7C8D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4C4987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0E0DB42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100≤X＜200</w:t>
            </w:r>
          </w:p>
        </w:tc>
        <w:tc>
          <w:tcPr>
            <w:tcW w:w="1570" w:type="dxa"/>
            <w:tcBorders>
              <w:top w:val="nil"/>
              <w:left w:val="nil"/>
              <w:bottom w:val="single" w:color="auto" w:sz="4" w:space="0"/>
              <w:right w:val="single" w:color="auto" w:sz="4" w:space="0"/>
            </w:tcBorders>
            <w:noWrap w:val="0"/>
            <w:vAlign w:val="center"/>
          </w:tcPr>
          <w:p w14:paraId="305FF65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20≤X＜100</w:t>
            </w:r>
          </w:p>
        </w:tc>
        <w:tc>
          <w:tcPr>
            <w:tcW w:w="1009" w:type="dxa"/>
            <w:tcBorders>
              <w:top w:val="nil"/>
              <w:left w:val="nil"/>
              <w:bottom w:val="single" w:color="auto" w:sz="4" w:space="0"/>
              <w:right w:val="single" w:color="auto" w:sz="4" w:space="0"/>
            </w:tcBorders>
            <w:noWrap w:val="0"/>
            <w:vAlign w:val="center"/>
          </w:tcPr>
          <w:p w14:paraId="29135E4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6E63BE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F4D9BD2">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1317837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1A998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2F23DFB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0F1C51F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009" w:type="dxa"/>
            <w:tcBorders>
              <w:top w:val="nil"/>
              <w:left w:val="nil"/>
              <w:bottom w:val="single" w:color="auto" w:sz="4" w:space="0"/>
              <w:right w:val="single" w:color="auto" w:sz="4" w:space="0"/>
            </w:tcBorders>
            <w:noWrap w:val="0"/>
            <w:vAlign w:val="center"/>
          </w:tcPr>
          <w:p w14:paraId="7228383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5977D2A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F088F8">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邮政业</w:t>
            </w:r>
          </w:p>
        </w:tc>
        <w:tc>
          <w:tcPr>
            <w:tcW w:w="1701" w:type="dxa"/>
            <w:tcBorders>
              <w:top w:val="nil"/>
              <w:left w:val="nil"/>
              <w:bottom w:val="single" w:color="auto" w:sz="4" w:space="0"/>
              <w:right w:val="single" w:color="auto" w:sz="4" w:space="0"/>
            </w:tcBorders>
            <w:noWrap w:val="0"/>
            <w:vAlign w:val="center"/>
          </w:tcPr>
          <w:p w14:paraId="191D2C7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41C843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4819C49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1570" w:type="dxa"/>
            <w:tcBorders>
              <w:top w:val="nil"/>
              <w:left w:val="nil"/>
              <w:bottom w:val="single" w:color="auto" w:sz="4" w:space="0"/>
              <w:right w:val="single" w:color="auto" w:sz="4" w:space="0"/>
            </w:tcBorders>
            <w:noWrap w:val="0"/>
            <w:vAlign w:val="center"/>
          </w:tcPr>
          <w:p w14:paraId="1FDE55E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20≤X＜300</w:t>
            </w:r>
          </w:p>
        </w:tc>
        <w:tc>
          <w:tcPr>
            <w:tcW w:w="1009" w:type="dxa"/>
            <w:tcBorders>
              <w:top w:val="nil"/>
              <w:left w:val="nil"/>
              <w:bottom w:val="single" w:color="auto" w:sz="4" w:space="0"/>
              <w:right w:val="single" w:color="auto" w:sz="4" w:space="0"/>
            </w:tcBorders>
            <w:noWrap w:val="0"/>
            <w:vAlign w:val="center"/>
          </w:tcPr>
          <w:p w14:paraId="0F40D19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X＜20</w:t>
            </w:r>
          </w:p>
        </w:tc>
      </w:tr>
      <w:tr w14:paraId="3CDEF70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2BDD853">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2DA738A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D25D26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063D8AE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75DED00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009" w:type="dxa"/>
            <w:tcBorders>
              <w:top w:val="nil"/>
              <w:left w:val="nil"/>
              <w:bottom w:val="single" w:color="auto" w:sz="4" w:space="0"/>
              <w:right w:val="single" w:color="auto" w:sz="4" w:space="0"/>
            </w:tcBorders>
            <w:noWrap w:val="0"/>
            <w:vAlign w:val="center"/>
          </w:tcPr>
          <w:p w14:paraId="50647E0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28B8452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B3053DC">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住宿业</w:t>
            </w:r>
          </w:p>
        </w:tc>
        <w:tc>
          <w:tcPr>
            <w:tcW w:w="1701" w:type="dxa"/>
            <w:tcBorders>
              <w:top w:val="nil"/>
              <w:left w:val="nil"/>
              <w:bottom w:val="single" w:color="auto" w:sz="4" w:space="0"/>
              <w:right w:val="single" w:color="auto" w:sz="4" w:space="0"/>
            </w:tcBorders>
            <w:noWrap w:val="0"/>
            <w:vAlign w:val="center"/>
          </w:tcPr>
          <w:p w14:paraId="61C6D47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631565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2470DFB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570" w:type="dxa"/>
            <w:tcBorders>
              <w:top w:val="nil"/>
              <w:left w:val="nil"/>
              <w:bottom w:val="single" w:color="auto" w:sz="4" w:space="0"/>
              <w:right w:val="single" w:color="auto" w:sz="4" w:space="0"/>
            </w:tcBorders>
            <w:noWrap w:val="0"/>
            <w:vAlign w:val="center"/>
          </w:tcPr>
          <w:p w14:paraId="0144B03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009" w:type="dxa"/>
            <w:tcBorders>
              <w:top w:val="nil"/>
              <w:left w:val="nil"/>
              <w:bottom w:val="single" w:color="auto" w:sz="4" w:space="0"/>
              <w:right w:val="single" w:color="auto" w:sz="4" w:space="0"/>
            </w:tcBorders>
            <w:noWrap w:val="0"/>
            <w:vAlign w:val="center"/>
          </w:tcPr>
          <w:p w14:paraId="7EFA2EA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78FF3A6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AA15FA">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5A13F4D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97DB98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45B7526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877D9C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009" w:type="dxa"/>
            <w:tcBorders>
              <w:top w:val="nil"/>
              <w:left w:val="nil"/>
              <w:bottom w:val="single" w:color="auto" w:sz="4" w:space="0"/>
              <w:right w:val="single" w:color="auto" w:sz="4" w:space="0"/>
            </w:tcBorders>
            <w:noWrap w:val="0"/>
            <w:vAlign w:val="center"/>
          </w:tcPr>
          <w:p w14:paraId="650C8C1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74FAEA2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3164E42">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餐饮业</w:t>
            </w:r>
          </w:p>
        </w:tc>
        <w:tc>
          <w:tcPr>
            <w:tcW w:w="1701" w:type="dxa"/>
            <w:tcBorders>
              <w:top w:val="nil"/>
              <w:left w:val="nil"/>
              <w:bottom w:val="single" w:color="auto" w:sz="4" w:space="0"/>
              <w:right w:val="single" w:color="auto" w:sz="4" w:space="0"/>
            </w:tcBorders>
            <w:noWrap w:val="0"/>
            <w:vAlign w:val="center"/>
          </w:tcPr>
          <w:p w14:paraId="3CB195B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94F74D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0EFBE13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570" w:type="dxa"/>
            <w:tcBorders>
              <w:top w:val="nil"/>
              <w:left w:val="nil"/>
              <w:bottom w:val="single" w:color="auto" w:sz="4" w:space="0"/>
              <w:right w:val="single" w:color="auto" w:sz="4" w:space="0"/>
            </w:tcBorders>
            <w:noWrap w:val="0"/>
            <w:vAlign w:val="center"/>
          </w:tcPr>
          <w:p w14:paraId="3CD5000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009" w:type="dxa"/>
            <w:tcBorders>
              <w:top w:val="nil"/>
              <w:left w:val="nil"/>
              <w:bottom w:val="single" w:color="auto" w:sz="4" w:space="0"/>
              <w:right w:val="single" w:color="auto" w:sz="4" w:space="0"/>
            </w:tcBorders>
            <w:noWrap w:val="0"/>
            <w:vAlign w:val="center"/>
          </w:tcPr>
          <w:p w14:paraId="6715A1A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247E3A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18AEC01">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661B2B0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D72014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23D4AF55">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59E52EC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100≤Y＜2000</w:t>
            </w:r>
          </w:p>
        </w:tc>
        <w:tc>
          <w:tcPr>
            <w:tcW w:w="1009" w:type="dxa"/>
            <w:tcBorders>
              <w:top w:val="nil"/>
              <w:left w:val="nil"/>
              <w:bottom w:val="single" w:color="auto" w:sz="4" w:space="0"/>
              <w:right w:val="single" w:color="auto" w:sz="4" w:space="0"/>
            </w:tcBorders>
            <w:noWrap w:val="0"/>
            <w:vAlign w:val="center"/>
          </w:tcPr>
          <w:p w14:paraId="3E51292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4E61EF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BCBBBA4">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9C25A4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B18037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442D424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100≤X＜2000</w:t>
            </w:r>
          </w:p>
        </w:tc>
        <w:tc>
          <w:tcPr>
            <w:tcW w:w="1570" w:type="dxa"/>
            <w:tcBorders>
              <w:top w:val="nil"/>
              <w:left w:val="nil"/>
              <w:bottom w:val="single" w:color="auto" w:sz="4" w:space="0"/>
              <w:right w:val="single" w:color="auto" w:sz="4" w:space="0"/>
            </w:tcBorders>
            <w:noWrap w:val="0"/>
            <w:vAlign w:val="center"/>
          </w:tcPr>
          <w:p w14:paraId="014CC82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009" w:type="dxa"/>
            <w:tcBorders>
              <w:top w:val="nil"/>
              <w:left w:val="nil"/>
              <w:bottom w:val="single" w:color="auto" w:sz="4" w:space="0"/>
              <w:right w:val="single" w:color="auto" w:sz="4" w:space="0"/>
            </w:tcBorders>
            <w:noWrap w:val="0"/>
            <w:vAlign w:val="center"/>
          </w:tcPr>
          <w:p w14:paraId="6518DF6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5E5D259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8CACE2B">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3B15A9E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967154A">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162F316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3EB6BA1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100≤Y＜1000</w:t>
            </w:r>
          </w:p>
        </w:tc>
        <w:tc>
          <w:tcPr>
            <w:tcW w:w="1009" w:type="dxa"/>
            <w:tcBorders>
              <w:top w:val="nil"/>
              <w:left w:val="nil"/>
              <w:bottom w:val="single" w:color="auto" w:sz="4" w:space="0"/>
              <w:right w:val="single" w:color="auto" w:sz="4" w:space="0"/>
            </w:tcBorders>
            <w:noWrap w:val="0"/>
            <w:vAlign w:val="center"/>
          </w:tcPr>
          <w:p w14:paraId="1B05091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0B664D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EA783A">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6FD881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A0BBCFA">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26F72A9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570" w:type="dxa"/>
            <w:tcBorders>
              <w:top w:val="nil"/>
              <w:left w:val="nil"/>
              <w:bottom w:val="single" w:color="auto" w:sz="4" w:space="0"/>
              <w:right w:val="single" w:color="auto" w:sz="4" w:space="0"/>
            </w:tcBorders>
            <w:noWrap w:val="0"/>
            <w:vAlign w:val="center"/>
          </w:tcPr>
          <w:p w14:paraId="30FB8BB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009" w:type="dxa"/>
            <w:tcBorders>
              <w:top w:val="nil"/>
              <w:left w:val="nil"/>
              <w:bottom w:val="single" w:color="auto" w:sz="4" w:space="0"/>
              <w:right w:val="single" w:color="auto" w:sz="4" w:space="0"/>
            </w:tcBorders>
            <w:noWrap w:val="0"/>
            <w:vAlign w:val="center"/>
          </w:tcPr>
          <w:p w14:paraId="1DCE68B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033C506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53914CD">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6366F6C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59642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2A5FEBD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711C1EE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50≤Y＜1000</w:t>
            </w:r>
          </w:p>
        </w:tc>
        <w:tc>
          <w:tcPr>
            <w:tcW w:w="1009" w:type="dxa"/>
            <w:tcBorders>
              <w:top w:val="nil"/>
              <w:left w:val="nil"/>
              <w:bottom w:val="single" w:color="auto" w:sz="4" w:space="0"/>
              <w:right w:val="single" w:color="auto" w:sz="4" w:space="0"/>
            </w:tcBorders>
            <w:noWrap w:val="0"/>
            <w:vAlign w:val="center"/>
          </w:tcPr>
          <w:p w14:paraId="774481A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Y＜50</w:t>
            </w:r>
          </w:p>
        </w:tc>
      </w:tr>
      <w:tr w14:paraId="6C699F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264B07">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6EA60BE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D97104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5727FA05">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38CC8155">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100≤X＜1000</w:t>
            </w:r>
          </w:p>
        </w:tc>
        <w:tc>
          <w:tcPr>
            <w:tcW w:w="1009" w:type="dxa"/>
            <w:tcBorders>
              <w:top w:val="nil"/>
              <w:left w:val="nil"/>
              <w:bottom w:val="single" w:color="auto" w:sz="4" w:space="0"/>
              <w:right w:val="single" w:color="auto" w:sz="4" w:space="0"/>
            </w:tcBorders>
            <w:noWrap w:val="0"/>
            <w:vAlign w:val="center"/>
          </w:tcPr>
          <w:p w14:paraId="7DE6252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5F67C9A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53FF47">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281174A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B76BBA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2528C18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3BA53C3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2000≤Y＜5000</w:t>
            </w:r>
          </w:p>
        </w:tc>
        <w:tc>
          <w:tcPr>
            <w:tcW w:w="1009" w:type="dxa"/>
            <w:tcBorders>
              <w:top w:val="nil"/>
              <w:left w:val="nil"/>
              <w:bottom w:val="single" w:color="auto" w:sz="4" w:space="0"/>
              <w:right w:val="single" w:color="auto" w:sz="4" w:space="0"/>
            </w:tcBorders>
            <w:noWrap w:val="0"/>
            <w:vAlign w:val="center"/>
          </w:tcPr>
          <w:p w14:paraId="0CAC712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Y＜2000</w:t>
            </w:r>
          </w:p>
        </w:tc>
      </w:tr>
      <w:tr w14:paraId="462634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DACCD9B">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158748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F8A7E8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0714E67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300≤X＜1000</w:t>
            </w:r>
          </w:p>
        </w:tc>
        <w:tc>
          <w:tcPr>
            <w:tcW w:w="1570" w:type="dxa"/>
            <w:tcBorders>
              <w:top w:val="nil"/>
              <w:left w:val="nil"/>
              <w:bottom w:val="single" w:color="auto" w:sz="4" w:space="0"/>
              <w:right w:val="single" w:color="auto" w:sz="4" w:space="0"/>
            </w:tcBorders>
            <w:noWrap w:val="0"/>
            <w:vAlign w:val="center"/>
          </w:tcPr>
          <w:p w14:paraId="343DA6B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009" w:type="dxa"/>
            <w:tcBorders>
              <w:top w:val="nil"/>
              <w:left w:val="nil"/>
              <w:bottom w:val="single" w:color="auto" w:sz="4" w:space="0"/>
              <w:right w:val="single" w:color="auto" w:sz="4" w:space="0"/>
            </w:tcBorders>
            <w:noWrap w:val="0"/>
            <w:vAlign w:val="center"/>
          </w:tcPr>
          <w:p w14:paraId="21F687D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X＜100</w:t>
            </w:r>
          </w:p>
        </w:tc>
      </w:tr>
      <w:tr w14:paraId="5A97F50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4F1C920">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136ED4F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4948853">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32F8A136">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1000≤Y＜5000</w:t>
            </w:r>
          </w:p>
        </w:tc>
        <w:tc>
          <w:tcPr>
            <w:tcW w:w="1570" w:type="dxa"/>
            <w:tcBorders>
              <w:top w:val="nil"/>
              <w:left w:val="nil"/>
              <w:bottom w:val="single" w:color="auto" w:sz="4" w:space="0"/>
              <w:right w:val="single" w:color="auto" w:sz="4" w:space="0"/>
            </w:tcBorders>
            <w:noWrap w:val="0"/>
            <w:vAlign w:val="center"/>
          </w:tcPr>
          <w:p w14:paraId="60E5304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500≤Y＜1000</w:t>
            </w:r>
          </w:p>
        </w:tc>
        <w:tc>
          <w:tcPr>
            <w:tcW w:w="1009" w:type="dxa"/>
            <w:tcBorders>
              <w:top w:val="nil"/>
              <w:left w:val="nil"/>
              <w:bottom w:val="single" w:color="auto" w:sz="4" w:space="0"/>
              <w:right w:val="single" w:color="auto" w:sz="4" w:space="0"/>
            </w:tcBorders>
            <w:noWrap w:val="0"/>
            <w:vAlign w:val="center"/>
          </w:tcPr>
          <w:p w14:paraId="60E4BCE0">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Y＜500</w:t>
            </w:r>
          </w:p>
        </w:tc>
      </w:tr>
      <w:tr w14:paraId="073B2F6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BA5E9E8">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7134799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462704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592C8F3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570" w:type="dxa"/>
            <w:tcBorders>
              <w:top w:val="nil"/>
              <w:left w:val="nil"/>
              <w:bottom w:val="single" w:color="auto" w:sz="4" w:space="0"/>
              <w:right w:val="single" w:color="auto" w:sz="4" w:space="0"/>
            </w:tcBorders>
            <w:noWrap w:val="0"/>
            <w:vAlign w:val="center"/>
          </w:tcPr>
          <w:p w14:paraId="03D1607E">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009" w:type="dxa"/>
            <w:tcBorders>
              <w:top w:val="nil"/>
              <w:left w:val="nil"/>
              <w:bottom w:val="single" w:color="auto" w:sz="4" w:space="0"/>
              <w:right w:val="single" w:color="auto" w:sz="4" w:space="0"/>
            </w:tcBorders>
            <w:noWrap w:val="0"/>
            <w:vAlign w:val="center"/>
          </w:tcPr>
          <w:p w14:paraId="414EE04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r w14:paraId="7FEEB2C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6BFB50A">
            <w:pPr>
              <w:widowControl/>
              <w:jc w:val="left"/>
              <w:rPr>
                <w:rFonts w:hint="eastAsia" w:ascii="宋体" w:hAnsi="宋体" w:cs="宋体"/>
                <w:color w:val="auto"/>
                <w:sz w:val="21"/>
                <w:szCs w:val="21"/>
                <w:highlight w:val="none"/>
              </w:rPr>
            </w:pPr>
          </w:p>
        </w:tc>
        <w:tc>
          <w:tcPr>
            <w:tcW w:w="1701" w:type="dxa"/>
            <w:tcBorders>
              <w:top w:val="nil"/>
              <w:left w:val="nil"/>
              <w:bottom w:val="single" w:color="auto" w:sz="4" w:space="0"/>
              <w:right w:val="single" w:color="auto" w:sz="4" w:space="0"/>
            </w:tcBorders>
            <w:noWrap w:val="0"/>
            <w:vAlign w:val="center"/>
          </w:tcPr>
          <w:p w14:paraId="6FD7F951">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61D6907">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万元</w:t>
            </w:r>
          </w:p>
        </w:tc>
        <w:tc>
          <w:tcPr>
            <w:tcW w:w="1846" w:type="dxa"/>
            <w:tcBorders>
              <w:top w:val="nil"/>
              <w:left w:val="nil"/>
              <w:bottom w:val="single" w:color="auto" w:sz="4" w:space="0"/>
              <w:right w:val="single" w:color="auto" w:sz="4" w:space="0"/>
            </w:tcBorders>
            <w:noWrap w:val="0"/>
            <w:vAlign w:val="center"/>
          </w:tcPr>
          <w:p w14:paraId="42DEE91A">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13016C72">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100≤Z＜8000</w:t>
            </w:r>
          </w:p>
        </w:tc>
        <w:tc>
          <w:tcPr>
            <w:tcW w:w="1009" w:type="dxa"/>
            <w:tcBorders>
              <w:top w:val="nil"/>
              <w:left w:val="nil"/>
              <w:bottom w:val="single" w:color="auto" w:sz="4" w:space="0"/>
              <w:right w:val="single" w:color="auto" w:sz="4" w:space="0"/>
            </w:tcBorders>
            <w:noWrap w:val="0"/>
            <w:vAlign w:val="center"/>
          </w:tcPr>
          <w:p w14:paraId="5FC50B0B">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Y＜100</w:t>
            </w:r>
          </w:p>
        </w:tc>
      </w:tr>
      <w:tr w14:paraId="106765E9">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7E65994">
            <w:pPr>
              <w:widowControl/>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42B197C4">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69BF9DC">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w:t>
            </w:r>
          </w:p>
        </w:tc>
        <w:tc>
          <w:tcPr>
            <w:tcW w:w="1846" w:type="dxa"/>
            <w:tcBorders>
              <w:top w:val="nil"/>
              <w:left w:val="nil"/>
              <w:bottom w:val="single" w:color="auto" w:sz="4" w:space="0"/>
              <w:right w:val="single" w:color="auto" w:sz="4" w:space="0"/>
            </w:tcBorders>
            <w:noWrap w:val="0"/>
            <w:vAlign w:val="center"/>
          </w:tcPr>
          <w:p w14:paraId="79BFEAD9">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100≤X＜300</w:t>
            </w:r>
          </w:p>
        </w:tc>
        <w:tc>
          <w:tcPr>
            <w:tcW w:w="1570" w:type="dxa"/>
            <w:tcBorders>
              <w:top w:val="nil"/>
              <w:left w:val="nil"/>
              <w:bottom w:val="single" w:color="auto" w:sz="4" w:space="0"/>
              <w:right w:val="single" w:color="auto" w:sz="4" w:space="0"/>
            </w:tcBorders>
            <w:noWrap w:val="0"/>
            <w:vAlign w:val="center"/>
          </w:tcPr>
          <w:p w14:paraId="5CA1D6DD">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10≤X＜100</w:t>
            </w:r>
          </w:p>
        </w:tc>
        <w:tc>
          <w:tcPr>
            <w:tcW w:w="1009" w:type="dxa"/>
            <w:tcBorders>
              <w:top w:val="nil"/>
              <w:left w:val="nil"/>
              <w:bottom w:val="single" w:color="auto" w:sz="4" w:space="0"/>
              <w:right w:val="single" w:color="auto" w:sz="4" w:space="0"/>
            </w:tcBorders>
            <w:noWrap w:val="0"/>
            <w:vAlign w:val="center"/>
          </w:tcPr>
          <w:p w14:paraId="7AE953BF">
            <w:pPr>
              <w:widowControl/>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X＜10</w:t>
            </w:r>
          </w:p>
        </w:tc>
      </w:tr>
    </w:tbl>
    <w:p w14:paraId="5C5D434C">
      <w:pPr>
        <w:spacing w:line="360" w:lineRule="auto"/>
        <w:ind w:firstLine="525"/>
        <w:rPr>
          <w:rFonts w:hint="eastAsia" w:ascii="宋体" w:hAnsi="宋体" w:cs="宋体"/>
          <w:color w:val="auto"/>
          <w:sz w:val="21"/>
          <w:szCs w:val="21"/>
          <w:highlight w:val="none"/>
        </w:rPr>
      </w:pPr>
      <w:r>
        <w:rPr>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FBDA27C">
      <w:pPr>
        <w:tabs>
          <w:tab w:val="left" w:pos="180"/>
          <w:tab w:val="left" w:pos="1620"/>
        </w:tabs>
        <w:spacing w:line="380" w:lineRule="exact"/>
        <w:ind w:firstLine="883"/>
        <w:jc w:val="center"/>
        <w:outlineLvl w:val="1"/>
        <w:rPr>
          <w:rFonts w:hint="eastAsia" w:ascii="宋体" w:hAnsi="宋体" w:cs="宋体"/>
          <w:b/>
          <w:color w:val="auto"/>
          <w:sz w:val="44"/>
          <w:highlight w:val="none"/>
        </w:rPr>
      </w:pPr>
    </w:p>
    <w:p w14:paraId="431698C2">
      <w:pPr>
        <w:tabs>
          <w:tab w:val="left" w:pos="180"/>
          <w:tab w:val="left" w:pos="1620"/>
        </w:tabs>
        <w:spacing w:line="380" w:lineRule="exact"/>
        <w:ind w:firstLine="643"/>
        <w:jc w:val="center"/>
        <w:outlineLvl w:val="1"/>
        <w:rPr>
          <w:rFonts w:hint="eastAsia" w:ascii="宋体" w:hAnsi="宋体" w:cs="宋体"/>
          <w:b/>
          <w:bCs/>
          <w:color w:val="auto"/>
          <w:sz w:val="32"/>
          <w:szCs w:val="32"/>
          <w:highlight w:val="none"/>
        </w:rPr>
      </w:pPr>
      <w:bookmarkStart w:id="52" w:name="_Toc8775"/>
      <w:bookmarkStart w:id="53" w:name="_Toc31801"/>
      <w:bookmarkStart w:id="54" w:name="_Toc30665"/>
      <w:r>
        <w:rPr>
          <w:rFonts w:hint="eastAsia" w:ascii="宋体" w:hAnsi="宋体" w:cs="宋体"/>
          <w:b/>
          <w:bCs/>
          <w:color w:val="auto"/>
          <w:sz w:val="32"/>
          <w:szCs w:val="32"/>
          <w:highlight w:val="none"/>
        </w:rPr>
        <w:t>第四章 评审程序、评审方法和评审标准</w:t>
      </w:r>
      <w:bookmarkEnd w:id="52"/>
      <w:bookmarkEnd w:id="53"/>
      <w:bookmarkEnd w:id="54"/>
    </w:p>
    <w:p w14:paraId="2D2C8347">
      <w:pPr>
        <w:spacing w:line="380" w:lineRule="exact"/>
        <w:jc w:val="center"/>
        <w:rPr>
          <w:rFonts w:hint="eastAsia" w:ascii="宋体" w:hAnsi="宋体" w:cs="宋体"/>
          <w:b/>
          <w:color w:val="auto"/>
          <w:sz w:val="32"/>
          <w:szCs w:val="32"/>
          <w:highlight w:val="none"/>
        </w:rPr>
      </w:pPr>
    </w:p>
    <w:p w14:paraId="52CAB8CD">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4A79B71E">
      <w:pPr>
        <w:spacing w:line="50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436621C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1.1响应文件开启后，磋商小组依法对供应商的资格证明文件进行审查。</w:t>
      </w:r>
    </w:p>
    <w:p w14:paraId="589751CE">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注：采购人或者采购代理机构在资格审查结束前，对供应商进行信用查询。</w:t>
      </w:r>
    </w:p>
    <w:p w14:paraId="7DA81CB5">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（1）查询渠道：“信用中国”网站(www.creditchina.gov.cn) 、中国政府采购网(www.ccgp.gov.cn)。</w:t>
      </w:r>
    </w:p>
    <w:p w14:paraId="31FEBAA7">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（2）信用查询截止时点：截标当天或资格审查结束前。</w:t>
      </w:r>
    </w:p>
    <w:p w14:paraId="0E7979B7">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查询记录和证据留存方式：在查询网站中直接打印查询记录，打印材料作为评审资料保存。</w:t>
      </w:r>
    </w:p>
    <w:p w14:paraId="644DBFA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14:paraId="2731292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1.2资格审查标准为本磋商文件中载明对供应商资格要求的条件。资格审查采用合格制，凡符合磋商文件规定的供应商资格要求的响应文件均通过资格审查。</w:t>
      </w:r>
    </w:p>
    <w:p w14:paraId="3EF41A6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1.3供应商有下列情形之一的，资格审查不通过，其响应文件按无效响应处理：</w:t>
      </w:r>
    </w:p>
    <w:p w14:paraId="3F532E9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526B8ED0">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（2）响应文件未提供任一项“供应商须知前附表”资格证明文件规定的“必须提供”的文件资料的；</w:t>
      </w:r>
    </w:p>
    <w:p w14:paraId="237A8AD9">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（3）响应文件提供的资格证明文件出现任一项不符合“供应商须知前附表”资格证明文件规定的“必须提供”的文件资料要求或者无效的。</w:t>
      </w:r>
    </w:p>
    <w:p w14:paraId="36536DF3">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1.4通过资格审查的合格供应商不足3家的，不得进入符合性审查环节，采购人或者采购代理机构应当重新开展采购活动。</w:t>
      </w:r>
    </w:p>
    <w:p w14:paraId="086468AC">
      <w:pPr>
        <w:spacing w:line="50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3771BD08">
      <w:pPr>
        <w:spacing w:line="500" w:lineRule="exact"/>
        <w:ind w:firstLine="480"/>
        <w:rPr>
          <w:rFonts w:hint="eastAsia" w:ascii="宋体" w:hAnsi="宋体" w:cs="宋体"/>
          <w:color w:val="auto"/>
          <w:sz w:val="24"/>
          <w:highlight w:val="none"/>
        </w:rPr>
      </w:pPr>
      <w:bookmarkStart w:id="55" w:name="_Hlk42528882"/>
      <w:r>
        <w:rPr>
          <w:rFonts w:hint="eastAsia" w:ascii="宋体" w:hAnsi="宋体" w:cs="宋体"/>
          <w:color w:val="auto"/>
          <w:sz w:val="24"/>
          <w:highlight w:val="none"/>
        </w:rPr>
        <w:t>2.1由磋商小组对通过资格审查的合格供应商的响应文件的竞标报价、商务、技术等实质性要求进行符合性审查，以确定其是否满足磋商文件的实质性要求。</w:t>
      </w:r>
      <w:bookmarkEnd w:id="55"/>
    </w:p>
    <w:p w14:paraId="425B71E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1053D3">
      <w:pPr>
        <w:spacing w:line="500" w:lineRule="exact"/>
        <w:ind w:firstLine="480"/>
        <w:rPr>
          <w:rFonts w:hint="eastAsia" w:ascii="宋体" w:hAnsi="宋体" w:cs="宋体"/>
          <w:color w:val="auto"/>
          <w:spacing w:val="-6"/>
          <w:sz w:val="24"/>
          <w:highlight w:val="none"/>
        </w:rPr>
      </w:pPr>
      <w:r>
        <w:rPr>
          <w:rFonts w:hint="eastAsia" w:ascii="宋体" w:hAnsi="宋体" w:cs="宋体"/>
          <w:color w:val="auto"/>
          <w:sz w:val="24"/>
          <w:highlight w:val="none"/>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 w:val="24"/>
          <w:highlight w:val="none"/>
        </w:rPr>
        <w:t>若委托代理人不是响应文件中授权的委托代理人时，必须同时出示有效的法定代表人授权委托书原件</w:t>
      </w:r>
      <w:r>
        <w:rPr>
          <w:rFonts w:hint="eastAsia" w:ascii="宋体" w:hAnsi="宋体" w:cs="宋体"/>
          <w:color w:val="auto"/>
          <w:spacing w:val="-6"/>
          <w:sz w:val="24"/>
          <w:highlight w:val="none"/>
        </w:rPr>
        <w:t>。供应商为自然人的，必须由本人签字并附身份证明。</w:t>
      </w:r>
    </w:p>
    <w:p w14:paraId="04150074">
      <w:pPr>
        <w:spacing w:line="500" w:lineRule="exact"/>
        <w:ind w:firstLine="456"/>
        <w:rPr>
          <w:rFonts w:hint="eastAsia" w:ascii="宋体" w:hAnsi="宋体" w:cs="宋体"/>
          <w:color w:val="auto"/>
          <w:sz w:val="24"/>
          <w:highlight w:val="none"/>
        </w:rPr>
      </w:pPr>
      <w:r>
        <w:rPr>
          <w:rFonts w:hint="eastAsia" w:ascii="宋体" w:hAnsi="宋体" w:cs="宋体"/>
          <w:color w:val="auto"/>
          <w:spacing w:val="-6"/>
          <w:sz w:val="24"/>
          <w:highlight w:val="none"/>
        </w:rPr>
        <w:t>2.4</w:t>
      </w:r>
      <w:r>
        <w:rPr>
          <w:rFonts w:hint="eastAsia" w:ascii="宋体" w:hAnsi="宋体" w:cs="宋体"/>
          <w:color w:val="auto"/>
          <w:sz w:val="24"/>
          <w:highlight w:val="none"/>
        </w:rPr>
        <w:t xml:space="preserve">首次响应文件报价出现前后不一致的，按照下列规定修正： </w:t>
      </w:r>
    </w:p>
    <w:p w14:paraId="6B30D8F4">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1352F44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6C720A4B">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7A70C8F7">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704D7437">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3B86E13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2.5商务技术报价评审</w:t>
      </w:r>
    </w:p>
    <w:p w14:paraId="3028A3D6">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在评审时，如发现下列情形之一的，将被视为响应文件无效处理：</w:t>
      </w:r>
    </w:p>
    <w:p w14:paraId="243FF449">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（1）商务技术评审</w:t>
      </w:r>
    </w:p>
    <w:p w14:paraId="28D72BCA">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1）提供响应文件正、副本数量不足；</w:t>
      </w:r>
    </w:p>
    <w:p w14:paraId="22E4AE38">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2）响应文件未按磋商文件要求签署、盖章；</w:t>
      </w:r>
    </w:p>
    <w:p w14:paraId="2AB45F9A">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3）委托代理人未能出具有效身份证明或者出具的身份证明与授权委托书中的信息不符； </w:t>
      </w:r>
    </w:p>
    <w:p w14:paraId="574EC9AE">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4）提交的磋商保证金无效的或者未按照磋商文件的规定提交磋商保证金；</w:t>
      </w:r>
    </w:p>
    <w:p w14:paraId="73267ADD">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5）响应文件未提供任一项“供应商须知前附表”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B687CE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6）商务条款中标“▲”的条款发生负偏离的或者允许负偏离的条款数超过“供应商须知前附表”规定项数的或者标明实质性的要求发生负偏离；</w:t>
      </w:r>
    </w:p>
    <w:p w14:paraId="583B0C2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7）未对竞标有效期作出响应或者响应文件承诺的竞标有效期不满足磋商文件要求；</w:t>
      </w:r>
    </w:p>
    <w:p w14:paraId="4EE8F74B">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8）响应文件的实质性内容未使用中文表述、使用计量单位不符合磋商文件要求；</w:t>
      </w:r>
    </w:p>
    <w:p w14:paraId="189E61E8">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9）响应文件中的文件资料因填写不齐全或者内容虚假或者出现其他情形而导致被磋商小组认定无效；</w:t>
      </w:r>
    </w:p>
    <w:p w14:paraId="4E126330">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10）响应文件含有采购人不能接受的附加条件；</w:t>
      </w:r>
    </w:p>
    <w:p w14:paraId="35FE5475">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11）属于“供应商须知正文”第7.5条情形；</w:t>
      </w:r>
    </w:p>
    <w:p w14:paraId="20AB2B21">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12）明显不满足磋商文件要求的技术规格、安全、质量标准，或者与磋商文件中标“▲”的技术需求或者标明实质性的要求发生负偏离；</w:t>
      </w:r>
    </w:p>
    <w:p w14:paraId="6A9B2E11">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13）技术需求允许负偏离的条款数超过“供应商须知前附表”规定项数；</w:t>
      </w:r>
    </w:p>
    <w:p w14:paraId="4F8626CB">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14）虚假竞标，或者出现其他情形而导致被磋商小组认定无效；</w:t>
      </w:r>
    </w:p>
    <w:p w14:paraId="68589B1D">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15）竞标技术方案不明确，磋商文件未允许但响应文件中存在一个或者一个以上备选（替代）竞标方案；</w:t>
      </w:r>
    </w:p>
    <w:p w14:paraId="2CC6C767">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16）未响应磋商文件实质性要求；</w:t>
      </w:r>
    </w:p>
    <w:p w14:paraId="3E07F551">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17）法律、法规和磋商文件规定的其他无效情形。</w:t>
      </w:r>
    </w:p>
    <w:p w14:paraId="6843DF15">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（2）报价评审</w:t>
      </w:r>
    </w:p>
    <w:p w14:paraId="5511F5C0">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 响应文件未提供“供应商须知前附表” 报价商务技术文件中规定的“竞标报价表”；</w:t>
      </w:r>
    </w:p>
    <w:p w14:paraId="2396040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78688506">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440F7A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4）竞标报价（包含首次报价、最后报价）超过所竞标分标规定的采购预算金额或者最高限价的（如本项目公布了最高限价）；</w:t>
      </w:r>
      <w:bookmarkStart w:id="56" w:name="_Hlk42596405"/>
      <w:r>
        <w:rPr>
          <w:rFonts w:hint="eastAsia" w:ascii="宋体" w:hAnsi="宋体" w:cs="宋体"/>
          <w:color w:val="auto"/>
          <w:sz w:val="24"/>
          <w:highlight w:val="none"/>
        </w:rPr>
        <w:t>竞标报价（包含首次报价、最后报价）</w:t>
      </w:r>
      <w:bookmarkEnd w:id="56"/>
      <w:bookmarkStart w:id="57" w:name="_Hlk42596276"/>
      <w:r>
        <w:rPr>
          <w:rFonts w:hint="eastAsia" w:ascii="宋体" w:hAnsi="宋体" w:cs="宋体"/>
          <w:color w:val="auto"/>
          <w:sz w:val="24"/>
          <w:highlight w:val="none"/>
        </w:rPr>
        <w:t>超过磋商文件分项采购预算金额或者最高限价的</w:t>
      </w:r>
      <w:bookmarkEnd w:id="57"/>
      <w:r>
        <w:rPr>
          <w:rFonts w:hint="eastAsia" w:ascii="宋体" w:hAnsi="宋体" w:cs="宋体"/>
          <w:color w:val="auto"/>
          <w:sz w:val="24"/>
          <w:highlight w:val="none"/>
        </w:rPr>
        <w:t>（如本项目公布了最高限价）；</w:t>
      </w:r>
    </w:p>
    <w:p w14:paraId="67F1625D">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4AA096F7">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2.6磋商小组对响应文件进行评审，未实质性响应磋商文件的响应文件按无效处理，由磋商小组告知有关供应商。磋商小组从符合磋商文件规定的相应资格条件的供应商名单中确定不少于3家的供应商参加磋商。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7331596A">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2.7通过符合性审查的合格供应商不足3家的，不得进入磋商环节，采购人或者采购代理机构应当重新开展采购活动。</w:t>
      </w:r>
    </w:p>
    <w:p w14:paraId="5F8D499F">
      <w:pPr>
        <w:spacing w:line="50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3.磋商</w:t>
      </w:r>
    </w:p>
    <w:p w14:paraId="636F8BF4">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3.磋商的程序</w:t>
      </w:r>
    </w:p>
    <w:p w14:paraId="0FE01CCE">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54FB4A0">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362342E">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3.3对磋商文件作出的实质性变动是磋商文件的有效组成部分，由磋商小组及时以书面形式同时通知所有参加磋商的供应商。</w:t>
      </w:r>
    </w:p>
    <w:p w14:paraId="4457924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3.4供应商必须按照磋商文件的变动情况和磋商小组的要求重新提交响应文件，并由其法定代表人或者授权代表签字或者加盖公章。由委托代理人签字的，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 w:val="24"/>
          <w:highlight w:val="none"/>
        </w:rPr>
        <w:t>若委托代理人不是响应文件中授权的委托代理人时，必须同时出示有效的法定代表人授权委托书原件</w:t>
      </w:r>
      <w:r>
        <w:rPr>
          <w:rFonts w:hint="eastAsia" w:ascii="宋体" w:hAnsi="宋体" w:cs="宋体"/>
          <w:color w:val="auto"/>
          <w:sz w:val="24"/>
          <w:highlight w:val="none"/>
        </w:rPr>
        <w:t>。供应商为自然人的，必须由本人签字并附身份证明。参加磋商的供应商未在规定时间内重新提交响应文件的，视同</w:t>
      </w:r>
      <w:bookmarkStart w:id="58" w:name="_Hlk55814495"/>
      <w:r>
        <w:rPr>
          <w:rFonts w:hint="eastAsia" w:ascii="宋体" w:hAnsi="宋体" w:cs="宋体"/>
          <w:color w:val="auto"/>
          <w:sz w:val="24"/>
          <w:highlight w:val="none"/>
        </w:rPr>
        <w:t>退出磋商</w:t>
      </w:r>
      <w:bookmarkEnd w:id="58"/>
      <w:r>
        <w:rPr>
          <w:rFonts w:hint="eastAsia" w:ascii="宋体" w:hAnsi="宋体" w:cs="宋体"/>
          <w:color w:val="auto"/>
          <w:sz w:val="24"/>
          <w:highlight w:val="none"/>
        </w:rPr>
        <w:t>，其响应文件作无效处理。</w:t>
      </w:r>
    </w:p>
    <w:p w14:paraId="07B4F0C1">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3.5磋商中，</w:t>
      </w:r>
      <w:r>
        <w:rPr>
          <w:rFonts w:hint="eastAsia" w:ascii="宋体" w:hAnsi="宋体" w:cs="宋体"/>
          <w:color w:val="auto"/>
          <w:spacing w:val="-6"/>
          <w:sz w:val="24"/>
          <w:highlight w:val="none"/>
        </w:rPr>
        <w:t>磋商的任何一方不得透露与磋商有关的其他供应商的技术资料、价格和其他信息。</w:t>
      </w:r>
    </w:p>
    <w:p w14:paraId="2DC65CCD">
      <w:pPr>
        <w:widowControl/>
        <w:tabs>
          <w:tab w:val="left" w:pos="54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3.6采购代理机构对磋商过程和重要磋商内容进行记录，磋商双方在记录上签字确认。</w:t>
      </w:r>
    </w:p>
    <w:p w14:paraId="33575663">
      <w:pPr>
        <w:widowControl/>
        <w:tabs>
          <w:tab w:val="left" w:pos="54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3.7磋商过程中重新提交的响应文件，供应商可以在开启前补充、修改。</w:t>
      </w:r>
    </w:p>
    <w:p w14:paraId="1681FC4F">
      <w:pPr>
        <w:widowControl/>
        <w:tabs>
          <w:tab w:val="left" w:pos="540"/>
        </w:tabs>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C36F0AE">
      <w:pPr>
        <w:tabs>
          <w:tab w:val="left" w:pos="2835"/>
        </w:tabs>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3.9对磋商过程提交的响应文件进行有效性、完整性和响应程度审查，通过审查的合格供应商不足3家的，除本章第3.8条的情形外，采购人或者采购代理机构应当重新开展采购活动。</w:t>
      </w:r>
    </w:p>
    <w:p w14:paraId="0CEA258A">
      <w:pPr>
        <w:spacing w:line="500" w:lineRule="exact"/>
        <w:ind w:firstLine="482"/>
        <w:rPr>
          <w:rFonts w:hint="eastAsia" w:ascii="宋体" w:hAnsi="宋体" w:cs="宋体"/>
          <w:color w:val="auto"/>
          <w:sz w:val="24"/>
          <w:highlight w:val="none"/>
        </w:rPr>
      </w:pPr>
      <w:r>
        <w:rPr>
          <w:rFonts w:hint="eastAsia" w:ascii="宋体" w:hAnsi="宋体" w:cs="宋体"/>
          <w:b/>
          <w:bCs/>
          <w:color w:val="auto"/>
          <w:sz w:val="24"/>
          <w:highlight w:val="none"/>
        </w:rPr>
        <w:t>4. 最后报价</w:t>
      </w:r>
    </w:p>
    <w:p w14:paraId="26095046">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4.1磋商文件能够详细列明采购标的的技术、服务要求的，磋商结束后，由磋商小组要求所有继续参加磋商的供应商在规定时间内密封提交最后报价，提交最后报价的供应商不得少于3家，除本章第4.3条外，否则必须重新采购。</w:t>
      </w:r>
    </w:p>
    <w:p w14:paraId="0027862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13A31E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64A7C9A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8B7D05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4.5供应商未在规定时间内提交最后报价的，视为退出磋商，其响应文件作无效处理。</w:t>
      </w:r>
    </w:p>
    <w:p w14:paraId="2C8606ED">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4.6磋商小组收齐某一分标最后报价后统一开启，磋商小组对最后报价进行有效性、完整性和响应程度的审查。</w:t>
      </w:r>
    </w:p>
    <w:p w14:paraId="7F2C993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4.7响应文件最后报价出现前后不一致的，按照本章第2.4条的规定修正。 </w:t>
      </w:r>
    </w:p>
    <w:p w14:paraId="37163968">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4.8修正后的报价出现下列情形的，按无效响应处理：</w:t>
      </w:r>
    </w:p>
    <w:p w14:paraId="112C07D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（1）供应商不确认的；</w:t>
      </w:r>
    </w:p>
    <w:p w14:paraId="7D7474C0">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（2）经供应商确认修正后的竞标报价（包含首次报价、最后报价）超过所竞标分标规定的采购预算金额或者最高限价的（如本项目公布了最高限价）；</w:t>
      </w:r>
    </w:p>
    <w:p w14:paraId="7C842E5F">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（3）经供应商确认修正后的竞标报价（包含首次报价、最后报价）超过分项采购预算金额或者最高限价的（如本项目公布了最高限价）。</w:t>
      </w:r>
    </w:p>
    <w:p w14:paraId="0E991105">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4.9经供应商确认修正后的最后报价作为评审及签订合同的依据。</w:t>
      </w:r>
    </w:p>
    <w:p w14:paraId="35302E4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4.10最后报价结束后，磋商小组不得再与供应商进行任何形式的商谈。</w:t>
      </w:r>
    </w:p>
    <w:p w14:paraId="4818FE40">
      <w:pPr>
        <w:spacing w:line="50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4CEBEB09">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5.1评审方法：综合评分法。</w:t>
      </w:r>
    </w:p>
    <w:p w14:paraId="1748F325">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5.2经磋商确定最终采购需求和提交最后报价的供应商后，由磋商小组采用综合评分法对提交最后报价的供应商的响应文件和最后报价进行综合评分。</w:t>
      </w:r>
    </w:p>
    <w:p w14:paraId="4639913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5.3评审时，磋商小组各成员应当独立对每个有效响应的文件进行评价、打分，然后汇总每个供应商每项评分因素的得分。</w:t>
      </w:r>
    </w:p>
    <w:p w14:paraId="3661D46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3E259723">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18026B55">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5.4评审价为供应商的最后报价进行政策性扣除后的价格，评审价只是作为评审时使用。最终成交供应商的成交金额等于最后报价（如有修正，以确认修正后的最后报价为准）。</w:t>
      </w:r>
    </w:p>
    <w:p w14:paraId="17CEF9C6">
      <w:pPr>
        <w:spacing w:line="500" w:lineRule="exact"/>
        <w:ind w:firstLine="480"/>
        <w:rPr>
          <w:rFonts w:hint="eastAsia" w:ascii="宋体" w:hAnsi="宋体" w:cs="宋体"/>
          <w:color w:val="auto"/>
          <w:sz w:val="21"/>
          <w:szCs w:val="21"/>
          <w:highlight w:val="none"/>
        </w:rPr>
      </w:pPr>
      <w:r>
        <w:rPr>
          <w:rFonts w:hint="eastAsia" w:ascii="宋体" w:hAnsi="宋体" w:cs="宋体"/>
          <w:color w:val="auto"/>
          <w:sz w:val="24"/>
          <w:highlight w:val="none"/>
        </w:rPr>
        <w:t>5.5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14A512">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5C5C318D">
      <w:pPr>
        <w:spacing w:line="380" w:lineRule="exact"/>
        <w:ind w:firstLine="480"/>
        <w:rPr>
          <w:rFonts w:hint="eastAsia" w:ascii="宋体" w:hAnsi="宋体" w:cs="宋体"/>
          <w:bCs/>
          <w:color w:val="auto"/>
          <w:sz w:val="24"/>
          <w:highlight w:val="none"/>
        </w:rPr>
      </w:pPr>
      <w:r>
        <w:rPr>
          <w:rFonts w:hint="eastAsia" w:ascii="宋体" w:hAnsi="宋体" w:cs="宋体"/>
          <w:bCs/>
          <w:color w:val="auto"/>
          <w:sz w:val="24"/>
          <w:highlight w:val="none"/>
        </w:rPr>
        <w:t>6.评审依据：磋商小组将以磋商响应文件为评审依据，对供应商的报价、技术、商务等方面内容按百分制打分。（计分方法按四舍五入取至百分位）</w:t>
      </w:r>
    </w:p>
    <w:p w14:paraId="599B1416">
      <w:pPr>
        <w:spacing w:line="380" w:lineRule="exact"/>
        <w:ind w:firstLine="480"/>
        <w:rPr>
          <w:rFonts w:hint="eastAsia" w:ascii="宋体" w:hAnsi="宋体" w:cs="宋体"/>
          <w:bCs/>
          <w:color w:val="auto"/>
          <w:sz w:val="24"/>
          <w:highlight w:val="none"/>
        </w:rPr>
      </w:pP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63"/>
        <w:gridCol w:w="6499"/>
        <w:gridCol w:w="705"/>
      </w:tblGrid>
      <w:tr w14:paraId="1B2F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22" w:type="pct"/>
            <w:noWrap w:val="0"/>
            <w:vAlign w:val="center"/>
          </w:tcPr>
          <w:p w14:paraId="440A519E">
            <w:pPr>
              <w:widowControl/>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650" w:type="pct"/>
            <w:noWrap w:val="0"/>
            <w:vAlign w:val="center"/>
          </w:tcPr>
          <w:p w14:paraId="39574920">
            <w:pPr>
              <w:widowControl/>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评审因素</w:t>
            </w:r>
          </w:p>
        </w:tc>
        <w:tc>
          <w:tcPr>
            <w:tcW w:w="3633" w:type="pct"/>
            <w:noWrap w:val="0"/>
            <w:vAlign w:val="center"/>
          </w:tcPr>
          <w:p w14:paraId="0F3DC422">
            <w:pPr>
              <w:widowControl/>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评审因素具体内容</w:t>
            </w:r>
          </w:p>
        </w:tc>
        <w:tc>
          <w:tcPr>
            <w:tcW w:w="394" w:type="pct"/>
            <w:noWrap w:val="0"/>
            <w:vAlign w:val="center"/>
          </w:tcPr>
          <w:p w14:paraId="6659D18B">
            <w:pPr>
              <w:widowControl/>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分值</w:t>
            </w:r>
          </w:p>
        </w:tc>
      </w:tr>
      <w:tr w14:paraId="1B28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22" w:type="pct"/>
            <w:noWrap w:val="0"/>
            <w:vAlign w:val="center"/>
          </w:tcPr>
          <w:p w14:paraId="0F0E4E21">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650" w:type="pct"/>
            <w:noWrap w:val="0"/>
            <w:vAlign w:val="center"/>
          </w:tcPr>
          <w:p w14:paraId="4C07F0C3">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价格分</w:t>
            </w:r>
          </w:p>
        </w:tc>
        <w:tc>
          <w:tcPr>
            <w:tcW w:w="3633" w:type="pct"/>
            <w:noWrap w:val="0"/>
            <w:vAlign w:val="top"/>
          </w:tcPr>
          <w:p w14:paraId="6EE0F3FE">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（1）以进入比较与评价环节的最低的评审价为基准价，基准价得分为</w:t>
            </w:r>
            <w:r>
              <w:rPr>
                <w:rFonts w:hint="eastAsia" w:hAnsi="宋体" w:cs="宋体"/>
                <w:bCs/>
                <w:color w:val="auto"/>
                <w:sz w:val="24"/>
                <w:szCs w:val="24"/>
                <w:highlight w:val="none"/>
                <w:lang w:val="en-US" w:eastAsia="zh-CN"/>
              </w:rPr>
              <w:t>2</w:t>
            </w:r>
            <w:r>
              <w:rPr>
                <w:rFonts w:hint="eastAsia" w:hAnsi="宋体" w:cs="宋体"/>
                <w:bCs/>
                <w:color w:val="auto"/>
                <w:sz w:val="24"/>
                <w:szCs w:val="24"/>
                <w:highlight w:val="none"/>
              </w:rPr>
              <w:t>0分。</w:t>
            </w:r>
          </w:p>
          <w:p w14:paraId="20D9386F">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w:t>
            </w:r>
            <w:r>
              <w:rPr>
                <w:rFonts w:hint="eastAsia" w:hAnsi="宋体" w:cs="宋体"/>
                <w:bCs/>
                <w:color w:val="auto"/>
                <w:sz w:val="24"/>
                <w:szCs w:val="24"/>
                <w:highlight w:val="none"/>
                <w:lang w:val="en-US" w:eastAsia="zh-CN"/>
              </w:rPr>
              <w:t>2</w:t>
            </w:r>
            <w:r>
              <w:rPr>
                <w:rFonts w:hint="eastAsia" w:hAnsi="宋体" w:cs="宋体"/>
                <w:bCs/>
                <w:color w:val="auto"/>
                <w:sz w:val="24"/>
                <w:szCs w:val="24"/>
                <w:highlight w:val="none"/>
              </w:rPr>
              <w:t>）价格分计算公式：</w:t>
            </w:r>
          </w:p>
          <w:p w14:paraId="2206E6C2">
            <w:pPr>
              <w:pStyle w:val="23"/>
              <w:spacing w:line="360" w:lineRule="exact"/>
              <w:rPr>
                <w:rFonts w:hint="eastAsia"/>
              </w:rPr>
            </w:pPr>
            <w:r>
              <w:rPr>
                <w:rFonts w:hint="eastAsia" w:hAnsi="宋体" w:cs="宋体"/>
                <w:bCs/>
                <w:color w:val="auto"/>
                <w:sz w:val="24"/>
                <w:szCs w:val="24"/>
                <w:highlight w:val="none"/>
              </w:rPr>
              <w:t>报价得分=（基准价/最后报价）×</w:t>
            </w:r>
            <w:r>
              <w:rPr>
                <w:rFonts w:hint="eastAsia" w:hAnsi="宋体" w:cs="宋体"/>
                <w:bCs/>
                <w:color w:val="auto"/>
                <w:sz w:val="24"/>
                <w:szCs w:val="24"/>
                <w:highlight w:val="none"/>
                <w:lang w:val="en-US" w:eastAsia="zh-CN"/>
              </w:rPr>
              <w:t>2</w:t>
            </w:r>
            <w:r>
              <w:rPr>
                <w:rFonts w:hint="eastAsia" w:hAnsi="宋体" w:cs="宋体"/>
                <w:bCs/>
                <w:color w:val="auto"/>
                <w:sz w:val="24"/>
                <w:szCs w:val="24"/>
                <w:highlight w:val="none"/>
              </w:rPr>
              <w:t>0分</w:t>
            </w:r>
          </w:p>
        </w:tc>
        <w:tc>
          <w:tcPr>
            <w:tcW w:w="394" w:type="pct"/>
            <w:noWrap w:val="0"/>
            <w:vAlign w:val="center"/>
          </w:tcPr>
          <w:p w14:paraId="7778D355">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0分</w:t>
            </w:r>
          </w:p>
        </w:tc>
      </w:tr>
      <w:tr w14:paraId="2D843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22" w:type="pct"/>
            <w:noWrap w:val="0"/>
            <w:vAlign w:val="center"/>
          </w:tcPr>
          <w:p w14:paraId="261C640B">
            <w:pPr>
              <w:widowControl/>
              <w:spacing w:line="360" w:lineRule="exact"/>
              <w:jc w:val="center"/>
              <w:rPr>
                <w:rFonts w:hint="eastAsia" w:ascii="宋体" w:hAnsi="宋体" w:cs="宋体"/>
                <w:color w:val="auto"/>
                <w:sz w:val="24"/>
                <w:highlight w:val="none"/>
              </w:rPr>
            </w:pPr>
            <w:r>
              <w:rPr>
                <w:rFonts w:hint="eastAsia" w:ascii="宋体" w:hAnsi="宋体" w:cs="宋体"/>
                <w:bCs/>
                <w:color w:val="auto"/>
                <w:sz w:val="24"/>
                <w:highlight w:val="none"/>
              </w:rPr>
              <w:t>2</w:t>
            </w:r>
          </w:p>
        </w:tc>
        <w:tc>
          <w:tcPr>
            <w:tcW w:w="650" w:type="pct"/>
            <w:noWrap w:val="0"/>
            <w:vAlign w:val="center"/>
          </w:tcPr>
          <w:p w14:paraId="20DF3CD6">
            <w:pPr>
              <w:widowControl/>
              <w:spacing w:line="360" w:lineRule="exact"/>
              <w:jc w:val="center"/>
              <w:rPr>
                <w:rFonts w:hint="eastAsia" w:ascii="宋体" w:hAnsi="宋体" w:cs="宋体"/>
                <w:color w:val="auto"/>
                <w:sz w:val="24"/>
                <w:highlight w:val="none"/>
              </w:rPr>
            </w:pPr>
            <w:r>
              <w:rPr>
                <w:rFonts w:hint="eastAsia" w:ascii="宋体" w:hAnsi="宋体" w:cs="宋体"/>
                <w:bCs/>
                <w:color w:val="auto"/>
                <w:sz w:val="24"/>
                <w:highlight w:val="none"/>
              </w:rPr>
              <w:t>技术分</w:t>
            </w:r>
          </w:p>
        </w:tc>
        <w:tc>
          <w:tcPr>
            <w:tcW w:w="4027" w:type="pct"/>
            <w:gridSpan w:val="2"/>
            <w:noWrap w:val="0"/>
            <w:vAlign w:val="top"/>
          </w:tcPr>
          <w:p w14:paraId="623E2BDB">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评审因素</w:t>
            </w:r>
          </w:p>
        </w:tc>
      </w:tr>
      <w:tr w14:paraId="7223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22" w:type="pct"/>
            <w:noWrap w:val="0"/>
            <w:vAlign w:val="center"/>
          </w:tcPr>
          <w:p w14:paraId="4180377A">
            <w:pPr>
              <w:spacing w:line="360" w:lineRule="exact"/>
              <w:ind w:left="-105" w:right="-105"/>
              <w:jc w:val="center"/>
              <w:rPr>
                <w:rFonts w:hint="eastAsia" w:ascii="宋体" w:hAnsi="宋体" w:cs="宋体"/>
                <w:bCs/>
                <w:color w:val="auto"/>
                <w:sz w:val="24"/>
                <w:highlight w:val="none"/>
              </w:rPr>
            </w:pPr>
            <w:r>
              <w:rPr>
                <w:rFonts w:hint="eastAsia" w:ascii="宋体" w:hAnsi="宋体" w:cs="宋体"/>
                <w:bCs/>
                <w:color w:val="auto"/>
                <w:sz w:val="24"/>
                <w:highlight w:val="none"/>
              </w:rPr>
              <w:t>2.1</w:t>
            </w:r>
          </w:p>
        </w:tc>
        <w:tc>
          <w:tcPr>
            <w:tcW w:w="650" w:type="pct"/>
            <w:noWrap w:val="0"/>
            <w:vAlign w:val="center"/>
          </w:tcPr>
          <w:p w14:paraId="31797177">
            <w:pPr>
              <w:spacing w:line="3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服务方案分</w:t>
            </w:r>
          </w:p>
        </w:tc>
        <w:tc>
          <w:tcPr>
            <w:tcW w:w="3633" w:type="pct"/>
            <w:noWrap w:val="0"/>
            <w:vAlign w:val="center"/>
          </w:tcPr>
          <w:p w14:paraId="3581185D">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对</w:t>
            </w:r>
            <w:r>
              <w:rPr>
                <w:rFonts w:hint="eastAsia" w:hAnsi="宋体" w:cs="宋体"/>
                <w:bCs/>
                <w:color w:val="auto"/>
                <w:sz w:val="24"/>
                <w:szCs w:val="24"/>
                <w:highlight w:val="none"/>
                <w:lang w:val="en-US" w:eastAsia="zh-CN"/>
              </w:rPr>
              <w:t>竞标</w:t>
            </w:r>
            <w:r>
              <w:rPr>
                <w:rFonts w:hint="eastAsia" w:hAnsi="宋体" w:cs="宋体"/>
                <w:bCs/>
                <w:color w:val="auto"/>
                <w:sz w:val="24"/>
                <w:szCs w:val="24"/>
                <w:highlight w:val="none"/>
              </w:rPr>
              <w:t>人提供的各项实施方案（包括但不限于服务内容、服务流程、管理服务架构、人员招聘及用工制度、考勤考核制度、劳动保险制度、激励机制、离职管理、档案管理、劳动争议处理等制度）进行评审：</w:t>
            </w:r>
          </w:p>
          <w:p w14:paraId="60373D0A">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五档（</w:t>
            </w:r>
            <w:r>
              <w:rPr>
                <w:rFonts w:hint="eastAsia" w:hAnsi="宋体" w:cs="宋体"/>
                <w:bCs/>
                <w:color w:val="auto"/>
                <w:sz w:val="24"/>
                <w:szCs w:val="24"/>
                <w:highlight w:val="none"/>
                <w:lang w:val="en-US" w:eastAsia="zh-CN"/>
              </w:rPr>
              <w:t>3</w:t>
            </w:r>
            <w:r>
              <w:rPr>
                <w:rFonts w:hint="eastAsia" w:hAnsi="宋体" w:cs="宋体"/>
                <w:bCs/>
                <w:color w:val="auto"/>
                <w:sz w:val="24"/>
                <w:szCs w:val="24"/>
                <w:highlight w:val="none"/>
              </w:rPr>
              <w:t>5分）：实施方案完善详实，对服务内容、</w:t>
            </w:r>
            <w:r>
              <w:rPr>
                <w:rFonts w:hint="eastAsia" w:ascii="宋体" w:hAnsi="宋体" w:eastAsia="宋体" w:cs="宋体"/>
                <w:bCs/>
                <w:color w:val="auto"/>
                <w:sz w:val="24"/>
                <w:highlight w:val="none"/>
              </w:rPr>
              <w:t>保密措施</w:t>
            </w:r>
            <w:r>
              <w:rPr>
                <w:rFonts w:hint="eastAsia" w:ascii="宋体" w:hAnsi="宋体" w:eastAsia="宋体" w:cs="宋体"/>
                <w:bCs/>
                <w:color w:val="auto"/>
                <w:sz w:val="24"/>
                <w:highlight w:val="none"/>
                <w:lang w:eastAsia="zh-CN"/>
              </w:rPr>
              <w:t>、</w:t>
            </w:r>
            <w:r>
              <w:rPr>
                <w:rFonts w:hint="eastAsia" w:hAnsi="宋体" w:cs="宋体"/>
                <w:bCs/>
                <w:color w:val="auto"/>
                <w:sz w:val="24"/>
                <w:szCs w:val="24"/>
                <w:highlight w:val="none"/>
              </w:rPr>
              <w:t>服务流程、管理服务架构、人员招聘及用工制度、考勤考核制度、劳动保险制度、激励机制、离职管理、档案管理、劳动争议处理等制度内容有详细的论述，内容契合本项目专业技术服务，对本项目的顺利实施提供相关专业人员，且相关机制、措施等能有利保障项目顺利实施，具备突出且适应本地化的服务方案。</w:t>
            </w:r>
          </w:p>
          <w:p w14:paraId="4CF192D1">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四档（</w:t>
            </w:r>
            <w:r>
              <w:rPr>
                <w:rFonts w:hint="eastAsia" w:hAnsi="宋体" w:cs="宋体"/>
                <w:bCs/>
                <w:color w:val="auto"/>
                <w:sz w:val="24"/>
                <w:szCs w:val="24"/>
                <w:highlight w:val="none"/>
                <w:lang w:val="en-US" w:eastAsia="zh-CN"/>
              </w:rPr>
              <w:t>25</w:t>
            </w:r>
            <w:r>
              <w:rPr>
                <w:rFonts w:hint="eastAsia" w:hAnsi="宋体" w:cs="宋体"/>
                <w:bCs/>
                <w:color w:val="auto"/>
                <w:sz w:val="24"/>
                <w:szCs w:val="24"/>
                <w:highlight w:val="none"/>
              </w:rPr>
              <w:t>分）：实施方案细致完整，对服务内容、</w:t>
            </w:r>
            <w:r>
              <w:rPr>
                <w:rFonts w:hint="eastAsia" w:ascii="宋体" w:hAnsi="宋体" w:eastAsia="宋体" w:cs="宋体"/>
                <w:bCs/>
                <w:color w:val="auto"/>
                <w:sz w:val="24"/>
                <w:highlight w:val="none"/>
              </w:rPr>
              <w:t>保密措施</w:t>
            </w:r>
            <w:r>
              <w:rPr>
                <w:rFonts w:hint="eastAsia" w:ascii="宋体" w:hAnsi="宋体" w:eastAsia="宋体" w:cs="宋体"/>
                <w:bCs/>
                <w:color w:val="auto"/>
                <w:sz w:val="24"/>
                <w:highlight w:val="none"/>
                <w:lang w:eastAsia="zh-CN"/>
              </w:rPr>
              <w:t>、</w:t>
            </w:r>
            <w:r>
              <w:rPr>
                <w:rFonts w:hint="eastAsia" w:hAnsi="宋体" w:cs="宋体"/>
                <w:bCs/>
                <w:color w:val="auto"/>
                <w:sz w:val="24"/>
                <w:szCs w:val="24"/>
                <w:highlight w:val="none"/>
              </w:rPr>
              <w:t>服务流程、管理服务架构、人员招聘及用工制度、考勤考核制度、劳动保险制度、激励机制、离职管理、档案管理、劳动争议处理等制度内容有详细论述，内容符合本项目专业技术服务要求，有效指导本项目的顺利实施。</w:t>
            </w:r>
          </w:p>
          <w:p w14:paraId="65E4FCD5">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三档（</w:t>
            </w:r>
            <w:r>
              <w:rPr>
                <w:rFonts w:hint="eastAsia" w:hAnsi="宋体" w:cs="宋体"/>
                <w:bCs/>
                <w:color w:val="auto"/>
                <w:sz w:val="24"/>
                <w:szCs w:val="24"/>
                <w:highlight w:val="none"/>
                <w:lang w:val="en-US" w:eastAsia="zh-CN"/>
              </w:rPr>
              <w:t>20</w:t>
            </w:r>
            <w:r>
              <w:rPr>
                <w:rFonts w:hint="eastAsia" w:hAnsi="宋体" w:cs="宋体"/>
                <w:bCs/>
                <w:color w:val="auto"/>
                <w:sz w:val="24"/>
                <w:szCs w:val="24"/>
                <w:highlight w:val="none"/>
              </w:rPr>
              <w:t>分）：实施方案完整，对服务内容、</w:t>
            </w:r>
            <w:r>
              <w:rPr>
                <w:rFonts w:hint="eastAsia" w:ascii="宋体" w:hAnsi="宋体" w:eastAsia="宋体" w:cs="宋体"/>
                <w:bCs/>
                <w:color w:val="auto"/>
                <w:sz w:val="24"/>
                <w:highlight w:val="none"/>
              </w:rPr>
              <w:t>保密措施</w:t>
            </w:r>
            <w:r>
              <w:rPr>
                <w:rFonts w:hint="eastAsia" w:ascii="宋体" w:hAnsi="宋体" w:eastAsia="宋体" w:cs="宋体"/>
                <w:bCs/>
                <w:color w:val="auto"/>
                <w:sz w:val="24"/>
                <w:highlight w:val="none"/>
                <w:lang w:eastAsia="zh-CN"/>
              </w:rPr>
              <w:t>、</w:t>
            </w:r>
            <w:r>
              <w:rPr>
                <w:rFonts w:hint="eastAsia" w:hAnsi="宋体" w:cs="宋体"/>
                <w:bCs/>
                <w:color w:val="auto"/>
                <w:sz w:val="24"/>
                <w:szCs w:val="24"/>
                <w:highlight w:val="none"/>
              </w:rPr>
              <w:t>管理服务架构、人员招聘及用工制度、考勤考核制度、劳动保险制度等制度内容有论述，内容符合本项目服务要求，能基本保证本项目的顺利实施。</w:t>
            </w:r>
          </w:p>
          <w:p w14:paraId="473DA91D">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二档（</w:t>
            </w:r>
            <w:r>
              <w:rPr>
                <w:rFonts w:hint="eastAsia" w:hAnsi="宋体" w:cs="宋体"/>
                <w:bCs/>
                <w:color w:val="auto"/>
                <w:sz w:val="24"/>
                <w:szCs w:val="24"/>
                <w:highlight w:val="none"/>
                <w:lang w:val="en-US" w:eastAsia="zh-CN"/>
              </w:rPr>
              <w:t>15</w:t>
            </w:r>
            <w:r>
              <w:rPr>
                <w:rFonts w:hint="eastAsia" w:hAnsi="宋体" w:cs="宋体"/>
                <w:bCs/>
                <w:color w:val="auto"/>
                <w:sz w:val="24"/>
                <w:szCs w:val="24"/>
                <w:highlight w:val="none"/>
              </w:rPr>
              <w:t>分）：实施方案基本完整，对服务内容、</w:t>
            </w:r>
            <w:r>
              <w:rPr>
                <w:rFonts w:hint="eastAsia" w:ascii="宋体" w:hAnsi="宋体" w:eastAsia="宋体" w:cs="宋体"/>
                <w:bCs/>
                <w:color w:val="auto"/>
                <w:sz w:val="24"/>
                <w:highlight w:val="none"/>
              </w:rPr>
              <w:t>保密措施</w:t>
            </w:r>
            <w:r>
              <w:rPr>
                <w:rFonts w:hint="eastAsia" w:ascii="宋体" w:hAnsi="宋体" w:eastAsia="宋体" w:cs="宋体"/>
                <w:bCs/>
                <w:color w:val="auto"/>
                <w:sz w:val="24"/>
                <w:highlight w:val="none"/>
                <w:lang w:eastAsia="zh-CN"/>
              </w:rPr>
              <w:t>、</w:t>
            </w:r>
            <w:r>
              <w:rPr>
                <w:rFonts w:hint="eastAsia" w:hAnsi="宋体" w:cs="宋体"/>
                <w:bCs/>
                <w:color w:val="auto"/>
                <w:sz w:val="24"/>
                <w:szCs w:val="24"/>
                <w:highlight w:val="none"/>
              </w:rPr>
              <w:t>管理服务架构、人员招聘及用工制度、考勤考核制度、劳动保险制度等制度内容有简单论述，内容完整，基本符合本项目服务要求及项目的实施要求。</w:t>
            </w:r>
          </w:p>
          <w:p w14:paraId="4137D07C">
            <w:pPr>
              <w:pStyle w:val="23"/>
              <w:spacing w:line="360" w:lineRule="exact"/>
              <w:rPr>
                <w:rFonts w:hint="eastAsia" w:hAnsi="宋体" w:cs="宋体"/>
                <w:bCs/>
                <w:color w:val="auto"/>
                <w:sz w:val="24"/>
                <w:szCs w:val="24"/>
                <w:highlight w:val="none"/>
              </w:rPr>
            </w:pPr>
            <w:r>
              <w:rPr>
                <w:rFonts w:hint="eastAsia" w:hAnsi="宋体" w:cs="宋体"/>
                <w:bCs/>
                <w:color w:val="auto"/>
                <w:sz w:val="24"/>
                <w:szCs w:val="24"/>
                <w:highlight w:val="none"/>
              </w:rPr>
              <w:t>一档（</w:t>
            </w:r>
            <w:r>
              <w:rPr>
                <w:rFonts w:hint="eastAsia" w:hAnsi="宋体" w:cs="宋体"/>
                <w:bCs/>
                <w:color w:val="auto"/>
                <w:sz w:val="24"/>
                <w:szCs w:val="24"/>
                <w:highlight w:val="none"/>
                <w:lang w:val="en-US" w:eastAsia="zh-CN"/>
              </w:rPr>
              <w:t>10</w:t>
            </w:r>
            <w:r>
              <w:rPr>
                <w:rFonts w:hint="eastAsia" w:hAnsi="宋体" w:cs="宋体"/>
                <w:bCs/>
                <w:color w:val="auto"/>
                <w:sz w:val="24"/>
                <w:szCs w:val="24"/>
                <w:highlight w:val="none"/>
              </w:rPr>
              <w:t>分）：实施方案内容不完整，</w:t>
            </w:r>
            <w:r>
              <w:rPr>
                <w:rFonts w:hint="eastAsia" w:hAnsi="宋体" w:cs="宋体"/>
                <w:bCs/>
                <w:color w:val="auto"/>
                <w:sz w:val="24"/>
                <w:szCs w:val="24"/>
                <w:highlight w:val="none"/>
                <w:lang w:val="en-US" w:eastAsia="zh-CN"/>
              </w:rPr>
              <w:t>对</w:t>
            </w:r>
            <w:r>
              <w:rPr>
                <w:rFonts w:hint="eastAsia" w:hAnsi="宋体" w:cs="宋体"/>
                <w:bCs/>
                <w:color w:val="auto"/>
                <w:sz w:val="24"/>
                <w:szCs w:val="24"/>
                <w:highlight w:val="none"/>
              </w:rPr>
              <w:t>制度</w:t>
            </w:r>
            <w:r>
              <w:rPr>
                <w:rFonts w:hint="eastAsia" w:hAnsi="宋体" w:cs="宋体"/>
                <w:bCs/>
                <w:color w:val="auto"/>
                <w:sz w:val="24"/>
                <w:szCs w:val="24"/>
                <w:highlight w:val="none"/>
                <w:lang w:eastAsia="zh-CN"/>
              </w:rPr>
              <w:t>、</w:t>
            </w:r>
            <w:r>
              <w:rPr>
                <w:rFonts w:hint="eastAsia" w:hAnsi="宋体" w:cs="宋体"/>
                <w:bCs/>
                <w:color w:val="auto"/>
                <w:sz w:val="24"/>
                <w:szCs w:val="24"/>
                <w:highlight w:val="none"/>
                <w:lang w:val="en-US" w:eastAsia="zh-CN"/>
              </w:rPr>
              <w:t>服务内容、保密措施有</w:t>
            </w:r>
            <w:r>
              <w:rPr>
                <w:rFonts w:hint="eastAsia" w:hAnsi="宋体" w:cs="宋体"/>
                <w:bCs/>
                <w:color w:val="auto"/>
                <w:sz w:val="24"/>
                <w:szCs w:val="24"/>
                <w:highlight w:val="none"/>
              </w:rPr>
              <w:t>完整</w:t>
            </w:r>
            <w:r>
              <w:rPr>
                <w:rFonts w:hint="eastAsia" w:hAnsi="宋体" w:cs="宋体"/>
                <w:bCs/>
                <w:color w:val="auto"/>
                <w:sz w:val="24"/>
                <w:szCs w:val="24"/>
                <w:highlight w:val="none"/>
                <w:lang w:val="en-US" w:eastAsia="zh-CN"/>
              </w:rPr>
              <w:t>论述</w:t>
            </w:r>
            <w:r>
              <w:rPr>
                <w:rFonts w:hint="eastAsia" w:hAnsi="宋体" w:cs="宋体"/>
                <w:bCs/>
                <w:color w:val="auto"/>
                <w:sz w:val="24"/>
                <w:szCs w:val="24"/>
                <w:highlight w:val="none"/>
              </w:rPr>
              <w:t>，</w:t>
            </w:r>
            <w:r>
              <w:rPr>
                <w:rFonts w:hint="eastAsia" w:hAnsi="宋体" w:cs="宋体"/>
                <w:bCs/>
                <w:color w:val="auto"/>
                <w:sz w:val="24"/>
                <w:szCs w:val="24"/>
                <w:highlight w:val="none"/>
                <w:lang w:val="en-US" w:eastAsia="zh-CN"/>
              </w:rPr>
              <w:t>有</w:t>
            </w:r>
            <w:r>
              <w:rPr>
                <w:rFonts w:hint="eastAsia" w:hAnsi="宋体" w:cs="宋体"/>
                <w:bCs/>
                <w:color w:val="auto"/>
                <w:sz w:val="24"/>
                <w:szCs w:val="24"/>
                <w:highlight w:val="none"/>
              </w:rPr>
              <w:t>操作性，与本项目</w:t>
            </w:r>
            <w:r>
              <w:rPr>
                <w:rFonts w:hint="eastAsia" w:hAnsi="宋体" w:cs="宋体"/>
                <w:bCs/>
                <w:color w:val="auto"/>
                <w:sz w:val="24"/>
                <w:szCs w:val="24"/>
                <w:highlight w:val="none"/>
                <w:lang w:val="en-US" w:eastAsia="zh-CN"/>
              </w:rPr>
              <w:t>服务</w:t>
            </w:r>
            <w:r>
              <w:rPr>
                <w:rFonts w:hint="eastAsia" w:hAnsi="宋体" w:cs="宋体"/>
                <w:bCs/>
                <w:color w:val="auto"/>
                <w:sz w:val="24"/>
                <w:szCs w:val="24"/>
                <w:highlight w:val="none"/>
              </w:rPr>
              <w:t>管理服务契合，</w:t>
            </w:r>
            <w:r>
              <w:rPr>
                <w:rFonts w:hint="eastAsia" w:hAnsi="宋体" w:cs="宋体"/>
                <w:bCs/>
                <w:color w:val="auto"/>
                <w:sz w:val="24"/>
                <w:szCs w:val="24"/>
                <w:highlight w:val="none"/>
                <w:lang w:val="en-US" w:eastAsia="zh-CN"/>
              </w:rPr>
              <w:t>能</w:t>
            </w:r>
            <w:r>
              <w:rPr>
                <w:rFonts w:hint="eastAsia" w:hAnsi="宋体" w:cs="宋体"/>
                <w:bCs/>
                <w:color w:val="auto"/>
                <w:sz w:val="24"/>
                <w:szCs w:val="24"/>
                <w:highlight w:val="none"/>
              </w:rPr>
              <w:t>提出的服务保障方案。</w:t>
            </w:r>
          </w:p>
        </w:tc>
        <w:tc>
          <w:tcPr>
            <w:tcW w:w="394" w:type="pct"/>
            <w:noWrap w:val="0"/>
            <w:vAlign w:val="center"/>
          </w:tcPr>
          <w:p w14:paraId="316E22D7">
            <w:pPr>
              <w:spacing w:line="3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35分</w:t>
            </w:r>
          </w:p>
        </w:tc>
      </w:tr>
      <w:tr w14:paraId="02C9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2" w:type="pct"/>
            <w:noWrap w:val="0"/>
            <w:vAlign w:val="center"/>
          </w:tcPr>
          <w:p w14:paraId="4C4D8A7A">
            <w:pPr>
              <w:spacing w:line="360" w:lineRule="exact"/>
              <w:ind w:left="-105" w:right="-105"/>
              <w:jc w:val="center"/>
              <w:rPr>
                <w:rFonts w:hint="eastAsia" w:ascii="宋体" w:hAnsi="宋体" w:cs="宋体"/>
                <w:bCs/>
                <w:color w:val="auto"/>
                <w:sz w:val="24"/>
                <w:highlight w:val="none"/>
              </w:rPr>
            </w:pPr>
            <w:r>
              <w:rPr>
                <w:rFonts w:hint="eastAsia" w:ascii="宋体" w:hAnsi="宋体" w:cs="宋体"/>
                <w:bCs/>
                <w:color w:val="auto"/>
                <w:sz w:val="24"/>
                <w:highlight w:val="none"/>
              </w:rPr>
              <w:t>2.2</w:t>
            </w:r>
          </w:p>
        </w:tc>
        <w:tc>
          <w:tcPr>
            <w:tcW w:w="650" w:type="pct"/>
            <w:noWrap w:val="0"/>
            <w:vAlign w:val="center"/>
          </w:tcPr>
          <w:p w14:paraId="7C302A92">
            <w:pPr>
              <w:spacing w:line="3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服务质量保证方案及措施</w:t>
            </w:r>
          </w:p>
        </w:tc>
        <w:tc>
          <w:tcPr>
            <w:tcW w:w="3633" w:type="pct"/>
            <w:noWrap w:val="0"/>
            <w:vAlign w:val="center"/>
          </w:tcPr>
          <w:p w14:paraId="649E617A">
            <w:pPr>
              <w:widowControl/>
              <w:spacing w:line="360" w:lineRule="exact"/>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五</w:t>
            </w:r>
            <w:r>
              <w:rPr>
                <w:rFonts w:hint="eastAsia" w:ascii="宋体" w:hAnsi="宋体" w:cs="宋体"/>
                <w:bCs/>
                <w:color w:val="auto"/>
                <w:sz w:val="24"/>
                <w:highlight w:val="none"/>
              </w:rPr>
              <w:t>档（</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rPr>
              <w:t>分）：对服务人员投入、工作交接、采购人任务安排完成措施等服务要点有详细的论述分析，对服务质量提出了</w:t>
            </w:r>
            <w:r>
              <w:rPr>
                <w:rFonts w:hint="eastAsia" w:ascii="宋体" w:hAnsi="宋体" w:cs="宋体"/>
                <w:bCs/>
                <w:color w:val="auto"/>
                <w:sz w:val="24"/>
                <w:highlight w:val="none"/>
                <w:lang w:val="en-US" w:eastAsia="zh-CN"/>
              </w:rPr>
              <w:t>科学</w:t>
            </w:r>
            <w:r>
              <w:rPr>
                <w:rFonts w:hint="eastAsia" w:ascii="宋体" w:hAnsi="宋体" w:cs="宋体"/>
                <w:bCs/>
                <w:color w:val="auto"/>
                <w:sz w:val="24"/>
                <w:highlight w:val="none"/>
              </w:rPr>
              <w:t>可行的保证措施，服务质量保证方案内容全面、完整详细，质量保证措施科学</w:t>
            </w:r>
            <w:r>
              <w:rPr>
                <w:rFonts w:hint="eastAsia" w:ascii="宋体" w:hAnsi="宋体" w:cs="宋体"/>
                <w:bCs/>
                <w:color w:val="auto"/>
                <w:sz w:val="24"/>
                <w:highlight w:val="none"/>
                <w:lang w:val="en-US" w:eastAsia="zh-CN"/>
              </w:rPr>
              <w:t>保证服务措施满足实际需求方案</w:t>
            </w:r>
            <w:r>
              <w:rPr>
                <w:rFonts w:hint="eastAsia" w:ascii="宋体" w:hAnsi="宋体" w:cs="宋体"/>
                <w:bCs/>
                <w:color w:val="auto"/>
                <w:sz w:val="24"/>
                <w:highlight w:val="none"/>
              </w:rPr>
              <w:t>。</w:t>
            </w:r>
          </w:p>
          <w:p w14:paraId="4BCB5970">
            <w:pPr>
              <w:widowControl/>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四档（</w:t>
            </w:r>
            <w:r>
              <w:rPr>
                <w:rFonts w:hint="eastAsia" w:ascii="宋体" w:hAnsi="宋体" w:cs="宋体"/>
                <w:bCs/>
                <w:color w:val="auto"/>
                <w:sz w:val="24"/>
                <w:highlight w:val="none"/>
                <w:lang w:val="en-US" w:eastAsia="zh-CN"/>
              </w:rPr>
              <w:t>20</w:t>
            </w:r>
            <w:r>
              <w:rPr>
                <w:rFonts w:hint="eastAsia" w:ascii="宋体" w:hAnsi="宋体" w:cs="宋体"/>
                <w:bCs/>
                <w:color w:val="auto"/>
                <w:sz w:val="24"/>
                <w:highlight w:val="none"/>
              </w:rPr>
              <w:t>分）：对服务人员投入、工作交接、采购人任务安排完成措施等服务要点有详细的论述分析，对服务质量提出了切实可行的保证措施，服务质量保证方案内容全面、完整详细，质量保证措施科学可行。</w:t>
            </w:r>
          </w:p>
          <w:p w14:paraId="70C590C6">
            <w:pPr>
              <w:widowControl/>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三档（</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rPr>
              <w:t>分）：对服务人员投入、工作交接等服务要点有论述分析，对服务质量提出了保证措施，服务质量保证方案内容完整详细，质量保证措施合理可行。</w:t>
            </w:r>
          </w:p>
          <w:p w14:paraId="43466099">
            <w:pPr>
              <w:widowControl/>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二档（</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分）：服务质量保证方案内容基本全面、完整，质量保证措施基本完整，基本满足项目实施需要。</w:t>
            </w:r>
          </w:p>
          <w:p w14:paraId="31DDAB24">
            <w:pPr>
              <w:widowControl/>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一档（</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分）：服务质量保证方案内容不全面、不完整，质量保证措施不具体，难以满足项目实施需要。</w:t>
            </w:r>
          </w:p>
          <w:p w14:paraId="6C4D2703">
            <w:pPr>
              <w:widowControl/>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注：本项内容响应文件中不提供的或者为达到最低档要求的，得 0 分。</w:t>
            </w:r>
          </w:p>
        </w:tc>
        <w:tc>
          <w:tcPr>
            <w:tcW w:w="394" w:type="pct"/>
            <w:noWrap w:val="0"/>
            <w:vAlign w:val="center"/>
          </w:tcPr>
          <w:p w14:paraId="4E67B6DD">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25分</w:t>
            </w:r>
          </w:p>
        </w:tc>
      </w:tr>
      <w:tr w14:paraId="5D0F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322" w:type="pct"/>
            <w:noWrap w:val="0"/>
            <w:vAlign w:val="center"/>
          </w:tcPr>
          <w:p w14:paraId="333A109C">
            <w:pPr>
              <w:spacing w:line="360" w:lineRule="exact"/>
              <w:ind w:left="-105" w:right="-105"/>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2.3</w:t>
            </w:r>
          </w:p>
        </w:tc>
        <w:tc>
          <w:tcPr>
            <w:tcW w:w="650" w:type="pct"/>
            <w:noWrap w:val="0"/>
            <w:vAlign w:val="center"/>
          </w:tcPr>
          <w:p w14:paraId="3B0F97E3">
            <w:pPr>
              <w:widowControl/>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售后服务分</w:t>
            </w:r>
          </w:p>
          <w:p w14:paraId="6DAAF2B8">
            <w:pPr>
              <w:widowControl/>
              <w:spacing w:line="360" w:lineRule="exact"/>
              <w:rPr>
                <w:rFonts w:hint="eastAsia" w:ascii="宋体" w:hAnsi="宋体" w:eastAsia="宋体" w:cs="宋体"/>
                <w:bCs/>
                <w:color w:val="auto"/>
                <w:sz w:val="24"/>
                <w:highlight w:val="none"/>
              </w:rPr>
            </w:pPr>
          </w:p>
        </w:tc>
        <w:tc>
          <w:tcPr>
            <w:tcW w:w="3633" w:type="pct"/>
            <w:noWrap w:val="0"/>
            <w:vAlign w:val="center"/>
          </w:tcPr>
          <w:p w14:paraId="255FFA65">
            <w:pPr>
              <w:widowControl/>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根据竞标人提供的售后服务方案评分。</w:t>
            </w:r>
          </w:p>
          <w:p w14:paraId="3F566754">
            <w:pPr>
              <w:widowControl/>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三档(</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分):优于二档，售后服务方案详细、可行、针对性、可操作性强。</w:t>
            </w:r>
          </w:p>
          <w:p w14:paraId="41092AA4">
            <w:pPr>
              <w:widowControl/>
              <w:spacing w:line="360" w:lineRule="exac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二档(</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分):优于一档，且有相应的售后服务方案</w:t>
            </w:r>
            <w:r>
              <w:rPr>
                <w:rFonts w:hint="eastAsia" w:ascii="宋体" w:hAnsi="宋体" w:eastAsia="宋体" w:cs="宋体"/>
                <w:bCs/>
                <w:color w:val="auto"/>
                <w:sz w:val="24"/>
                <w:highlight w:val="none"/>
                <w:lang w:eastAsia="zh-CN"/>
              </w:rPr>
              <w:t>；</w:t>
            </w:r>
          </w:p>
          <w:p w14:paraId="20F71CE1">
            <w:pPr>
              <w:widowControl/>
              <w:spacing w:line="360" w:lineRule="exac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一档(</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分):有售后服务承诺，能基本满足本项目服务要求</w:t>
            </w:r>
            <w:r>
              <w:rPr>
                <w:rFonts w:hint="eastAsia" w:ascii="宋体" w:hAnsi="宋体" w:eastAsia="宋体" w:cs="宋体"/>
                <w:bCs/>
                <w:color w:val="auto"/>
                <w:sz w:val="24"/>
                <w:highlight w:val="none"/>
                <w:lang w:eastAsia="zh-CN"/>
              </w:rPr>
              <w:t>；</w:t>
            </w:r>
          </w:p>
          <w:p w14:paraId="7050B07D">
            <w:pPr>
              <w:widowControl/>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注：本项内容响应文件中不提供的或者为达到最低档要求的，得 0 分。</w:t>
            </w:r>
          </w:p>
        </w:tc>
        <w:tc>
          <w:tcPr>
            <w:tcW w:w="394" w:type="pct"/>
            <w:noWrap w:val="0"/>
            <w:vAlign w:val="center"/>
          </w:tcPr>
          <w:p w14:paraId="11E63D04">
            <w:pPr>
              <w:widowControl/>
              <w:spacing w:line="360" w:lineRule="exac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tc>
      </w:tr>
      <w:tr w14:paraId="6C4A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noWrap w:val="0"/>
            <w:vAlign w:val="center"/>
          </w:tcPr>
          <w:p w14:paraId="204B7603">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650" w:type="pct"/>
            <w:noWrap w:val="0"/>
            <w:vAlign w:val="center"/>
          </w:tcPr>
          <w:p w14:paraId="1AA01172">
            <w:pPr>
              <w:widowControl/>
              <w:spacing w:line="36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商务分</w:t>
            </w:r>
          </w:p>
        </w:tc>
        <w:tc>
          <w:tcPr>
            <w:tcW w:w="4027" w:type="pct"/>
            <w:gridSpan w:val="2"/>
            <w:noWrap w:val="0"/>
            <w:vAlign w:val="center"/>
          </w:tcPr>
          <w:p w14:paraId="20708A4B">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评审因素</w:t>
            </w:r>
          </w:p>
        </w:tc>
      </w:tr>
      <w:tr w14:paraId="7073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22" w:type="pct"/>
            <w:noWrap w:val="0"/>
            <w:vAlign w:val="center"/>
          </w:tcPr>
          <w:p w14:paraId="135E74E0">
            <w:pPr>
              <w:widowControl/>
              <w:spacing w:line="360" w:lineRule="exact"/>
              <w:jc w:val="center"/>
              <w:rPr>
                <w:rFonts w:hint="eastAsia" w:ascii="宋体" w:hAnsi="宋体" w:cs="宋体"/>
                <w:bCs/>
                <w:color w:val="auto"/>
                <w:sz w:val="24"/>
                <w:highlight w:val="none"/>
              </w:rPr>
            </w:pPr>
            <w:r>
              <w:rPr>
                <w:rFonts w:hint="eastAsia" w:ascii="宋体" w:hAnsi="宋体" w:cs="宋体"/>
                <w:color w:val="auto"/>
                <w:sz w:val="24"/>
                <w:highlight w:val="none"/>
              </w:rPr>
              <w:t>3.1</w:t>
            </w:r>
          </w:p>
        </w:tc>
        <w:tc>
          <w:tcPr>
            <w:tcW w:w="650" w:type="pct"/>
            <w:noWrap w:val="0"/>
            <w:vAlign w:val="center"/>
          </w:tcPr>
          <w:p w14:paraId="17FE23BE">
            <w:pPr>
              <w:spacing w:line="360" w:lineRule="exact"/>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企业信誉</w:t>
            </w:r>
          </w:p>
        </w:tc>
        <w:tc>
          <w:tcPr>
            <w:tcW w:w="3633" w:type="pct"/>
            <w:noWrap w:val="0"/>
            <w:vAlign w:val="top"/>
          </w:tcPr>
          <w:p w14:paraId="230F078D">
            <w:pPr>
              <w:spacing w:line="360" w:lineRule="exact"/>
              <w:jc w:val="left"/>
              <w:rPr>
                <w:rFonts w:hint="eastAsia" w:ascii="宋体" w:hAnsi="宋体" w:cs="宋体"/>
                <w:bCs/>
                <w:color w:val="auto"/>
                <w:sz w:val="24"/>
                <w:highlight w:val="none"/>
              </w:rPr>
            </w:pPr>
            <w:r>
              <w:rPr>
                <w:rFonts w:hint="eastAsia" w:ascii="宋体" w:hAnsi="宋体" w:cs="宋体"/>
                <w:bCs/>
                <w:color w:val="auto"/>
                <w:sz w:val="24"/>
                <w:highlight w:val="none"/>
              </w:rPr>
              <w:t>供应商具备质量管理体系认证、环境管理体系认证、职业健康安全管理体系认证证书，提供证明文件复印件并加盖公章，每提供1个得1分，不提供不得分。</w:t>
            </w:r>
          </w:p>
        </w:tc>
        <w:tc>
          <w:tcPr>
            <w:tcW w:w="394" w:type="pct"/>
            <w:noWrap w:val="0"/>
            <w:vAlign w:val="center"/>
          </w:tcPr>
          <w:p w14:paraId="074307A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tc>
      </w:tr>
      <w:tr w14:paraId="45DD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322" w:type="pct"/>
            <w:noWrap w:val="0"/>
            <w:vAlign w:val="center"/>
          </w:tcPr>
          <w:p w14:paraId="2CE9AC17">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3.2</w:t>
            </w:r>
          </w:p>
        </w:tc>
        <w:tc>
          <w:tcPr>
            <w:tcW w:w="650" w:type="pct"/>
            <w:noWrap w:val="0"/>
            <w:vAlign w:val="center"/>
          </w:tcPr>
          <w:p w14:paraId="4D279F2B">
            <w:pPr>
              <w:widowControl/>
              <w:spacing w:line="360" w:lineRule="exact"/>
              <w:jc w:val="center"/>
              <w:rPr>
                <w:rFonts w:hint="eastAsia" w:ascii="宋体" w:hAnsi="宋体" w:cs="宋体"/>
                <w:color w:val="auto"/>
                <w:sz w:val="24"/>
                <w:highlight w:val="none"/>
              </w:rPr>
            </w:pPr>
            <w:r>
              <w:rPr>
                <w:rFonts w:hint="eastAsia" w:ascii="宋体" w:hAnsi="宋体" w:cs="宋体"/>
                <w:bCs/>
                <w:color w:val="auto"/>
                <w:sz w:val="24"/>
                <w:highlight w:val="none"/>
              </w:rPr>
              <w:t>业绩分</w:t>
            </w:r>
          </w:p>
        </w:tc>
        <w:tc>
          <w:tcPr>
            <w:tcW w:w="3633" w:type="pct"/>
            <w:noWrap w:val="0"/>
            <w:vAlign w:val="top"/>
          </w:tcPr>
          <w:p w14:paraId="20581EB3">
            <w:pPr>
              <w:spacing w:line="360" w:lineRule="exact"/>
              <w:rPr>
                <w:rFonts w:hint="eastAsia" w:ascii="宋体" w:hAnsi="宋体" w:cs="宋体"/>
                <w:bCs/>
                <w:color w:val="auto"/>
                <w:sz w:val="24"/>
                <w:highlight w:val="none"/>
              </w:rPr>
            </w:pPr>
            <w:r>
              <w:rPr>
                <w:rFonts w:hint="eastAsia" w:ascii="宋体" w:hAnsi="宋体" w:cs="宋体"/>
                <w:bCs/>
                <w:color w:val="auto"/>
                <w:sz w:val="24"/>
                <w:highlight w:val="none"/>
              </w:rPr>
              <w:t>供应商自202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1月1日以来具有完成同类项目的业绩【以中标（成交）通知书复印件（或合同复印件）及验收证明为准（能清晰反映相应的项目内容或合同标的，否则将不予评审。同一个编号的项目有两个或两个以上的分标中标/成交的只算一次）】的，每提供一项业绩的得</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分，本条最多得</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分。</w:t>
            </w:r>
          </w:p>
        </w:tc>
        <w:tc>
          <w:tcPr>
            <w:tcW w:w="394" w:type="pct"/>
            <w:noWrap w:val="0"/>
            <w:vAlign w:val="center"/>
          </w:tcPr>
          <w:p w14:paraId="11DB1A85">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分</w:t>
            </w:r>
          </w:p>
        </w:tc>
      </w:tr>
      <w:tr w14:paraId="5115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605" w:type="pct"/>
            <w:gridSpan w:val="3"/>
            <w:noWrap w:val="0"/>
            <w:vAlign w:val="center"/>
          </w:tcPr>
          <w:p w14:paraId="7D593B26">
            <w:pPr>
              <w:pStyle w:val="23"/>
              <w:spacing w:line="360" w:lineRule="exact"/>
              <w:ind w:firstLine="480"/>
              <w:rPr>
                <w:rFonts w:hint="eastAsia" w:hAnsi="宋体" w:cs="宋体"/>
                <w:bCs/>
                <w:color w:val="auto"/>
                <w:sz w:val="24"/>
                <w:szCs w:val="24"/>
                <w:highlight w:val="none"/>
              </w:rPr>
            </w:pPr>
            <w:r>
              <w:rPr>
                <w:rFonts w:hint="eastAsia" w:hAnsi="宋体" w:cs="宋体"/>
                <w:bCs/>
                <w:color w:val="auto"/>
                <w:sz w:val="24"/>
                <w:szCs w:val="24"/>
                <w:highlight w:val="none"/>
              </w:rPr>
              <w:t>总得分＝1＋2＋3</w:t>
            </w:r>
          </w:p>
        </w:tc>
        <w:tc>
          <w:tcPr>
            <w:tcW w:w="394" w:type="pct"/>
            <w:noWrap w:val="0"/>
            <w:vAlign w:val="center"/>
          </w:tcPr>
          <w:p w14:paraId="13B01A37">
            <w:pPr>
              <w:widowControl/>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100分</w:t>
            </w:r>
          </w:p>
        </w:tc>
      </w:tr>
    </w:tbl>
    <w:p w14:paraId="0E0C3676">
      <w:pPr>
        <w:pStyle w:val="28"/>
        <w:rPr>
          <w:rFonts w:hint="eastAsia" w:ascii="宋体" w:hAnsi="宋体" w:cs="宋体"/>
          <w:color w:val="auto"/>
          <w:highlight w:val="none"/>
        </w:rPr>
      </w:pPr>
    </w:p>
    <w:p w14:paraId="498295A6">
      <w:pPr>
        <w:pStyle w:val="28"/>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三、成交原则</w:t>
      </w:r>
    </w:p>
    <w:p w14:paraId="7A3CAB67">
      <w:pPr>
        <w:spacing w:line="500" w:lineRule="exact"/>
        <w:ind w:firstLine="480"/>
        <w:rPr>
          <w:rFonts w:hint="eastAsia" w:ascii="宋体" w:hAnsi="宋体" w:cs="宋体"/>
          <w:bCs/>
          <w:color w:val="auto"/>
          <w:sz w:val="24"/>
          <w:szCs w:val="21"/>
          <w:highlight w:val="none"/>
        </w:rPr>
      </w:pPr>
      <w:r>
        <w:rPr>
          <w:rFonts w:hint="eastAsia" w:ascii="宋体" w:hAnsi="宋体" w:cs="宋体"/>
          <w:bCs/>
          <w:color w:val="auto"/>
          <w:sz w:val="24"/>
          <w:szCs w:val="21"/>
          <w:highlight w:val="none"/>
        </w:rPr>
        <w:t>7.由磋商小组根据综合评分情况，按照评审得分由高到低顺序推荐3名成交候选供应商，并编写评审报告。符合本章第3.8、4.3条情形的，可以推荐2家成交候选供应商。评审得分相同的，按照最后报价（不计算价格折扣）由低到高的顺序推荐。评审得分且最后报价（不计算价格折扣）相同的，按照技术指标优劣顺序推荐（按技术分、商务分得分高低依次确定）。</w:t>
      </w:r>
    </w:p>
    <w:p w14:paraId="70F3F1FF">
      <w:pPr>
        <w:spacing w:line="500" w:lineRule="exact"/>
        <w:ind w:firstLine="480"/>
        <w:rPr>
          <w:rFonts w:hint="eastAsia" w:ascii="宋体" w:hAnsi="宋体" w:cs="宋体"/>
          <w:bCs/>
          <w:color w:val="auto"/>
          <w:sz w:val="24"/>
          <w:szCs w:val="21"/>
          <w:highlight w:val="none"/>
        </w:rPr>
      </w:pPr>
      <w:r>
        <w:rPr>
          <w:rFonts w:hint="eastAsia" w:ascii="宋体" w:hAnsi="宋体" w:cs="宋体"/>
          <w:bCs/>
          <w:color w:val="auto"/>
          <w:sz w:val="24"/>
          <w:szCs w:val="21"/>
          <w:highlight w:val="none"/>
        </w:rPr>
        <w:t>8.排序在前的供应商放弃成交资格、因不可抗力提出不能履行合同等，采购人可以根据递进原则确定排序在后的成交候选供应商为成交供应商，以此类推。</w:t>
      </w:r>
    </w:p>
    <w:p w14:paraId="5185C248">
      <w:pPr>
        <w:spacing w:line="500" w:lineRule="exact"/>
        <w:ind w:firstLine="480"/>
        <w:rPr>
          <w:rFonts w:hint="eastAsia" w:ascii="宋体" w:hAnsi="宋体" w:cs="宋体"/>
          <w:bCs/>
          <w:color w:val="auto"/>
          <w:sz w:val="24"/>
          <w:szCs w:val="21"/>
          <w:highlight w:val="none"/>
        </w:rPr>
      </w:pPr>
      <w:r>
        <w:rPr>
          <w:rFonts w:hint="eastAsia" w:ascii="宋体" w:hAnsi="宋体" w:cs="宋体"/>
          <w:bCs/>
          <w:color w:val="auto"/>
          <w:sz w:val="24"/>
          <w:szCs w:val="21"/>
          <w:highlight w:val="none"/>
        </w:rPr>
        <w:t>9.磋商小组认为某参与磋商供应商的有效报价明显低于其他通过符合性审查供应商的报价，有可能影响产品（服务）质量和不能诚信履约的，应当要求其在磋商现场合理的时间内提供书面说明，必要时提交相关证明材料，供应商不能证明其报价合理性的，磋商小组应当将其作为无效标处理。</w:t>
      </w:r>
    </w:p>
    <w:p w14:paraId="4A99B0EA">
      <w:pPr>
        <w:pStyle w:val="3"/>
        <w:spacing w:line="380" w:lineRule="exact"/>
        <w:jc w:val="center"/>
        <w:rPr>
          <w:rFonts w:hint="eastAsia" w:ascii="宋体" w:hAnsi="宋体" w:cs="宋体"/>
          <w:color w:val="auto"/>
          <w:highlight w:val="none"/>
        </w:rPr>
      </w:pPr>
      <w:r>
        <w:rPr>
          <w:rFonts w:hint="eastAsia" w:ascii="宋体" w:hAnsi="宋体" w:cs="宋体"/>
          <w:color w:val="auto"/>
          <w:highlight w:val="none"/>
        </w:rPr>
        <w:br w:type="page"/>
      </w:r>
      <w:bookmarkStart w:id="59" w:name="_Toc20754"/>
      <w:bookmarkStart w:id="60" w:name="_Toc8427"/>
      <w:bookmarkStart w:id="61" w:name="_Toc26373"/>
      <w:r>
        <w:rPr>
          <w:rFonts w:hint="eastAsia" w:ascii="宋体" w:hAnsi="宋体" w:cs="宋体"/>
          <w:color w:val="auto"/>
          <w:highlight w:val="none"/>
        </w:rPr>
        <w:t>第五章 响应文件格式</w:t>
      </w:r>
      <w:bookmarkEnd w:id="59"/>
      <w:bookmarkEnd w:id="60"/>
      <w:bookmarkEnd w:id="61"/>
    </w:p>
    <w:p w14:paraId="1E445BAF">
      <w:pPr>
        <w:spacing w:line="380" w:lineRule="exact"/>
        <w:rPr>
          <w:rFonts w:hint="eastAsia" w:ascii="宋体" w:hAnsi="宋体" w:cs="宋体"/>
          <w:b/>
          <w:color w:val="auto"/>
          <w:sz w:val="32"/>
          <w:szCs w:val="32"/>
          <w:highlight w:val="none"/>
        </w:rPr>
      </w:pPr>
    </w:p>
    <w:p w14:paraId="4ACA5FF5">
      <w:pPr>
        <w:spacing w:before="50" w:after="50" w:line="380" w:lineRule="exact"/>
        <w:rPr>
          <w:rFonts w:hint="eastAsia" w:ascii="宋体" w:hAnsi="宋体" w:cs="宋体"/>
          <w:b/>
          <w:bCs/>
          <w:color w:val="auto"/>
          <w:sz w:val="24"/>
          <w:highlight w:val="none"/>
        </w:rPr>
      </w:pPr>
    </w:p>
    <w:p w14:paraId="4ABA10E3">
      <w:pPr>
        <w:spacing w:before="50" w:after="50" w:line="380" w:lineRule="exact"/>
        <w:rPr>
          <w:rFonts w:hint="eastAsia" w:ascii="宋体" w:hAnsi="宋体" w:cs="宋体"/>
          <w:b/>
          <w:bCs/>
          <w:color w:val="auto"/>
          <w:sz w:val="32"/>
          <w:szCs w:val="32"/>
          <w:highlight w:val="none"/>
        </w:rPr>
      </w:pPr>
      <w:bookmarkStart w:id="62" w:name="_Toc44229898"/>
      <w:r>
        <w:rPr>
          <w:rFonts w:hint="eastAsia" w:ascii="宋体" w:hAnsi="宋体" w:cs="宋体"/>
          <w:b/>
          <w:color w:val="auto"/>
          <w:sz w:val="32"/>
          <w:szCs w:val="32"/>
          <w:highlight w:val="none"/>
        </w:rPr>
        <w:t>（</w:t>
      </w:r>
      <w:bookmarkStart w:id="63" w:name="_Toc35611437"/>
      <w:bookmarkStart w:id="64" w:name="_Toc35611515"/>
      <w:r>
        <w:rPr>
          <w:rFonts w:hint="eastAsia" w:ascii="宋体" w:hAnsi="宋体" w:cs="宋体"/>
          <w:b/>
          <w:bCs/>
          <w:color w:val="auto"/>
          <w:sz w:val="32"/>
          <w:szCs w:val="32"/>
          <w:highlight w:val="none"/>
        </w:rPr>
        <w:t>响应文件外层包装封面格式</w:t>
      </w:r>
      <w:bookmarkEnd w:id="63"/>
      <w:bookmarkEnd w:id="64"/>
      <w:r>
        <w:rPr>
          <w:rFonts w:hint="eastAsia" w:ascii="宋体" w:hAnsi="宋体" w:cs="宋体"/>
          <w:b/>
          <w:color w:val="auto"/>
          <w:sz w:val="32"/>
          <w:szCs w:val="32"/>
          <w:highlight w:val="none"/>
        </w:rPr>
        <w:t xml:space="preserve"> ）</w:t>
      </w:r>
      <w:bookmarkEnd w:id="62"/>
    </w:p>
    <w:p w14:paraId="6D286E2B">
      <w:pPr>
        <w:spacing w:before="156" w:after="50" w:line="380" w:lineRule="exact"/>
        <w:rPr>
          <w:rFonts w:hint="eastAsia" w:ascii="宋体" w:hAnsi="宋体" w:cs="宋体"/>
          <w:color w:val="auto"/>
          <w:sz w:val="24"/>
          <w:szCs w:val="20"/>
          <w:highlight w:val="none"/>
        </w:rPr>
      </w:pPr>
    </w:p>
    <w:p w14:paraId="5D7AB6E0">
      <w:pPr>
        <w:spacing w:before="156" w:after="50" w:line="380" w:lineRule="exact"/>
        <w:jc w:val="center"/>
        <w:rPr>
          <w:rFonts w:hint="eastAsia" w:ascii="宋体" w:hAnsi="宋体" w:cs="宋体"/>
          <w:bCs/>
          <w:color w:val="auto"/>
          <w:sz w:val="24"/>
          <w:szCs w:val="20"/>
          <w:highlight w:val="none"/>
        </w:rPr>
      </w:pPr>
    </w:p>
    <w:p w14:paraId="67346086">
      <w:pPr>
        <w:spacing w:before="156" w:after="50" w:line="38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7B91962D">
      <w:pPr>
        <w:spacing w:before="156" w:after="50" w:line="380" w:lineRule="exact"/>
        <w:rPr>
          <w:rFonts w:hint="eastAsia" w:ascii="宋体" w:hAnsi="宋体" w:cs="宋体"/>
          <w:bCs/>
          <w:color w:val="auto"/>
          <w:sz w:val="24"/>
          <w:szCs w:val="20"/>
          <w:highlight w:val="none"/>
        </w:rPr>
      </w:pPr>
    </w:p>
    <w:p w14:paraId="389F64CF">
      <w:pPr>
        <w:spacing w:before="156" w:after="50" w:line="380" w:lineRule="exact"/>
        <w:rPr>
          <w:rFonts w:hint="eastAsia" w:ascii="宋体" w:hAnsi="宋体" w:cs="宋体"/>
          <w:bCs/>
          <w:color w:val="auto"/>
          <w:sz w:val="24"/>
          <w:szCs w:val="20"/>
          <w:highlight w:val="none"/>
        </w:rPr>
      </w:pPr>
    </w:p>
    <w:p w14:paraId="4B0C1281">
      <w:pPr>
        <w:spacing w:before="156" w:after="50" w:line="380" w:lineRule="exact"/>
        <w:rPr>
          <w:rFonts w:hint="eastAsia" w:ascii="宋体" w:hAnsi="宋体" w:cs="宋体"/>
          <w:bCs/>
          <w:color w:val="auto"/>
          <w:sz w:val="32"/>
          <w:szCs w:val="32"/>
          <w:highlight w:val="none"/>
        </w:rPr>
      </w:pPr>
    </w:p>
    <w:p w14:paraId="10991308">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1E5CE27B">
      <w:pPr>
        <w:spacing w:before="156" w:after="50" w:line="380" w:lineRule="exact"/>
        <w:ind w:firstLine="480"/>
        <w:rPr>
          <w:rFonts w:hint="eastAsia" w:ascii="宋体" w:hAnsi="宋体" w:cs="宋体"/>
          <w:bCs/>
          <w:color w:val="auto"/>
          <w:sz w:val="32"/>
          <w:szCs w:val="32"/>
          <w:highlight w:val="none"/>
        </w:rPr>
      </w:pPr>
    </w:p>
    <w:p w14:paraId="6517259D">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AD1E230">
      <w:pPr>
        <w:spacing w:before="156" w:after="50" w:line="380" w:lineRule="exact"/>
        <w:ind w:firstLine="480"/>
        <w:rPr>
          <w:rFonts w:hint="eastAsia" w:ascii="宋体" w:hAnsi="宋体" w:cs="宋体"/>
          <w:bCs/>
          <w:color w:val="auto"/>
          <w:sz w:val="32"/>
          <w:szCs w:val="32"/>
          <w:highlight w:val="none"/>
        </w:rPr>
      </w:pPr>
    </w:p>
    <w:p w14:paraId="4E56BEBA">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4CAE283">
      <w:pPr>
        <w:spacing w:before="156" w:after="50" w:line="380" w:lineRule="exact"/>
        <w:rPr>
          <w:rFonts w:hint="eastAsia" w:ascii="宋体" w:hAnsi="宋体" w:cs="宋体"/>
          <w:bCs/>
          <w:color w:val="auto"/>
          <w:sz w:val="32"/>
          <w:szCs w:val="32"/>
          <w:highlight w:val="none"/>
        </w:rPr>
      </w:pPr>
    </w:p>
    <w:p w14:paraId="0AE73E8F">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75283AE">
      <w:pPr>
        <w:spacing w:before="156" w:after="50" w:line="380" w:lineRule="exact"/>
        <w:rPr>
          <w:rFonts w:hint="eastAsia" w:ascii="宋体" w:hAnsi="宋体" w:cs="宋体"/>
          <w:bCs/>
          <w:color w:val="auto"/>
          <w:sz w:val="32"/>
          <w:szCs w:val="32"/>
          <w:highlight w:val="none"/>
        </w:rPr>
      </w:pPr>
    </w:p>
    <w:p w14:paraId="11AEB01C">
      <w:pPr>
        <w:spacing w:before="156" w:after="50" w:line="380" w:lineRule="exact"/>
        <w:ind w:firstLine="480"/>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首次响应文件提交截止时间前不得启封</w:t>
      </w:r>
    </w:p>
    <w:p w14:paraId="18C5DA6D">
      <w:pPr>
        <w:spacing w:before="156" w:after="50" w:line="380" w:lineRule="exact"/>
        <w:ind w:firstLine="5440"/>
        <w:jc w:val="center"/>
        <w:rPr>
          <w:rFonts w:hint="eastAsia" w:ascii="宋体" w:hAnsi="宋体" w:cs="宋体"/>
          <w:bCs/>
          <w:color w:val="auto"/>
          <w:sz w:val="32"/>
          <w:szCs w:val="32"/>
          <w:highlight w:val="none"/>
        </w:rPr>
      </w:pPr>
    </w:p>
    <w:p w14:paraId="206E9BFF">
      <w:pPr>
        <w:spacing w:before="156" w:after="50" w:line="380" w:lineRule="exact"/>
        <w:ind w:firstLine="645"/>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1DB7393E">
      <w:pPr>
        <w:spacing w:line="380" w:lineRule="exact"/>
        <w:rPr>
          <w:rFonts w:hint="eastAsia" w:ascii="宋体" w:hAnsi="宋体" w:cs="宋体"/>
          <w:bCs/>
          <w:color w:val="auto"/>
          <w:sz w:val="32"/>
          <w:szCs w:val="32"/>
          <w:highlight w:val="none"/>
        </w:rPr>
      </w:pPr>
      <w:r>
        <w:rPr>
          <w:rFonts w:hint="eastAsia" w:ascii="宋体" w:hAnsi="宋体" w:cs="宋体"/>
          <w:bCs/>
          <w:color w:val="auto"/>
          <w:sz w:val="24"/>
          <w:highlight w:val="none"/>
        </w:rPr>
        <w:br w:type="page"/>
      </w:r>
      <w:r>
        <w:rPr>
          <w:rFonts w:hint="eastAsia" w:ascii="宋体" w:hAnsi="宋体" w:cs="宋体"/>
          <w:b/>
          <w:bCs/>
          <w:color w:val="auto"/>
          <w:sz w:val="32"/>
          <w:szCs w:val="32"/>
          <w:highlight w:val="none"/>
        </w:rPr>
        <w:t>（响应文件封面格式）</w:t>
      </w:r>
    </w:p>
    <w:p w14:paraId="258EC3B0">
      <w:pPr>
        <w:spacing w:line="380" w:lineRule="exact"/>
        <w:jc w:val="center"/>
        <w:rPr>
          <w:rFonts w:hint="eastAsia" w:ascii="宋体" w:hAnsi="宋体" w:cs="宋体"/>
          <w:bCs/>
          <w:color w:val="auto"/>
          <w:sz w:val="24"/>
          <w:highlight w:val="none"/>
        </w:rPr>
      </w:pPr>
    </w:p>
    <w:p w14:paraId="4DB9C9F4">
      <w:pPr>
        <w:spacing w:line="380" w:lineRule="exact"/>
        <w:jc w:val="center"/>
        <w:rPr>
          <w:rFonts w:hint="eastAsia" w:ascii="宋体" w:hAnsi="宋体" w:cs="宋体"/>
          <w:bCs/>
          <w:color w:val="auto"/>
          <w:sz w:val="24"/>
          <w:highlight w:val="none"/>
        </w:rPr>
      </w:pPr>
    </w:p>
    <w:p w14:paraId="66B2F810">
      <w:pPr>
        <w:jc w:val="center"/>
        <w:rPr>
          <w:rFonts w:hint="eastAsia" w:ascii="宋体" w:hAnsi="宋体" w:cs="宋体"/>
          <w:bCs/>
          <w:color w:val="auto"/>
          <w:sz w:val="24"/>
          <w:highlight w:val="none"/>
        </w:rPr>
      </w:pPr>
    </w:p>
    <w:p w14:paraId="0B433A5E">
      <w:pPr>
        <w:jc w:val="center"/>
        <w:rPr>
          <w:rFonts w:hint="eastAsia" w:ascii="宋体" w:hAnsi="宋体" w:cs="宋体"/>
          <w:bCs/>
          <w:color w:val="auto"/>
          <w:sz w:val="44"/>
          <w:szCs w:val="44"/>
          <w:highlight w:val="none"/>
        </w:rPr>
      </w:pPr>
    </w:p>
    <w:p w14:paraId="69EBDFD0">
      <w:pPr>
        <w:jc w:val="center"/>
        <w:rPr>
          <w:rFonts w:hint="eastAsia" w:ascii="宋体" w:hAnsi="宋体" w:cs="宋体"/>
          <w:bCs/>
          <w:color w:val="auto"/>
          <w:sz w:val="44"/>
          <w:szCs w:val="44"/>
          <w:highlight w:val="none"/>
        </w:rPr>
      </w:pPr>
    </w:p>
    <w:p w14:paraId="5DF598B2">
      <w:pPr>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响  应  文  件</w:t>
      </w:r>
      <w:r>
        <w:rPr>
          <w:rFonts w:hint="eastAsia" w:ascii="宋体" w:hAnsi="宋体" w:cs="宋体"/>
          <w:b/>
          <w:color w:val="auto"/>
          <w:sz w:val="32"/>
          <w:szCs w:val="32"/>
          <w:highlight w:val="none"/>
        </w:rPr>
        <w:t xml:space="preserve"> </w:t>
      </w:r>
      <w:r>
        <w:rPr>
          <w:rFonts w:hint="eastAsia" w:ascii="宋体" w:hAnsi="宋体" w:cs="宋体"/>
          <w:color w:val="auto"/>
          <w:sz w:val="21"/>
          <w:szCs w:val="21"/>
          <w:highlight w:val="none"/>
        </w:rPr>
        <w:t>(封面)</w:t>
      </w:r>
    </w:p>
    <w:p w14:paraId="39078633">
      <w:pPr>
        <w:jc w:val="center"/>
        <w:rPr>
          <w:rFonts w:hint="eastAsia" w:ascii="宋体" w:hAnsi="宋体" w:cs="宋体"/>
          <w:color w:val="auto"/>
          <w:sz w:val="21"/>
          <w:szCs w:val="21"/>
          <w:highlight w:val="none"/>
        </w:rPr>
      </w:pPr>
    </w:p>
    <w:p w14:paraId="158BBDAC">
      <w:pPr>
        <w:jc w:val="center"/>
        <w:rPr>
          <w:rFonts w:hint="eastAsia" w:ascii="宋体" w:hAnsi="宋体" w:cs="宋体"/>
          <w:color w:val="auto"/>
          <w:sz w:val="21"/>
          <w:szCs w:val="21"/>
          <w:highlight w:val="none"/>
        </w:rPr>
      </w:pPr>
    </w:p>
    <w:p w14:paraId="4C032D19">
      <w:pPr>
        <w:spacing w:line="380" w:lineRule="exact"/>
        <w:jc w:val="center"/>
        <w:rPr>
          <w:rFonts w:hint="eastAsia" w:ascii="宋体" w:hAnsi="宋体" w:cs="宋体"/>
          <w:color w:val="auto"/>
          <w:sz w:val="21"/>
          <w:szCs w:val="21"/>
          <w:highlight w:val="none"/>
        </w:rPr>
      </w:pPr>
    </w:p>
    <w:p w14:paraId="6E399480">
      <w:pPr>
        <w:spacing w:line="380" w:lineRule="exact"/>
        <w:jc w:val="center"/>
        <w:rPr>
          <w:rFonts w:hint="eastAsia" w:ascii="宋体" w:hAnsi="宋体" w:cs="宋体"/>
          <w:color w:val="auto"/>
          <w:sz w:val="21"/>
          <w:szCs w:val="21"/>
          <w:highlight w:val="none"/>
        </w:rPr>
      </w:pPr>
    </w:p>
    <w:p w14:paraId="3B973C84">
      <w:pPr>
        <w:spacing w:line="380" w:lineRule="exact"/>
        <w:jc w:val="left"/>
        <w:rPr>
          <w:rFonts w:hint="eastAsia" w:ascii="宋体" w:hAnsi="宋体" w:cs="宋体"/>
          <w:color w:val="auto"/>
          <w:sz w:val="32"/>
          <w:szCs w:val="32"/>
          <w:highlight w:val="none"/>
        </w:rPr>
      </w:pPr>
    </w:p>
    <w:p w14:paraId="019022CA">
      <w:pPr>
        <w:spacing w:line="380" w:lineRule="exact"/>
        <w:ind w:firstLine="64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项目编号：</w:t>
      </w:r>
    </w:p>
    <w:p w14:paraId="2D90C9C8">
      <w:pPr>
        <w:spacing w:line="380" w:lineRule="exact"/>
        <w:ind w:firstLine="640"/>
        <w:jc w:val="left"/>
        <w:rPr>
          <w:rFonts w:hint="eastAsia" w:ascii="宋体" w:hAnsi="宋体" w:cs="宋体"/>
          <w:color w:val="auto"/>
          <w:sz w:val="32"/>
          <w:szCs w:val="32"/>
          <w:highlight w:val="none"/>
          <w:u w:val="single"/>
        </w:rPr>
      </w:pPr>
    </w:p>
    <w:p w14:paraId="6BEC5585">
      <w:pPr>
        <w:tabs>
          <w:tab w:val="left" w:pos="3240"/>
        </w:tabs>
        <w:spacing w:line="380" w:lineRule="exact"/>
        <w:ind w:firstLine="64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项目名称：</w:t>
      </w:r>
    </w:p>
    <w:p w14:paraId="3169A7B5">
      <w:pPr>
        <w:tabs>
          <w:tab w:val="left" w:pos="3240"/>
        </w:tabs>
        <w:spacing w:line="380" w:lineRule="exact"/>
        <w:ind w:firstLine="640"/>
        <w:jc w:val="left"/>
        <w:rPr>
          <w:rFonts w:hint="eastAsia" w:ascii="宋体" w:hAnsi="宋体" w:cs="宋体"/>
          <w:color w:val="auto"/>
          <w:sz w:val="32"/>
          <w:szCs w:val="32"/>
          <w:highlight w:val="none"/>
          <w:u w:val="single"/>
        </w:rPr>
      </w:pPr>
    </w:p>
    <w:p w14:paraId="1647D134">
      <w:pPr>
        <w:spacing w:line="380" w:lineRule="exact"/>
        <w:ind w:firstLine="64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所竞分标</w:t>
      </w:r>
      <w:r>
        <w:rPr>
          <w:rFonts w:hint="eastAsia" w:ascii="宋体" w:hAnsi="宋体" w:cs="宋体"/>
          <w:bCs/>
          <w:color w:val="auto"/>
          <w:sz w:val="32"/>
          <w:szCs w:val="32"/>
          <w:highlight w:val="none"/>
        </w:rPr>
        <w:t>（如有则填写，无分标时填写“无”或者留空）</w:t>
      </w:r>
      <w:r>
        <w:rPr>
          <w:rFonts w:hint="eastAsia" w:ascii="宋体" w:hAnsi="宋体" w:cs="宋体"/>
          <w:color w:val="auto"/>
          <w:sz w:val="32"/>
          <w:szCs w:val="32"/>
          <w:highlight w:val="none"/>
        </w:rPr>
        <w:t>：</w:t>
      </w:r>
    </w:p>
    <w:p w14:paraId="02F8B582">
      <w:pPr>
        <w:spacing w:line="380" w:lineRule="exact"/>
        <w:ind w:firstLine="640"/>
        <w:jc w:val="left"/>
        <w:rPr>
          <w:rFonts w:hint="eastAsia" w:ascii="宋体" w:hAnsi="宋体" w:cs="宋体"/>
          <w:color w:val="auto"/>
          <w:sz w:val="32"/>
          <w:szCs w:val="32"/>
          <w:highlight w:val="none"/>
          <w:u w:val="single"/>
        </w:rPr>
      </w:pPr>
    </w:p>
    <w:p w14:paraId="60DBD108">
      <w:pPr>
        <w:spacing w:line="380" w:lineRule="exact"/>
        <w:ind w:firstLine="640"/>
        <w:jc w:val="left"/>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供应商名称：</w:t>
      </w:r>
    </w:p>
    <w:p w14:paraId="330D34A9">
      <w:pPr>
        <w:spacing w:before="156" w:after="50" w:line="380" w:lineRule="exact"/>
        <w:rPr>
          <w:rFonts w:hint="eastAsia" w:ascii="宋体" w:hAnsi="宋体" w:cs="宋体"/>
          <w:color w:val="auto"/>
          <w:sz w:val="32"/>
          <w:szCs w:val="32"/>
          <w:highlight w:val="none"/>
        </w:rPr>
      </w:pPr>
    </w:p>
    <w:p w14:paraId="234A0C5A">
      <w:pPr>
        <w:spacing w:before="156" w:after="50" w:line="380" w:lineRule="exact"/>
        <w:rPr>
          <w:rFonts w:hint="eastAsia" w:ascii="宋体" w:hAnsi="宋体" w:cs="宋体"/>
          <w:color w:val="auto"/>
          <w:sz w:val="32"/>
          <w:szCs w:val="32"/>
          <w:highlight w:val="none"/>
        </w:rPr>
      </w:pPr>
    </w:p>
    <w:p w14:paraId="40952B2E">
      <w:pPr>
        <w:spacing w:before="156" w:after="50" w:line="380" w:lineRule="exact"/>
        <w:rPr>
          <w:rFonts w:hint="eastAsia" w:ascii="宋体" w:hAnsi="宋体" w:cs="宋体"/>
          <w:color w:val="auto"/>
          <w:sz w:val="32"/>
          <w:szCs w:val="32"/>
          <w:highlight w:val="none"/>
        </w:rPr>
      </w:pPr>
    </w:p>
    <w:p w14:paraId="0EBCCBB0">
      <w:pPr>
        <w:spacing w:before="156" w:after="50" w:line="38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760F545C">
      <w:pPr>
        <w:spacing w:before="156" w:after="50" w:line="380" w:lineRule="exact"/>
        <w:jc w:val="center"/>
        <w:rPr>
          <w:rFonts w:hint="eastAsia" w:ascii="宋体" w:hAnsi="宋体" w:cs="宋体"/>
          <w:bCs/>
          <w:color w:val="auto"/>
          <w:sz w:val="32"/>
          <w:szCs w:val="32"/>
          <w:highlight w:val="none"/>
        </w:rPr>
      </w:pPr>
      <w:r>
        <w:rPr>
          <w:rFonts w:hint="eastAsia" w:ascii="宋体" w:hAnsi="宋体" w:cs="宋体"/>
          <w:color w:val="auto"/>
          <w:sz w:val="32"/>
          <w:szCs w:val="32"/>
          <w:highlight w:val="none"/>
        </w:rPr>
        <w:br w:type="page"/>
      </w:r>
    </w:p>
    <w:p w14:paraId="4E582B41">
      <w:pPr>
        <w:spacing w:before="156" w:after="50" w:line="380" w:lineRule="exact"/>
        <w:rPr>
          <w:rFonts w:hint="eastAsia" w:ascii="宋体" w:hAnsi="宋体" w:cs="宋体"/>
          <w:b/>
          <w:bCs/>
          <w:color w:val="auto"/>
          <w:sz w:val="32"/>
          <w:szCs w:val="32"/>
          <w:highlight w:val="none"/>
        </w:rPr>
      </w:pPr>
      <w:bookmarkStart w:id="65" w:name="_Toc44229899"/>
      <w:bookmarkStart w:id="66" w:name="_Toc35611516"/>
      <w:bookmarkStart w:id="67" w:name="_Toc35611438"/>
      <w:bookmarkStart w:id="68" w:name="_Toc31723070"/>
      <w:bookmarkStart w:id="69" w:name="_Toc31728084"/>
      <w:r>
        <w:rPr>
          <w:rFonts w:hint="eastAsia" w:ascii="宋体" w:hAnsi="宋体" w:cs="宋体"/>
          <w:b/>
          <w:bCs/>
          <w:color w:val="auto"/>
          <w:sz w:val="32"/>
          <w:szCs w:val="32"/>
          <w:highlight w:val="none"/>
        </w:rPr>
        <w:t>一、资格证明文件格式</w:t>
      </w:r>
      <w:bookmarkEnd w:id="65"/>
      <w:bookmarkEnd w:id="66"/>
      <w:bookmarkEnd w:id="67"/>
      <w:bookmarkEnd w:id="68"/>
      <w:bookmarkEnd w:id="69"/>
    </w:p>
    <w:p w14:paraId="2BD8FF65">
      <w:pPr>
        <w:spacing w:before="156" w:after="50" w:line="380" w:lineRule="exact"/>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181C482B">
      <w:pPr>
        <w:spacing w:before="156" w:after="50" w:line="38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正本/副本</w:t>
      </w:r>
    </w:p>
    <w:p w14:paraId="5C1AA70D">
      <w:pPr>
        <w:spacing w:before="156" w:after="50" w:line="380" w:lineRule="exact"/>
        <w:rPr>
          <w:rFonts w:hint="eastAsia" w:ascii="宋体" w:hAnsi="宋体" w:cs="宋体"/>
          <w:color w:val="auto"/>
          <w:sz w:val="24"/>
          <w:szCs w:val="20"/>
          <w:highlight w:val="none"/>
        </w:rPr>
      </w:pPr>
    </w:p>
    <w:p w14:paraId="56828BA4">
      <w:pPr>
        <w:spacing w:before="156" w:after="50" w:line="380" w:lineRule="exact"/>
        <w:rPr>
          <w:rFonts w:hint="eastAsia" w:ascii="宋体" w:hAnsi="宋体" w:cs="宋体"/>
          <w:color w:val="auto"/>
          <w:sz w:val="24"/>
          <w:szCs w:val="20"/>
          <w:highlight w:val="none"/>
        </w:rPr>
      </w:pPr>
    </w:p>
    <w:p w14:paraId="2A400029">
      <w:pPr>
        <w:spacing w:before="156" w:after="50" w:line="38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6C6E9453">
      <w:pPr>
        <w:spacing w:before="156" w:after="50" w:line="380" w:lineRule="exact"/>
        <w:rPr>
          <w:rFonts w:hint="eastAsia" w:ascii="宋体" w:hAnsi="宋体" w:cs="宋体"/>
          <w:bCs/>
          <w:color w:val="auto"/>
          <w:sz w:val="24"/>
          <w:szCs w:val="20"/>
          <w:highlight w:val="none"/>
        </w:rPr>
      </w:pPr>
    </w:p>
    <w:p w14:paraId="66EC19E7">
      <w:pPr>
        <w:spacing w:before="156" w:after="50" w:line="380" w:lineRule="exact"/>
        <w:rPr>
          <w:rFonts w:hint="eastAsia" w:ascii="宋体" w:hAnsi="宋体" w:cs="宋体"/>
          <w:bCs/>
          <w:color w:val="auto"/>
          <w:sz w:val="24"/>
          <w:szCs w:val="20"/>
          <w:highlight w:val="none"/>
        </w:rPr>
      </w:pPr>
    </w:p>
    <w:p w14:paraId="57FA06FE">
      <w:pPr>
        <w:spacing w:before="156" w:after="50" w:line="380" w:lineRule="exact"/>
        <w:rPr>
          <w:rFonts w:hint="eastAsia" w:ascii="宋体" w:hAnsi="宋体" w:cs="宋体"/>
          <w:bCs/>
          <w:color w:val="auto"/>
          <w:sz w:val="24"/>
          <w:szCs w:val="20"/>
          <w:highlight w:val="none"/>
        </w:rPr>
      </w:pPr>
    </w:p>
    <w:p w14:paraId="6B91FBC9">
      <w:pPr>
        <w:spacing w:before="156" w:after="50" w:line="380" w:lineRule="exact"/>
        <w:rPr>
          <w:rFonts w:hint="eastAsia" w:ascii="宋体" w:hAnsi="宋体" w:cs="宋体"/>
          <w:bCs/>
          <w:color w:val="auto"/>
          <w:sz w:val="24"/>
          <w:szCs w:val="20"/>
          <w:highlight w:val="none"/>
        </w:rPr>
      </w:pPr>
    </w:p>
    <w:p w14:paraId="60830045">
      <w:pPr>
        <w:spacing w:before="156" w:after="50" w:line="380" w:lineRule="exact"/>
        <w:rPr>
          <w:rFonts w:hint="eastAsia" w:ascii="宋体" w:hAnsi="宋体" w:cs="宋体"/>
          <w:bCs/>
          <w:color w:val="auto"/>
          <w:sz w:val="24"/>
          <w:szCs w:val="20"/>
          <w:highlight w:val="none"/>
        </w:rPr>
      </w:pPr>
    </w:p>
    <w:p w14:paraId="07C764D1">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DE9769F">
      <w:pPr>
        <w:spacing w:before="156" w:after="50" w:line="380" w:lineRule="exact"/>
        <w:ind w:firstLine="720"/>
        <w:rPr>
          <w:rFonts w:hint="eastAsia" w:ascii="宋体" w:hAnsi="宋体" w:cs="宋体"/>
          <w:bCs/>
          <w:color w:val="auto"/>
          <w:sz w:val="32"/>
          <w:szCs w:val="32"/>
          <w:highlight w:val="none"/>
        </w:rPr>
      </w:pPr>
    </w:p>
    <w:p w14:paraId="115E88A5">
      <w:pPr>
        <w:spacing w:before="156" w:after="50" w:line="380" w:lineRule="exact"/>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28181F6">
      <w:pPr>
        <w:spacing w:before="156" w:after="50" w:line="380" w:lineRule="exact"/>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E36F359">
      <w:pPr>
        <w:spacing w:before="156" w:after="50" w:line="380" w:lineRule="exact"/>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9918291">
      <w:pPr>
        <w:spacing w:before="156" w:after="50" w:line="380" w:lineRule="exact"/>
        <w:ind w:firstLine="720"/>
        <w:rPr>
          <w:rFonts w:hint="eastAsia" w:ascii="宋体" w:hAnsi="宋体" w:cs="宋体"/>
          <w:bCs/>
          <w:color w:val="auto"/>
          <w:sz w:val="32"/>
          <w:szCs w:val="32"/>
          <w:highlight w:val="none"/>
        </w:rPr>
      </w:pPr>
    </w:p>
    <w:p w14:paraId="6025FF9A">
      <w:pPr>
        <w:pStyle w:val="7"/>
        <w:spacing w:before="50" w:after="50" w:line="380" w:lineRule="exact"/>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FFA1B8B">
      <w:pPr>
        <w:pStyle w:val="7"/>
        <w:spacing w:before="50" w:after="50" w:line="380" w:lineRule="exact"/>
        <w:ind w:firstLine="720"/>
        <w:rPr>
          <w:rFonts w:hint="eastAsia" w:ascii="宋体" w:hAnsi="宋体" w:cs="宋体"/>
          <w:bCs/>
          <w:color w:val="auto"/>
          <w:sz w:val="32"/>
          <w:szCs w:val="32"/>
          <w:highlight w:val="none"/>
        </w:rPr>
      </w:pPr>
    </w:p>
    <w:p w14:paraId="1F936126">
      <w:pPr>
        <w:pStyle w:val="7"/>
        <w:spacing w:before="50" w:after="50" w:line="380" w:lineRule="exact"/>
        <w:ind w:firstLine="720"/>
        <w:rPr>
          <w:rFonts w:hint="eastAsia" w:ascii="宋体" w:hAnsi="宋体" w:cs="宋体"/>
          <w:bCs/>
          <w:color w:val="auto"/>
          <w:sz w:val="32"/>
          <w:szCs w:val="32"/>
          <w:highlight w:val="none"/>
        </w:rPr>
      </w:pPr>
    </w:p>
    <w:p w14:paraId="12A7A6F1">
      <w:pPr>
        <w:pStyle w:val="7"/>
        <w:spacing w:before="50" w:after="50" w:line="380" w:lineRule="exact"/>
        <w:ind w:firstLine="720"/>
        <w:rPr>
          <w:rFonts w:hint="eastAsia" w:ascii="宋体" w:hAnsi="宋体" w:cs="宋体"/>
          <w:bCs/>
          <w:color w:val="auto"/>
          <w:sz w:val="32"/>
          <w:szCs w:val="32"/>
          <w:highlight w:val="none"/>
        </w:rPr>
      </w:pPr>
    </w:p>
    <w:p w14:paraId="704B4694">
      <w:pPr>
        <w:pStyle w:val="7"/>
        <w:spacing w:before="50" w:after="50" w:line="380" w:lineRule="exact"/>
        <w:ind w:firstLine="1280"/>
        <w:rPr>
          <w:rFonts w:hint="eastAsia" w:ascii="宋体" w:hAnsi="宋体" w:cs="宋体"/>
          <w:bCs/>
          <w:color w:val="auto"/>
          <w:sz w:val="32"/>
          <w:szCs w:val="32"/>
          <w:highlight w:val="none"/>
        </w:rPr>
      </w:pPr>
    </w:p>
    <w:p w14:paraId="6C2A20C6">
      <w:pPr>
        <w:spacing w:before="156" w:after="50" w:line="38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02E96EF7">
      <w:pPr>
        <w:spacing w:before="156" w:after="50" w:line="380" w:lineRule="exact"/>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39590851">
      <w:pPr>
        <w:spacing w:before="156" w:after="50" w:line="380" w:lineRule="exact"/>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0833164B">
      <w:pPr>
        <w:spacing w:line="380" w:lineRule="exact"/>
        <w:rPr>
          <w:rFonts w:hint="eastAsia" w:ascii="宋体" w:hAnsi="宋体" w:cs="宋体"/>
          <w:color w:val="auto"/>
          <w:sz w:val="21"/>
          <w:szCs w:val="21"/>
          <w:highlight w:val="none"/>
        </w:rPr>
      </w:pPr>
    </w:p>
    <w:p w14:paraId="7BD17E6D">
      <w:pPr>
        <w:spacing w:line="380" w:lineRule="exact"/>
        <w:rPr>
          <w:rFonts w:hint="eastAsia" w:ascii="宋体" w:hAnsi="宋体" w:cs="宋体"/>
          <w:color w:val="auto"/>
          <w:sz w:val="21"/>
          <w:szCs w:val="21"/>
          <w:highlight w:val="none"/>
        </w:rPr>
      </w:pPr>
    </w:p>
    <w:p w14:paraId="428E1816">
      <w:pPr>
        <w:spacing w:line="380" w:lineRule="exac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r>
        <w:rPr>
          <w:rFonts w:hint="eastAsia" w:ascii="宋体" w:hAnsi="宋体" w:cs="宋体"/>
          <w:color w:val="auto"/>
          <w:sz w:val="21"/>
          <w:szCs w:val="21"/>
          <w:highlight w:val="none"/>
        </w:rPr>
        <w:t xml:space="preserve"> </w:t>
      </w:r>
    </w:p>
    <w:p w14:paraId="782BF432">
      <w:pPr>
        <w:spacing w:before="156" w:after="50" w:line="380" w:lineRule="exact"/>
        <w:ind w:right="482" w:firstLine="210"/>
        <w:contextualSpacing/>
        <w:jc w:val="center"/>
        <w:rPr>
          <w:rFonts w:hint="eastAsia" w:ascii="宋体" w:hAnsi="宋体" w:cs="宋体"/>
          <w:color w:val="auto"/>
          <w:sz w:val="21"/>
          <w:szCs w:val="21"/>
          <w:highlight w:val="none"/>
        </w:rPr>
      </w:pPr>
    </w:p>
    <w:p w14:paraId="630A7B9D">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05DD72DE">
      <w:pPr>
        <w:spacing w:before="156" w:after="50" w:line="380" w:lineRule="exact"/>
        <w:jc w:val="center"/>
        <w:rPr>
          <w:rFonts w:hint="eastAsia" w:ascii="宋体" w:hAnsi="宋体" w:cs="宋体"/>
          <w:b/>
          <w:color w:val="auto"/>
          <w:sz w:val="24"/>
          <w:highlight w:val="none"/>
        </w:rPr>
      </w:pPr>
    </w:p>
    <w:p w14:paraId="3F234263">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7CE110F2">
      <w:pPr>
        <w:spacing w:before="50" w:after="156" w:line="380" w:lineRule="exact"/>
        <w:jc w:val="center"/>
        <w:rPr>
          <w:rFonts w:hint="eastAsia" w:ascii="宋体" w:hAnsi="宋体" w:cs="宋体"/>
          <w:b/>
          <w:color w:val="auto"/>
          <w:sz w:val="24"/>
          <w:highlight w:val="none"/>
        </w:rPr>
      </w:pPr>
    </w:p>
    <w:tbl>
      <w:tblPr>
        <w:tblStyle w:val="4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4BA6B79">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CD1238">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FF6506">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51DF2A">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95E23E">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CBEFE8">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547CD6A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3EAAED">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72D679">
            <w:pPr>
              <w:widowControl/>
              <w:spacing w:line="380" w:lineRule="exact"/>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1705C5">
            <w:pPr>
              <w:widowControl/>
              <w:spacing w:line="380" w:lineRule="exact"/>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E00789">
            <w:pPr>
              <w:widowControl/>
              <w:spacing w:line="380" w:lineRule="exact"/>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866B56">
            <w:pPr>
              <w:widowControl/>
              <w:spacing w:line="380" w:lineRule="exact"/>
              <w:jc w:val="center"/>
              <w:rPr>
                <w:rFonts w:hint="eastAsia" w:ascii="宋体" w:hAnsi="宋体" w:cs="宋体"/>
                <w:color w:val="auto"/>
                <w:sz w:val="24"/>
                <w:highlight w:val="none"/>
              </w:rPr>
            </w:pPr>
          </w:p>
        </w:tc>
      </w:tr>
      <w:tr w14:paraId="73BF18F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7FE9ED">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AF1848">
            <w:pPr>
              <w:widowControl/>
              <w:spacing w:line="380" w:lineRule="exact"/>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71FB3E">
            <w:pPr>
              <w:widowControl/>
              <w:spacing w:line="380" w:lineRule="exact"/>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45E2C9">
            <w:pPr>
              <w:widowControl/>
              <w:spacing w:line="380" w:lineRule="exact"/>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620523">
            <w:pPr>
              <w:widowControl/>
              <w:spacing w:line="380" w:lineRule="exact"/>
              <w:jc w:val="center"/>
              <w:rPr>
                <w:rFonts w:hint="eastAsia" w:ascii="宋体" w:hAnsi="宋体" w:cs="宋体"/>
                <w:color w:val="auto"/>
                <w:sz w:val="24"/>
                <w:highlight w:val="none"/>
              </w:rPr>
            </w:pPr>
          </w:p>
        </w:tc>
      </w:tr>
      <w:tr w14:paraId="3DFF1AC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D7A616">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BC0CDB">
            <w:pPr>
              <w:widowControl/>
              <w:spacing w:line="380" w:lineRule="exact"/>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1DF29">
            <w:pPr>
              <w:widowControl/>
              <w:spacing w:line="380" w:lineRule="exact"/>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922BC6">
            <w:pPr>
              <w:widowControl/>
              <w:spacing w:line="380" w:lineRule="exact"/>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C1175C">
            <w:pPr>
              <w:widowControl/>
              <w:spacing w:line="380" w:lineRule="exact"/>
              <w:jc w:val="center"/>
              <w:rPr>
                <w:rFonts w:hint="eastAsia" w:ascii="宋体" w:hAnsi="宋体" w:cs="宋体"/>
                <w:color w:val="auto"/>
                <w:sz w:val="24"/>
                <w:highlight w:val="none"/>
              </w:rPr>
            </w:pPr>
          </w:p>
        </w:tc>
      </w:tr>
      <w:tr w14:paraId="6C54E4F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06F2F9">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FF9B5A">
            <w:pPr>
              <w:widowControl/>
              <w:spacing w:line="380" w:lineRule="exact"/>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C926">
            <w:pPr>
              <w:widowControl/>
              <w:spacing w:line="380" w:lineRule="exact"/>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F9BA1">
            <w:pPr>
              <w:widowControl/>
              <w:spacing w:line="380" w:lineRule="exact"/>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17F570">
            <w:pPr>
              <w:widowControl/>
              <w:spacing w:line="380" w:lineRule="exact"/>
              <w:jc w:val="center"/>
              <w:rPr>
                <w:rFonts w:hint="eastAsia" w:ascii="宋体" w:hAnsi="宋体" w:cs="宋体"/>
                <w:color w:val="auto"/>
                <w:sz w:val="24"/>
                <w:highlight w:val="none"/>
              </w:rPr>
            </w:pPr>
          </w:p>
        </w:tc>
      </w:tr>
    </w:tbl>
    <w:p w14:paraId="4EFBF1E3">
      <w:pPr>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注：</w:t>
      </w:r>
    </w:p>
    <w:p w14:paraId="552CD91D">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FCA05B">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505B420">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8B5D3BE">
      <w:pPr>
        <w:spacing w:line="380" w:lineRule="exact"/>
        <w:jc w:val="left"/>
        <w:rPr>
          <w:rFonts w:hint="eastAsia" w:ascii="宋体" w:hAnsi="宋体" w:cs="宋体"/>
          <w:color w:val="auto"/>
          <w:sz w:val="24"/>
          <w:highlight w:val="none"/>
        </w:rPr>
      </w:pPr>
    </w:p>
    <w:p w14:paraId="496C7883">
      <w:pPr>
        <w:spacing w:line="380" w:lineRule="exact"/>
        <w:jc w:val="left"/>
        <w:rPr>
          <w:rFonts w:hint="eastAsia" w:ascii="宋体" w:hAnsi="宋体" w:cs="宋体"/>
          <w:color w:val="auto"/>
          <w:sz w:val="24"/>
          <w:highlight w:val="none"/>
        </w:rPr>
      </w:pPr>
    </w:p>
    <w:p w14:paraId="04C3E48B">
      <w:pPr>
        <w:spacing w:line="380" w:lineRule="exact"/>
        <w:jc w:val="left"/>
        <w:rPr>
          <w:rFonts w:hint="eastAsia" w:ascii="宋体" w:hAnsi="宋体" w:cs="宋体"/>
          <w:color w:val="auto"/>
          <w:sz w:val="24"/>
          <w:highlight w:val="none"/>
        </w:rPr>
      </w:pPr>
    </w:p>
    <w:p w14:paraId="1D1D4B61">
      <w:pPr>
        <w:spacing w:before="156" w:line="380" w:lineRule="exact"/>
        <w:ind w:right="480" w:firstLine="192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4940FC2A">
      <w:pPr>
        <w:spacing w:before="156" w:after="50" w:line="380" w:lineRule="exact"/>
        <w:ind w:right="480" w:firstLine="3000"/>
        <w:rPr>
          <w:rFonts w:hint="eastAsia"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14:paraId="7F37EAD6">
      <w:pPr>
        <w:spacing w:before="156" w:after="50" w:line="380" w:lineRule="exact"/>
        <w:ind w:right="480" w:firstLine="528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4525740">
      <w:pPr>
        <w:spacing w:line="38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AD0F82C">
      <w:pPr>
        <w:spacing w:line="3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12F07795">
      <w:pPr>
        <w:spacing w:line="380" w:lineRule="exact"/>
        <w:jc w:val="center"/>
        <w:rPr>
          <w:rFonts w:hint="eastAsia" w:ascii="宋体" w:hAnsi="宋体" w:cs="宋体"/>
          <w:b/>
          <w:color w:val="auto"/>
          <w:sz w:val="24"/>
          <w:highlight w:val="none"/>
        </w:rPr>
      </w:pPr>
    </w:p>
    <w:tbl>
      <w:tblPr>
        <w:tblStyle w:val="4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7DFBFB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3FDD4">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82840">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D5F9F9">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50713">
            <w:pPr>
              <w:widowControl/>
              <w:spacing w:line="38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0E9252D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92C05E">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177F30">
            <w:pPr>
              <w:widowControl/>
              <w:spacing w:line="380" w:lineRule="exact"/>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F59D62">
            <w:pPr>
              <w:widowControl/>
              <w:spacing w:line="380" w:lineRule="exact"/>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E8B4FE">
            <w:pPr>
              <w:widowControl/>
              <w:spacing w:line="380" w:lineRule="exact"/>
              <w:jc w:val="center"/>
              <w:rPr>
                <w:rFonts w:hint="eastAsia" w:ascii="宋体" w:hAnsi="宋体" w:cs="宋体"/>
                <w:color w:val="auto"/>
                <w:sz w:val="24"/>
                <w:highlight w:val="none"/>
              </w:rPr>
            </w:pPr>
          </w:p>
        </w:tc>
      </w:tr>
      <w:tr w14:paraId="7DFEF4E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D94EE">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4590B4">
            <w:pPr>
              <w:widowControl/>
              <w:spacing w:line="380" w:lineRule="exact"/>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BED72A">
            <w:pPr>
              <w:widowControl/>
              <w:spacing w:line="380" w:lineRule="exact"/>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A01C10">
            <w:pPr>
              <w:widowControl/>
              <w:spacing w:line="380" w:lineRule="exact"/>
              <w:jc w:val="center"/>
              <w:rPr>
                <w:rFonts w:hint="eastAsia" w:ascii="宋体" w:hAnsi="宋体" w:cs="宋体"/>
                <w:color w:val="auto"/>
                <w:sz w:val="24"/>
                <w:highlight w:val="none"/>
              </w:rPr>
            </w:pPr>
          </w:p>
        </w:tc>
      </w:tr>
      <w:tr w14:paraId="25DE750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DBADB6">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CB68A2">
            <w:pPr>
              <w:widowControl/>
              <w:spacing w:line="380" w:lineRule="exact"/>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1280BB">
            <w:pPr>
              <w:widowControl/>
              <w:spacing w:line="380" w:lineRule="exact"/>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9BC380">
            <w:pPr>
              <w:widowControl/>
              <w:spacing w:line="380" w:lineRule="exact"/>
              <w:jc w:val="center"/>
              <w:rPr>
                <w:rFonts w:hint="eastAsia" w:ascii="宋体" w:hAnsi="宋体" w:cs="宋体"/>
                <w:color w:val="auto"/>
                <w:sz w:val="24"/>
                <w:highlight w:val="none"/>
              </w:rPr>
            </w:pPr>
          </w:p>
        </w:tc>
      </w:tr>
      <w:tr w14:paraId="467E382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E56E37">
            <w:pPr>
              <w:widowControl/>
              <w:spacing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260B8">
            <w:pPr>
              <w:widowControl/>
              <w:spacing w:line="380" w:lineRule="exact"/>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34F6D">
            <w:pPr>
              <w:widowControl/>
              <w:spacing w:line="380" w:lineRule="exact"/>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FAE05">
            <w:pPr>
              <w:widowControl/>
              <w:spacing w:line="380" w:lineRule="exact"/>
              <w:jc w:val="center"/>
              <w:rPr>
                <w:rFonts w:hint="eastAsia" w:ascii="宋体" w:hAnsi="宋体" w:cs="宋体"/>
                <w:color w:val="auto"/>
                <w:sz w:val="24"/>
                <w:highlight w:val="none"/>
              </w:rPr>
            </w:pPr>
          </w:p>
        </w:tc>
      </w:tr>
    </w:tbl>
    <w:p w14:paraId="6F651C92">
      <w:pPr>
        <w:spacing w:line="380" w:lineRule="exact"/>
        <w:jc w:val="left"/>
        <w:rPr>
          <w:rFonts w:hint="eastAsia" w:ascii="宋体" w:hAnsi="宋体" w:cs="宋体"/>
          <w:color w:val="auto"/>
          <w:sz w:val="24"/>
          <w:highlight w:val="none"/>
        </w:rPr>
      </w:pPr>
      <w:r>
        <w:rPr>
          <w:rFonts w:hint="eastAsia" w:ascii="宋体" w:hAnsi="宋体" w:cs="宋体"/>
          <w:color w:val="auto"/>
          <w:sz w:val="24"/>
          <w:highlight w:val="none"/>
        </w:rPr>
        <w:t>注：</w:t>
      </w:r>
    </w:p>
    <w:p w14:paraId="4E4CF2F0">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36228C11">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2F1D7C76">
      <w:pPr>
        <w:spacing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207D7712">
      <w:pPr>
        <w:spacing w:line="380" w:lineRule="exact"/>
        <w:jc w:val="left"/>
        <w:rPr>
          <w:rFonts w:hint="eastAsia" w:ascii="宋体" w:hAnsi="宋体" w:cs="宋体"/>
          <w:color w:val="auto"/>
          <w:sz w:val="24"/>
          <w:highlight w:val="none"/>
        </w:rPr>
      </w:pPr>
    </w:p>
    <w:p w14:paraId="03B0B934">
      <w:pPr>
        <w:spacing w:line="380" w:lineRule="exact"/>
        <w:jc w:val="left"/>
        <w:rPr>
          <w:rFonts w:hint="eastAsia" w:ascii="宋体" w:hAnsi="宋体" w:cs="宋体"/>
          <w:color w:val="auto"/>
          <w:sz w:val="24"/>
          <w:highlight w:val="none"/>
        </w:rPr>
      </w:pPr>
    </w:p>
    <w:p w14:paraId="4C0DAB3C">
      <w:pPr>
        <w:spacing w:line="380" w:lineRule="exact"/>
        <w:jc w:val="left"/>
        <w:rPr>
          <w:rFonts w:hint="eastAsia" w:ascii="宋体" w:hAnsi="宋体" w:cs="宋体"/>
          <w:color w:val="auto"/>
          <w:sz w:val="24"/>
          <w:highlight w:val="none"/>
        </w:rPr>
      </w:pPr>
    </w:p>
    <w:p w14:paraId="33B90679">
      <w:pPr>
        <w:spacing w:line="380" w:lineRule="exact"/>
        <w:jc w:val="left"/>
        <w:rPr>
          <w:rFonts w:hint="eastAsia" w:ascii="宋体" w:hAnsi="宋体" w:cs="宋体"/>
          <w:color w:val="auto"/>
          <w:sz w:val="24"/>
          <w:highlight w:val="none"/>
        </w:rPr>
      </w:pPr>
    </w:p>
    <w:p w14:paraId="4A7BC51C">
      <w:pPr>
        <w:spacing w:line="380" w:lineRule="exact"/>
        <w:jc w:val="left"/>
        <w:rPr>
          <w:rFonts w:hint="eastAsia" w:ascii="宋体" w:hAnsi="宋体" w:cs="宋体"/>
          <w:color w:val="auto"/>
          <w:sz w:val="24"/>
          <w:highlight w:val="none"/>
        </w:rPr>
      </w:pPr>
    </w:p>
    <w:p w14:paraId="4B5DC97B">
      <w:pPr>
        <w:spacing w:line="380" w:lineRule="exact"/>
        <w:jc w:val="left"/>
        <w:rPr>
          <w:rFonts w:hint="eastAsia" w:ascii="宋体" w:hAnsi="宋体" w:cs="宋体"/>
          <w:color w:val="auto"/>
          <w:sz w:val="24"/>
          <w:highlight w:val="none"/>
        </w:rPr>
      </w:pPr>
    </w:p>
    <w:p w14:paraId="2DFD3BC5">
      <w:pPr>
        <w:spacing w:before="156" w:line="380" w:lineRule="exact"/>
        <w:ind w:right="480" w:firstLine="216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2FC332DD">
      <w:pPr>
        <w:spacing w:before="156" w:after="50" w:line="380" w:lineRule="exact"/>
        <w:ind w:right="480" w:firstLine="3360"/>
        <w:rPr>
          <w:rFonts w:hint="eastAsia" w:ascii="宋体" w:hAnsi="宋体" w:cs="宋体"/>
          <w:color w:val="auto"/>
          <w:sz w:val="24"/>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137D59EE">
      <w:pPr>
        <w:spacing w:before="156" w:after="50" w:line="380" w:lineRule="exact"/>
        <w:ind w:right="480" w:firstLine="240"/>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6EB863A4">
      <w:pPr>
        <w:spacing w:line="38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0380B9D6">
      <w:pPr>
        <w:spacing w:line="380" w:lineRule="exact"/>
        <w:jc w:val="center"/>
        <w:rPr>
          <w:rFonts w:hint="eastAsia" w:ascii="宋体" w:hAnsi="宋体" w:cs="宋体"/>
          <w:color w:val="auto"/>
          <w:sz w:val="24"/>
          <w:szCs w:val="20"/>
          <w:highlight w:val="none"/>
        </w:rPr>
      </w:pPr>
    </w:p>
    <w:p w14:paraId="2D5B8740">
      <w:pPr>
        <w:spacing w:before="156" w:after="50" w:line="380" w:lineRule="exact"/>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278D932E">
      <w:pPr>
        <w:spacing w:before="156" w:after="50"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43F5B51">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E00C3CA">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6CA166E">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867A1DF">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A8D5EA4">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469C0CD">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4FBA60B">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65EA909">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47D5BA46">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010F88D">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6E3270EC">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295222C">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EA0F9F0">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7FB00EA">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A95D34A">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6B9FF91">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5A9D75A">
      <w:pPr>
        <w:spacing w:before="156"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A017C72">
      <w:pPr>
        <w:spacing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25395A78">
      <w:pPr>
        <w:spacing w:line="380" w:lineRule="exact"/>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45FCCD">
      <w:pPr>
        <w:pStyle w:val="23"/>
        <w:spacing w:line="380" w:lineRule="exact"/>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16E53A9">
      <w:pPr>
        <w:pStyle w:val="23"/>
        <w:spacing w:line="380" w:lineRule="exact"/>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7085510">
      <w:pPr>
        <w:pStyle w:val="20"/>
        <w:tabs>
          <w:tab w:val="left" w:pos="939"/>
        </w:tabs>
        <w:spacing w:line="380" w:lineRule="exact"/>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3D1C22A8">
      <w:pPr>
        <w:pStyle w:val="20"/>
        <w:tabs>
          <w:tab w:val="left" w:pos="939"/>
        </w:tabs>
        <w:spacing w:line="380" w:lineRule="exact"/>
        <w:ind w:left="0" w:firstLine="48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B30ADC2">
      <w:pPr>
        <w:pStyle w:val="20"/>
        <w:tabs>
          <w:tab w:val="left" w:pos="939"/>
        </w:tabs>
        <w:spacing w:line="380" w:lineRule="exact"/>
        <w:ind w:left="141" w:firstLine="360"/>
        <w:rPr>
          <w:rFonts w:hint="eastAsia" w:ascii="宋体" w:hAnsi="宋体" w:cs="宋体"/>
          <w:color w:val="auto"/>
          <w:sz w:val="24"/>
          <w:highlight w:val="none"/>
        </w:rPr>
      </w:pPr>
      <w:r>
        <w:rPr>
          <w:rFonts w:hint="eastAsia" w:ascii="宋体" w:hAnsi="宋体" w:cs="宋体"/>
          <w:color w:val="auto"/>
          <w:sz w:val="24"/>
          <w:highlight w:val="none"/>
        </w:rPr>
        <w:t>特此承诺。</w:t>
      </w:r>
    </w:p>
    <w:p w14:paraId="47BA76AE">
      <w:pPr>
        <w:pStyle w:val="20"/>
        <w:tabs>
          <w:tab w:val="left" w:pos="939"/>
        </w:tabs>
        <w:spacing w:line="380" w:lineRule="exact"/>
        <w:ind w:left="0" w:firstLine="480"/>
        <w:rPr>
          <w:rFonts w:hint="eastAsia"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37F7D471">
      <w:pPr>
        <w:spacing w:line="380" w:lineRule="exact"/>
        <w:ind w:firstLine="4320"/>
        <w:rPr>
          <w:rFonts w:hint="eastAsia"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564784A">
      <w:pPr>
        <w:spacing w:line="380" w:lineRule="exact"/>
        <w:ind w:firstLine="4320"/>
        <w:rPr>
          <w:rFonts w:hint="eastAsia" w:ascii="宋体" w:hAnsi="宋体" w:cs="宋体"/>
          <w:color w:val="auto"/>
          <w:sz w:val="24"/>
          <w:highlight w:val="none"/>
          <w:u w:val="singl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7503E89C">
      <w:pPr>
        <w:spacing w:before="156" w:after="50" w:line="380" w:lineRule="exact"/>
        <w:ind w:right="480" w:firstLine="240"/>
        <w:jc w:val="center"/>
        <w:rPr>
          <w:rFonts w:hint="eastAsia" w:ascii="宋体" w:hAnsi="宋体" w:cs="宋体"/>
          <w:color w:val="auto"/>
          <w:sz w:val="28"/>
          <w:szCs w:val="28"/>
          <w:highlight w:val="none"/>
        </w:rPr>
      </w:pPr>
      <w:r>
        <w:rPr>
          <w:rFonts w:hint="eastAsia" w:ascii="宋体" w:hAnsi="宋体" w:cs="宋体"/>
          <w:color w:val="auto"/>
          <w:sz w:val="24"/>
          <w:highlight w:val="none"/>
        </w:rPr>
        <w:t xml:space="preserve">                                                   年    月    日</w:t>
      </w:r>
    </w:p>
    <w:p w14:paraId="4BE9D766">
      <w:pPr>
        <w:spacing w:before="120" w:after="50"/>
        <w:jc w:val="left"/>
        <w:rPr>
          <w:rFonts w:hint="eastAsia" w:ascii="仿宋" w:hAnsi="仿宋" w:eastAsia="仿宋"/>
          <w:b/>
          <w:color w:val="auto"/>
          <w:sz w:val="24"/>
          <w:highlight w:val="none"/>
        </w:rPr>
      </w:pPr>
    </w:p>
    <w:p w14:paraId="63A11DE1">
      <w:pPr>
        <w:spacing w:before="120" w:after="50"/>
        <w:jc w:val="left"/>
        <w:rPr>
          <w:rFonts w:hint="eastAsia" w:ascii="仿宋" w:hAnsi="仿宋" w:eastAsia="仿宋"/>
          <w:b/>
          <w:color w:val="auto"/>
          <w:sz w:val="24"/>
          <w:highlight w:val="none"/>
        </w:rPr>
      </w:pPr>
    </w:p>
    <w:p w14:paraId="7EB6E57E">
      <w:pPr>
        <w:spacing w:before="120" w:after="50"/>
        <w:jc w:val="left"/>
        <w:rPr>
          <w:rFonts w:hint="eastAsia" w:ascii="仿宋" w:hAnsi="仿宋" w:eastAsia="仿宋"/>
          <w:b/>
          <w:color w:val="auto"/>
          <w:sz w:val="24"/>
          <w:highlight w:val="none"/>
        </w:rPr>
      </w:pPr>
    </w:p>
    <w:p w14:paraId="1E140B0D">
      <w:pPr>
        <w:spacing w:before="120" w:after="50"/>
        <w:jc w:val="left"/>
        <w:rPr>
          <w:rFonts w:hint="eastAsia" w:ascii="仿宋" w:hAnsi="仿宋" w:eastAsia="仿宋"/>
          <w:b/>
          <w:color w:val="auto"/>
          <w:sz w:val="24"/>
          <w:highlight w:val="none"/>
        </w:rPr>
      </w:pPr>
    </w:p>
    <w:p w14:paraId="4ABE4726">
      <w:pPr>
        <w:spacing w:before="120" w:after="50"/>
        <w:jc w:val="left"/>
        <w:rPr>
          <w:rFonts w:hint="eastAsia" w:ascii="仿宋" w:hAnsi="仿宋" w:eastAsia="仿宋"/>
          <w:b/>
          <w:color w:val="auto"/>
          <w:sz w:val="24"/>
          <w:highlight w:val="none"/>
        </w:rPr>
      </w:pPr>
    </w:p>
    <w:p w14:paraId="2AE1B298">
      <w:pPr>
        <w:spacing w:before="120" w:after="50"/>
        <w:jc w:val="left"/>
        <w:rPr>
          <w:rFonts w:hint="eastAsia" w:ascii="仿宋" w:hAnsi="仿宋" w:eastAsia="仿宋"/>
          <w:b/>
          <w:color w:val="auto"/>
          <w:sz w:val="24"/>
          <w:highlight w:val="none"/>
        </w:rPr>
      </w:pPr>
    </w:p>
    <w:p w14:paraId="10D1D184">
      <w:pPr>
        <w:spacing w:before="120" w:after="50"/>
        <w:jc w:val="left"/>
        <w:rPr>
          <w:rFonts w:hint="eastAsia" w:ascii="仿宋" w:hAnsi="仿宋" w:eastAsia="仿宋"/>
          <w:b/>
          <w:color w:val="auto"/>
          <w:sz w:val="24"/>
          <w:highlight w:val="none"/>
        </w:rPr>
      </w:pPr>
    </w:p>
    <w:p w14:paraId="03F3FBBE">
      <w:pPr>
        <w:spacing w:before="120" w:after="50"/>
        <w:jc w:val="left"/>
        <w:rPr>
          <w:rFonts w:hint="eastAsia" w:ascii="仿宋" w:hAnsi="仿宋" w:eastAsia="仿宋"/>
          <w:b/>
          <w:color w:val="auto"/>
          <w:sz w:val="24"/>
          <w:highlight w:val="none"/>
        </w:rPr>
      </w:pPr>
    </w:p>
    <w:p w14:paraId="1D979F7B">
      <w:pPr>
        <w:spacing w:before="120" w:after="50"/>
        <w:jc w:val="left"/>
        <w:rPr>
          <w:rFonts w:hint="eastAsia" w:ascii="仿宋" w:hAnsi="仿宋" w:eastAsia="仿宋"/>
          <w:b/>
          <w:color w:val="auto"/>
          <w:sz w:val="24"/>
          <w:highlight w:val="none"/>
        </w:rPr>
      </w:pPr>
    </w:p>
    <w:p w14:paraId="5DE8B77E">
      <w:pPr>
        <w:spacing w:before="120" w:after="50"/>
        <w:jc w:val="left"/>
        <w:rPr>
          <w:rFonts w:hint="eastAsia" w:ascii="仿宋" w:hAnsi="仿宋" w:eastAsia="仿宋"/>
          <w:b/>
          <w:color w:val="auto"/>
          <w:sz w:val="24"/>
          <w:highlight w:val="none"/>
        </w:rPr>
      </w:pPr>
    </w:p>
    <w:p w14:paraId="7B456328">
      <w:pPr>
        <w:spacing w:before="120" w:after="50"/>
        <w:jc w:val="left"/>
        <w:rPr>
          <w:rFonts w:hint="eastAsia" w:ascii="仿宋" w:hAnsi="仿宋" w:eastAsia="仿宋"/>
          <w:b/>
          <w:color w:val="auto"/>
          <w:sz w:val="24"/>
          <w:highlight w:val="none"/>
        </w:rPr>
      </w:pPr>
    </w:p>
    <w:p w14:paraId="6888435A">
      <w:pPr>
        <w:spacing w:before="120" w:after="50"/>
        <w:jc w:val="left"/>
        <w:rPr>
          <w:rFonts w:hint="eastAsia" w:ascii="仿宋" w:hAnsi="仿宋" w:eastAsia="仿宋"/>
          <w:b/>
          <w:color w:val="auto"/>
          <w:sz w:val="24"/>
          <w:highlight w:val="none"/>
        </w:rPr>
      </w:pPr>
    </w:p>
    <w:p w14:paraId="2DD8D957">
      <w:pPr>
        <w:spacing w:before="120" w:after="50"/>
        <w:jc w:val="left"/>
        <w:rPr>
          <w:rFonts w:hint="eastAsia" w:ascii="仿宋" w:hAnsi="仿宋" w:eastAsia="仿宋"/>
          <w:b/>
          <w:color w:val="auto"/>
          <w:sz w:val="24"/>
          <w:highlight w:val="none"/>
        </w:rPr>
      </w:pPr>
    </w:p>
    <w:p w14:paraId="7853AA1C">
      <w:pPr>
        <w:spacing w:before="120" w:after="50"/>
        <w:jc w:val="left"/>
        <w:rPr>
          <w:rFonts w:hint="eastAsia" w:ascii="仿宋" w:hAnsi="仿宋" w:eastAsia="仿宋"/>
          <w:b/>
          <w:color w:val="auto"/>
          <w:sz w:val="24"/>
          <w:highlight w:val="none"/>
        </w:rPr>
      </w:pPr>
    </w:p>
    <w:p w14:paraId="04659920">
      <w:pPr>
        <w:spacing w:before="120" w:after="50"/>
        <w:jc w:val="left"/>
        <w:rPr>
          <w:rFonts w:hint="eastAsia" w:ascii="仿宋" w:hAnsi="仿宋" w:eastAsia="仿宋"/>
          <w:b/>
          <w:color w:val="auto"/>
          <w:sz w:val="24"/>
          <w:highlight w:val="none"/>
        </w:rPr>
      </w:pPr>
    </w:p>
    <w:p w14:paraId="2FC03B7D">
      <w:pPr>
        <w:spacing w:before="120" w:after="50"/>
        <w:jc w:val="left"/>
        <w:rPr>
          <w:rFonts w:hint="eastAsia" w:ascii="仿宋" w:hAnsi="仿宋" w:eastAsia="仿宋"/>
          <w:b/>
          <w:color w:val="auto"/>
          <w:sz w:val="24"/>
          <w:highlight w:val="none"/>
        </w:rPr>
      </w:pPr>
    </w:p>
    <w:p w14:paraId="3AFA195F">
      <w:pPr>
        <w:spacing w:before="120" w:after="50"/>
        <w:jc w:val="left"/>
        <w:rPr>
          <w:rFonts w:hint="eastAsia" w:ascii="仿宋" w:hAnsi="仿宋" w:eastAsia="仿宋"/>
          <w:b/>
          <w:color w:val="auto"/>
          <w:sz w:val="24"/>
          <w:highlight w:val="none"/>
        </w:rPr>
      </w:pPr>
    </w:p>
    <w:p w14:paraId="59DB0B76">
      <w:pPr>
        <w:spacing w:before="120" w:after="50"/>
        <w:jc w:val="left"/>
        <w:rPr>
          <w:rFonts w:hint="eastAsia" w:ascii="仿宋" w:hAnsi="仿宋" w:eastAsia="仿宋"/>
          <w:b/>
          <w:color w:val="auto"/>
          <w:sz w:val="24"/>
          <w:highlight w:val="none"/>
        </w:rPr>
      </w:pPr>
    </w:p>
    <w:p w14:paraId="38460B78">
      <w:pPr>
        <w:spacing w:before="120" w:after="50"/>
        <w:jc w:val="left"/>
        <w:rPr>
          <w:rFonts w:hint="eastAsia" w:ascii="仿宋" w:hAnsi="仿宋" w:eastAsia="仿宋"/>
          <w:b/>
          <w:color w:val="auto"/>
          <w:sz w:val="24"/>
          <w:highlight w:val="none"/>
        </w:rPr>
      </w:pPr>
    </w:p>
    <w:p w14:paraId="3960B0E0">
      <w:pPr>
        <w:spacing w:before="120" w:after="50"/>
        <w:jc w:val="left"/>
        <w:rPr>
          <w:rFonts w:hint="eastAsia" w:ascii="仿宋" w:hAnsi="仿宋" w:eastAsia="仿宋"/>
          <w:b/>
          <w:color w:val="auto"/>
          <w:sz w:val="24"/>
          <w:highlight w:val="none"/>
        </w:rPr>
      </w:pPr>
    </w:p>
    <w:p w14:paraId="3F49836C">
      <w:pPr>
        <w:spacing w:before="120" w:after="50"/>
        <w:jc w:val="left"/>
        <w:rPr>
          <w:rFonts w:hint="eastAsia" w:ascii="仿宋" w:hAnsi="仿宋" w:eastAsia="仿宋"/>
          <w:b/>
          <w:color w:val="auto"/>
          <w:sz w:val="24"/>
          <w:highlight w:val="none"/>
        </w:rPr>
      </w:pPr>
    </w:p>
    <w:p w14:paraId="62AE56C8">
      <w:pPr>
        <w:spacing w:before="120" w:after="50"/>
        <w:jc w:val="left"/>
        <w:rPr>
          <w:rFonts w:hint="eastAsia" w:ascii="仿宋" w:hAnsi="仿宋" w:eastAsia="仿宋"/>
          <w:b/>
          <w:color w:val="auto"/>
          <w:sz w:val="24"/>
          <w:highlight w:val="none"/>
        </w:rPr>
      </w:pPr>
    </w:p>
    <w:p w14:paraId="26B93323">
      <w:pPr>
        <w:spacing w:before="156" w:after="50" w:line="380" w:lineRule="exact"/>
        <w:ind w:right="480" w:firstLine="280"/>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报价商务技术文件格式 </w:t>
      </w:r>
    </w:p>
    <w:p w14:paraId="5E82C396">
      <w:pPr>
        <w:spacing w:before="156" w:after="50" w:line="38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0B49E971">
      <w:pPr>
        <w:spacing w:before="156" w:after="50" w:line="38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正本/副本</w:t>
      </w:r>
    </w:p>
    <w:p w14:paraId="1C944B41">
      <w:pPr>
        <w:spacing w:before="156" w:after="50" w:line="380" w:lineRule="exact"/>
        <w:rPr>
          <w:rFonts w:hint="eastAsia" w:ascii="宋体" w:hAnsi="宋体" w:cs="宋体"/>
          <w:color w:val="auto"/>
          <w:sz w:val="24"/>
          <w:szCs w:val="20"/>
          <w:highlight w:val="none"/>
        </w:rPr>
      </w:pPr>
    </w:p>
    <w:p w14:paraId="192D5D3E">
      <w:pPr>
        <w:spacing w:before="156" w:after="50" w:line="380" w:lineRule="exact"/>
        <w:rPr>
          <w:rFonts w:hint="eastAsia" w:ascii="宋体" w:hAnsi="宋体" w:cs="宋体"/>
          <w:color w:val="auto"/>
          <w:sz w:val="24"/>
          <w:szCs w:val="20"/>
          <w:highlight w:val="none"/>
        </w:rPr>
      </w:pPr>
    </w:p>
    <w:p w14:paraId="30D2073A">
      <w:pPr>
        <w:spacing w:before="156" w:after="50" w:line="380" w:lineRule="exact"/>
        <w:rPr>
          <w:rFonts w:hint="eastAsia" w:ascii="宋体" w:hAnsi="宋体" w:cs="宋体"/>
          <w:color w:val="auto"/>
          <w:sz w:val="24"/>
          <w:szCs w:val="20"/>
          <w:highlight w:val="none"/>
        </w:rPr>
      </w:pPr>
    </w:p>
    <w:p w14:paraId="719E4358">
      <w:pPr>
        <w:spacing w:before="156" w:after="50" w:line="380" w:lineRule="exact"/>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商  务  技  术  文  件</w:t>
      </w:r>
    </w:p>
    <w:p w14:paraId="6FFE9A98">
      <w:pPr>
        <w:spacing w:before="156" w:after="50" w:line="380" w:lineRule="exact"/>
        <w:rPr>
          <w:rFonts w:hint="eastAsia" w:ascii="宋体" w:hAnsi="宋体" w:cs="宋体"/>
          <w:bCs/>
          <w:color w:val="auto"/>
          <w:sz w:val="24"/>
          <w:szCs w:val="20"/>
          <w:highlight w:val="none"/>
        </w:rPr>
      </w:pPr>
    </w:p>
    <w:p w14:paraId="09586306">
      <w:pPr>
        <w:spacing w:before="156" w:after="50" w:line="380" w:lineRule="exact"/>
        <w:rPr>
          <w:rFonts w:hint="eastAsia" w:ascii="宋体" w:hAnsi="宋体" w:cs="宋体"/>
          <w:bCs/>
          <w:color w:val="auto"/>
          <w:sz w:val="24"/>
          <w:szCs w:val="20"/>
          <w:highlight w:val="none"/>
        </w:rPr>
      </w:pPr>
    </w:p>
    <w:p w14:paraId="14C2EDF5">
      <w:pPr>
        <w:spacing w:before="156" w:after="50" w:line="380" w:lineRule="exact"/>
        <w:rPr>
          <w:rFonts w:hint="eastAsia" w:ascii="宋体" w:hAnsi="宋体" w:cs="宋体"/>
          <w:bCs/>
          <w:color w:val="auto"/>
          <w:sz w:val="24"/>
          <w:szCs w:val="20"/>
          <w:highlight w:val="none"/>
        </w:rPr>
      </w:pPr>
    </w:p>
    <w:p w14:paraId="3B9B8F82">
      <w:pPr>
        <w:spacing w:before="156" w:after="50" w:line="380" w:lineRule="exact"/>
        <w:rPr>
          <w:rFonts w:hint="eastAsia" w:ascii="宋体" w:hAnsi="宋体" w:cs="宋体"/>
          <w:bCs/>
          <w:color w:val="auto"/>
          <w:sz w:val="24"/>
          <w:szCs w:val="20"/>
          <w:highlight w:val="none"/>
        </w:rPr>
      </w:pPr>
    </w:p>
    <w:p w14:paraId="40BFB1DB">
      <w:pPr>
        <w:spacing w:before="156" w:after="50" w:line="380" w:lineRule="exact"/>
        <w:rPr>
          <w:rFonts w:hint="eastAsia" w:ascii="宋体" w:hAnsi="宋体" w:cs="宋体"/>
          <w:bCs/>
          <w:color w:val="auto"/>
          <w:sz w:val="24"/>
          <w:szCs w:val="20"/>
          <w:highlight w:val="none"/>
        </w:rPr>
      </w:pPr>
    </w:p>
    <w:p w14:paraId="6ED970F2">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CFAEA57">
      <w:pPr>
        <w:spacing w:before="156" w:after="50" w:line="380" w:lineRule="exact"/>
        <w:ind w:firstLine="720"/>
        <w:rPr>
          <w:rFonts w:hint="eastAsia" w:ascii="宋体" w:hAnsi="宋体" w:cs="宋体"/>
          <w:bCs/>
          <w:color w:val="auto"/>
          <w:sz w:val="32"/>
          <w:szCs w:val="32"/>
          <w:highlight w:val="none"/>
        </w:rPr>
      </w:pPr>
    </w:p>
    <w:p w14:paraId="21194EB8">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3D12B92">
      <w:pPr>
        <w:spacing w:before="156" w:after="50" w:line="380" w:lineRule="exact"/>
        <w:ind w:firstLine="720"/>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4D20988">
      <w:pPr>
        <w:spacing w:before="156"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A6E0973">
      <w:pPr>
        <w:spacing w:before="156" w:after="50" w:line="380" w:lineRule="exact"/>
        <w:ind w:firstLine="720"/>
        <w:rPr>
          <w:rFonts w:hint="eastAsia" w:ascii="宋体" w:hAnsi="宋体" w:cs="宋体"/>
          <w:bCs/>
          <w:color w:val="auto"/>
          <w:sz w:val="32"/>
          <w:szCs w:val="32"/>
          <w:highlight w:val="none"/>
        </w:rPr>
      </w:pPr>
    </w:p>
    <w:p w14:paraId="0BF31922">
      <w:pPr>
        <w:pStyle w:val="7"/>
        <w:spacing w:before="50" w:after="50" w:line="380" w:lineRule="exact"/>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148B260">
      <w:pPr>
        <w:pStyle w:val="7"/>
        <w:spacing w:before="50" w:after="50" w:line="380" w:lineRule="exact"/>
        <w:ind w:firstLine="720"/>
        <w:rPr>
          <w:rFonts w:hint="eastAsia" w:ascii="宋体" w:hAnsi="宋体" w:cs="宋体"/>
          <w:bCs/>
          <w:color w:val="auto"/>
          <w:sz w:val="32"/>
          <w:szCs w:val="32"/>
          <w:highlight w:val="none"/>
        </w:rPr>
      </w:pPr>
    </w:p>
    <w:p w14:paraId="6D601B28">
      <w:pPr>
        <w:pStyle w:val="7"/>
        <w:spacing w:before="50" w:after="50" w:line="380" w:lineRule="exact"/>
        <w:ind w:firstLine="720"/>
        <w:rPr>
          <w:rFonts w:hint="eastAsia" w:ascii="宋体" w:hAnsi="宋体" w:cs="宋体"/>
          <w:bCs/>
          <w:color w:val="auto"/>
          <w:sz w:val="32"/>
          <w:szCs w:val="32"/>
          <w:highlight w:val="none"/>
        </w:rPr>
      </w:pPr>
    </w:p>
    <w:p w14:paraId="1FA44F52">
      <w:pPr>
        <w:pStyle w:val="7"/>
        <w:spacing w:before="50" w:after="50" w:line="380" w:lineRule="exact"/>
        <w:ind w:firstLine="1280"/>
        <w:rPr>
          <w:rFonts w:hint="eastAsia" w:ascii="宋体" w:hAnsi="宋体" w:cs="宋体"/>
          <w:bCs/>
          <w:color w:val="auto"/>
          <w:sz w:val="32"/>
          <w:szCs w:val="32"/>
          <w:highlight w:val="none"/>
        </w:rPr>
      </w:pPr>
    </w:p>
    <w:p w14:paraId="747C9194">
      <w:pPr>
        <w:spacing w:before="156" w:after="50" w:line="38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277FE886">
      <w:pPr>
        <w:spacing w:before="156" w:after="50" w:line="380" w:lineRule="exact"/>
        <w:ind w:left="142"/>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14622610">
      <w:pPr>
        <w:spacing w:before="156" w:after="50" w:line="380" w:lineRule="exact"/>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16FB1980">
      <w:pPr>
        <w:spacing w:line="380" w:lineRule="exact"/>
        <w:rPr>
          <w:rFonts w:hint="eastAsia" w:ascii="宋体" w:hAnsi="宋体" w:cs="宋体"/>
          <w:color w:val="auto"/>
          <w:sz w:val="32"/>
          <w:szCs w:val="32"/>
          <w:highlight w:val="none"/>
        </w:rPr>
      </w:pPr>
    </w:p>
    <w:p w14:paraId="0969F33D">
      <w:pPr>
        <w:spacing w:line="38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440AEE62">
      <w:pPr>
        <w:spacing w:line="380" w:lineRule="exact"/>
        <w:jc w:val="center"/>
        <w:rPr>
          <w:rFonts w:hint="eastAsia" w:ascii="宋体" w:hAnsi="宋体" w:cs="宋体"/>
          <w:b/>
          <w:color w:val="auto"/>
          <w:sz w:val="36"/>
          <w:szCs w:val="32"/>
          <w:highlight w:val="none"/>
        </w:rPr>
      </w:pPr>
      <w:r>
        <w:rPr>
          <w:rFonts w:hint="eastAsia" w:ascii="宋体" w:hAnsi="宋体" w:cs="宋体"/>
          <w:b/>
          <w:color w:val="auto"/>
          <w:sz w:val="36"/>
          <w:szCs w:val="32"/>
          <w:highlight w:val="none"/>
        </w:rPr>
        <w:t>无串通竞标行为的承诺函</w:t>
      </w:r>
    </w:p>
    <w:p w14:paraId="425197EE">
      <w:pPr>
        <w:spacing w:line="380" w:lineRule="exact"/>
        <w:ind w:firstLine="640"/>
        <w:rPr>
          <w:rFonts w:hint="eastAsia" w:ascii="宋体" w:hAnsi="宋体" w:cs="宋体"/>
          <w:color w:val="auto"/>
          <w:sz w:val="32"/>
          <w:szCs w:val="32"/>
          <w:highlight w:val="none"/>
        </w:rPr>
      </w:pPr>
    </w:p>
    <w:p w14:paraId="74921F02">
      <w:pPr>
        <w:spacing w:line="38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6FC07DD5">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1.不同供应商的响应文件由同一单位或者个人编制；或者不同供应商报名的IP地址一致的；</w:t>
      </w:r>
    </w:p>
    <w:p w14:paraId="4D50A58B">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589EF22B">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C2227EB">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20841401">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5.不同供应商的响应文件相互混装；</w:t>
      </w:r>
    </w:p>
    <w:p w14:paraId="191106F2">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8705F4A">
      <w:pPr>
        <w:spacing w:line="38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75668C7">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0B8615C0">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46B940F1">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3AD79694">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1CAB63F">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2585ACC6">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EC7D477">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9B34A3E">
      <w:pPr>
        <w:spacing w:line="380" w:lineRule="exact"/>
        <w:ind w:firstLine="480"/>
        <w:rPr>
          <w:rFonts w:hint="eastAsia" w:ascii="宋体" w:hAnsi="宋体" w:cs="宋体"/>
          <w:color w:val="auto"/>
          <w:sz w:val="24"/>
          <w:highlight w:val="none"/>
        </w:rPr>
      </w:pPr>
    </w:p>
    <w:p w14:paraId="5A8DEAA1">
      <w:pPr>
        <w:spacing w:line="380" w:lineRule="exact"/>
        <w:ind w:firstLine="482"/>
        <w:rPr>
          <w:rFonts w:hint="eastAsia"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4A354979">
      <w:pPr>
        <w:spacing w:line="380" w:lineRule="exact"/>
        <w:rPr>
          <w:rFonts w:hint="eastAsia" w:ascii="宋体" w:hAnsi="宋体" w:cs="宋体"/>
          <w:color w:val="auto"/>
          <w:sz w:val="24"/>
          <w:highlight w:val="none"/>
        </w:rPr>
      </w:pPr>
    </w:p>
    <w:p w14:paraId="0C49696C">
      <w:pPr>
        <w:spacing w:line="380" w:lineRule="exact"/>
        <w:ind w:firstLine="3600"/>
        <w:rPr>
          <w:rFonts w:hint="eastAsia" w:ascii="宋体" w:hAnsi="宋体" w:cs="宋体"/>
          <w:color w:val="auto"/>
          <w:sz w:val="24"/>
          <w:highlight w:val="none"/>
        </w:rPr>
      </w:pPr>
      <w:r>
        <w:rPr>
          <w:rFonts w:hint="eastAsia" w:ascii="宋体" w:hAnsi="宋体" w:cs="宋体"/>
          <w:color w:val="auto"/>
          <w:sz w:val="24"/>
          <w:highlight w:val="none"/>
        </w:rPr>
        <w:t>供应商（盖公章）：</w:t>
      </w:r>
    </w:p>
    <w:p w14:paraId="0D11373C">
      <w:pPr>
        <w:spacing w:line="380" w:lineRule="exact"/>
        <w:ind w:firstLine="480"/>
        <w:jc w:val="center"/>
        <w:rPr>
          <w:rFonts w:hint="eastAsia" w:ascii="宋体" w:hAnsi="宋体" w:cs="宋体"/>
          <w:color w:val="auto"/>
          <w:sz w:val="32"/>
          <w:szCs w:val="32"/>
          <w:highlight w:val="none"/>
        </w:rPr>
      </w:pPr>
      <w:r>
        <w:rPr>
          <w:rFonts w:hint="eastAsia" w:ascii="宋体" w:hAnsi="宋体" w:cs="宋体"/>
          <w:color w:val="auto"/>
          <w:sz w:val="24"/>
          <w:highlight w:val="none"/>
        </w:rPr>
        <w:t xml:space="preserve">                               年   月   日</w:t>
      </w:r>
    </w:p>
    <w:p w14:paraId="3881F009">
      <w:pPr>
        <w:jc w:val="center"/>
        <w:rPr>
          <w:rFonts w:hint="eastAsia" w:ascii="宋体" w:hAnsi="宋体" w:cs="宋体"/>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竞  标  报  价  表</w:t>
      </w:r>
    </w:p>
    <w:p w14:paraId="68606948">
      <w:pPr>
        <w:spacing w:line="380" w:lineRule="exact"/>
        <w:jc w:val="center"/>
        <w:rPr>
          <w:rFonts w:hint="eastAsia" w:ascii="宋体" w:hAnsi="宋体" w:cs="宋体"/>
          <w:bCs/>
          <w:color w:val="auto"/>
          <w:sz w:val="32"/>
          <w:szCs w:val="32"/>
          <w:highlight w:val="none"/>
        </w:rPr>
      </w:pPr>
    </w:p>
    <w:p w14:paraId="2F2E62FD">
      <w:pPr>
        <w:spacing w:before="50" w:after="50" w:line="380" w:lineRule="exact"/>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8CEA9EF">
      <w:pPr>
        <w:spacing w:before="50" w:after="50" w:line="380" w:lineRule="exac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8"/>
        <w:gridCol w:w="1290"/>
        <w:gridCol w:w="2835"/>
        <w:gridCol w:w="1802"/>
      </w:tblGrid>
      <w:tr w14:paraId="095A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20" w:type="dxa"/>
            <w:tcBorders>
              <w:bottom w:val="single" w:color="auto" w:sz="4" w:space="0"/>
            </w:tcBorders>
            <w:noWrap w:val="0"/>
            <w:vAlign w:val="center"/>
          </w:tcPr>
          <w:p w14:paraId="41B6CCE5">
            <w:pPr>
              <w:pStyle w:val="23"/>
              <w:spacing w:line="380" w:lineRule="exact"/>
              <w:jc w:val="center"/>
              <w:rPr>
                <w:rFonts w:hint="eastAsia" w:hAnsi="宋体" w:cs="宋体"/>
                <w:color w:val="auto"/>
                <w:spacing w:val="-20"/>
                <w:sz w:val="21"/>
                <w:highlight w:val="none"/>
              </w:rPr>
            </w:pPr>
            <w:r>
              <w:rPr>
                <w:rFonts w:hint="eastAsia" w:hAnsi="宋体" w:cs="宋体"/>
                <w:color w:val="auto"/>
                <w:spacing w:val="-20"/>
                <w:sz w:val="21"/>
                <w:highlight w:val="none"/>
              </w:rPr>
              <w:t>序号</w:t>
            </w:r>
          </w:p>
        </w:tc>
        <w:tc>
          <w:tcPr>
            <w:tcW w:w="2538" w:type="dxa"/>
            <w:tcBorders>
              <w:bottom w:val="single" w:color="auto" w:sz="4" w:space="0"/>
            </w:tcBorders>
            <w:noWrap w:val="0"/>
            <w:vAlign w:val="center"/>
          </w:tcPr>
          <w:p w14:paraId="40542F79">
            <w:pPr>
              <w:tabs>
                <w:tab w:val="left" w:pos="180"/>
                <w:tab w:val="left" w:pos="1620"/>
              </w:tabs>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标的名称</w:t>
            </w:r>
          </w:p>
        </w:tc>
        <w:tc>
          <w:tcPr>
            <w:tcW w:w="1290" w:type="dxa"/>
            <w:tcBorders>
              <w:bottom w:val="single" w:color="auto" w:sz="4" w:space="0"/>
            </w:tcBorders>
            <w:noWrap w:val="0"/>
            <w:vAlign w:val="center"/>
          </w:tcPr>
          <w:p w14:paraId="60FB8F75">
            <w:pPr>
              <w:tabs>
                <w:tab w:val="left" w:pos="180"/>
                <w:tab w:val="left" w:pos="1620"/>
              </w:tabs>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2835" w:type="dxa"/>
            <w:tcBorders>
              <w:bottom w:val="single" w:color="auto" w:sz="4" w:space="0"/>
            </w:tcBorders>
            <w:noWrap w:val="0"/>
            <w:vAlign w:val="center"/>
          </w:tcPr>
          <w:p w14:paraId="5B834291">
            <w:pPr>
              <w:tabs>
                <w:tab w:val="left" w:pos="180"/>
                <w:tab w:val="left" w:pos="1620"/>
              </w:tabs>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竞标报价（元）</w:t>
            </w:r>
          </w:p>
        </w:tc>
        <w:tc>
          <w:tcPr>
            <w:tcW w:w="1802" w:type="dxa"/>
            <w:tcBorders>
              <w:bottom w:val="single" w:color="auto" w:sz="4" w:space="0"/>
            </w:tcBorders>
            <w:noWrap w:val="0"/>
            <w:vAlign w:val="center"/>
          </w:tcPr>
          <w:p w14:paraId="29E9EB1C">
            <w:pPr>
              <w:pStyle w:val="23"/>
              <w:spacing w:line="380" w:lineRule="exact"/>
              <w:jc w:val="center"/>
              <w:rPr>
                <w:rFonts w:hint="eastAsia" w:hAnsi="宋体" w:cs="宋体"/>
                <w:color w:val="auto"/>
                <w:sz w:val="21"/>
                <w:highlight w:val="none"/>
              </w:rPr>
            </w:pPr>
            <w:r>
              <w:rPr>
                <w:rFonts w:hint="eastAsia" w:hAnsi="宋体" w:cs="宋体"/>
                <w:color w:val="auto"/>
                <w:sz w:val="21"/>
                <w:highlight w:val="none"/>
              </w:rPr>
              <w:t>备注</w:t>
            </w:r>
          </w:p>
        </w:tc>
      </w:tr>
      <w:tr w14:paraId="171F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noWrap w:val="0"/>
            <w:vAlign w:val="center"/>
          </w:tcPr>
          <w:p w14:paraId="61E51ACC">
            <w:pPr>
              <w:spacing w:line="38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538" w:type="dxa"/>
            <w:noWrap w:val="0"/>
            <w:vAlign w:val="center"/>
          </w:tcPr>
          <w:p w14:paraId="314F2066">
            <w:pPr>
              <w:spacing w:line="380" w:lineRule="exact"/>
              <w:jc w:val="center"/>
              <w:rPr>
                <w:rFonts w:hint="eastAsia" w:ascii="宋体" w:hAnsi="宋体" w:cs="宋体"/>
                <w:color w:val="auto"/>
                <w:sz w:val="21"/>
                <w:szCs w:val="21"/>
                <w:highlight w:val="none"/>
              </w:rPr>
            </w:pPr>
          </w:p>
        </w:tc>
        <w:tc>
          <w:tcPr>
            <w:tcW w:w="1290" w:type="dxa"/>
            <w:noWrap w:val="0"/>
            <w:vAlign w:val="center"/>
          </w:tcPr>
          <w:p w14:paraId="7A095246">
            <w:pPr>
              <w:spacing w:line="380" w:lineRule="exact"/>
              <w:jc w:val="center"/>
              <w:rPr>
                <w:rFonts w:hint="eastAsia" w:ascii="宋体" w:hAnsi="宋体" w:cs="宋体"/>
                <w:color w:val="auto"/>
                <w:sz w:val="21"/>
                <w:szCs w:val="21"/>
                <w:highlight w:val="none"/>
              </w:rPr>
            </w:pPr>
          </w:p>
        </w:tc>
        <w:tc>
          <w:tcPr>
            <w:tcW w:w="2835" w:type="dxa"/>
            <w:noWrap w:val="0"/>
            <w:vAlign w:val="center"/>
          </w:tcPr>
          <w:p w14:paraId="564F3029">
            <w:pPr>
              <w:pStyle w:val="23"/>
              <w:spacing w:line="380" w:lineRule="exact"/>
              <w:jc w:val="center"/>
              <w:rPr>
                <w:rFonts w:hint="eastAsia" w:hAnsi="宋体" w:cs="宋体"/>
                <w:color w:val="auto"/>
                <w:sz w:val="21"/>
                <w:highlight w:val="none"/>
              </w:rPr>
            </w:pPr>
          </w:p>
        </w:tc>
        <w:tc>
          <w:tcPr>
            <w:tcW w:w="1802" w:type="dxa"/>
            <w:noWrap w:val="0"/>
            <w:vAlign w:val="center"/>
          </w:tcPr>
          <w:p w14:paraId="6D3657B4">
            <w:pPr>
              <w:pStyle w:val="23"/>
              <w:spacing w:line="380" w:lineRule="exact"/>
              <w:rPr>
                <w:rFonts w:hint="eastAsia" w:hAnsi="宋体" w:cs="宋体"/>
                <w:color w:val="auto"/>
                <w:spacing w:val="-6"/>
                <w:sz w:val="21"/>
                <w:highlight w:val="none"/>
              </w:rPr>
            </w:pPr>
          </w:p>
        </w:tc>
      </w:tr>
      <w:tr w14:paraId="4D4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noWrap w:val="0"/>
            <w:vAlign w:val="center"/>
          </w:tcPr>
          <w:p w14:paraId="073BEC39">
            <w:pPr>
              <w:spacing w:line="3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538" w:type="dxa"/>
            <w:noWrap w:val="0"/>
            <w:vAlign w:val="center"/>
          </w:tcPr>
          <w:p w14:paraId="44E2B427">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290" w:type="dxa"/>
            <w:noWrap w:val="0"/>
            <w:vAlign w:val="center"/>
          </w:tcPr>
          <w:p w14:paraId="1C468618">
            <w:pPr>
              <w:spacing w:line="38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835" w:type="dxa"/>
            <w:noWrap w:val="0"/>
            <w:vAlign w:val="center"/>
          </w:tcPr>
          <w:p w14:paraId="063CF1BB">
            <w:pPr>
              <w:pStyle w:val="23"/>
              <w:spacing w:line="380" w:lineRule="exact"/>
              <w:jc w:val="center"/>
              <w:rPr>
                <w:rFonts w:hAnsi="宋体" w:cs="宋体"/>
                <w:color w:val="auto"/>
                <w:sz w:val="21"/>
                <w:highlight w:val="none"/>
              </w:rPr>
            </w:pPr>
            <w:r>
              <w:rPr>
                <w:rFonts w:hint="eastAsia" w:hAnsi="宋体" w:cs="宋体"/>
                <w:color w:val="auto"/>
                <w:sz w:val="21"/>
                <w:highlight w:val="none"/>
              </w:rPr>
              <w:t>...</w:t>
            </w:r>
          </w:p>
        </w:tc>
        <w:tc>
          <w:tcPr>
            <w:tcW w:w="1802" w:type="dxa"/>
            <w:noWrap w:val="0"/>
            <w:vAlign w:val="center"/>
          </w:tcPr>
          <w:p w14:paraId="340EBD6B">
            <w:pPr>
              <w:pStyle w:val="23"/>
              <w:spacing w:line="380" w:lineRule="exact"/>
              <w:rPr>
                <w:rFonts w:hAnsi="宋体" w:cs="宋体"/>
                <w:color w:val="auto"/>
                <w:spacing w:val="-6"/>
                <w:sz w:val="21"/>
                <w:highlight w:val="none"/>
              </w:rPr>
            </w:pPr>
            <w:r>
              <w:rPr>
                <w:rFonts w:hint="eastAsia" w:hAnsi="宋体" w:cs="宋体"/>
                <w:color w:val="auto"/>
                <w:spacing w:val="-6"/>
                <w:sz w:val="21"/>
                <w:highlight w:val="none"/>
              </w:rPr>
              <w:t>...</w:t>
            </w:r>
          </w:p>
        </w:tc>
      </w:tr>
      <w:tr w14:paraId="6E58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5"/>
            <w:noWrap w:val="0"/>
            <w:vAlign w:val="center"/>
          </w:tcPr>
          <w:p w14:paraId="4D0C2602">
            <w:pPr>
              <w:pStyle w:val="23"/>
              <w:spacing w:line="380" w:lineRule="exact"/>
              <w:rPr>
                <w:rFonts w:hint="eastAsia" w:hAnsi="宋体" w:cs="宋体"/>
                <w:color w:val="auto"/>
                <w:spacing w:val="-6"/>
                <w:sz w:val="21"/>
                <w:highlight w:val="none"/>
              </w:rPr>
            </w:pPr>
            <w:r>
              <w:rPr>
                <w:rFonts w:hint="eastAsia" w:hAnsi="宋体" w:cs="宋体"/>
                <w:color w:val="auto"/>
                <w:spacing w:val="-6"/>
                <w:sz w:val="21"/>
                <w:highlight w:val="none"/>
              </w:rPr>
              <w:t>总报价（人民币大写）：                                        （</w:t>
            </w:r>
            <w:r>
              <w:rPr>
                <w:rFonts w:ascii="Arial" w:hAnsi="Arial" w:cs="Arial"/>
                <w:color w:val="auto"/>
                <w:spacing w:val="-6"/>
                <w:sz w:val="21"/>
                <w:highlight w:val="none"/>
              </w:rPr>
              <w:t>¥</w:t>
            </w:r>
            <w:r>
              <w:rPr>
                <w:rFonts w:hint="eastAsia" w:hAnsi="宋体" w:cs="宋体"/>
                <w:color w:val="auto"/>
                <w:spacing w:val="-6"/>
                <w:sz w:val="21"/>
                <w:highlight w:val="none"/>
              </w:rPr>
              <w:t xml:space="preserve">             元）</w:t>
            </w:r>
          </w:p>
        </w:tc>
      </w:tr>
      <w:tr w14:paraId="7919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5"/>
            <w:noWrap w:val="0"/>
            <w:vAlign w:val="center"/>
          </w:tcPr>
          <w:p w14:paraId="0C2EE69B">
            <w:pPr>
              <w:pStyle w:val="23"/>
              <w:spacing w:line="380" w:lineRule="exact"/>
              <w:rPr>
                <w:rFonts w:hint="eastAsia" w:hAnsi="宋体" w:cs="宋体"/>
                <w:color w:val="auto"/>
                <w:spacing w:val="-6"/>
                <w:sz w:val="21"/>
                <w:highlight w:val="none"/>
              </w:rPr>
            </w:pPr>
            <w:r>
              <w:rPr>
                <w:rFonts w:hint="eastAsia" w:hAnsi="宋体" w:cs="宋体"/>
                <w:color w:val="auto"/>
                <w:spacing w:val="-6"/>
                <w:sz w:val="21"/>
                <w:highlight w:val="none"/>
              </w:rPr>
              <w:t>提交服务期限：</w:t>
            </w:r>
          </w:p>
        </w:tc>
      </w:tr>
      <w:tr w14:paraId="16AC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185" w:type="dxa"/>
            <w:gridSpan w:val="5"/>
            <w:noWrap w:val="0"/>
            <w:vAlign w:val="center"/>
          </w:tcPr>
          <w:p w14:paraId="1C4BAB96">
            <w:pPr>
              <w:pStyle w:val="23"/>
              <w:spacing w:line="380" w:lineRule="exact"/>
              <w:rPr>
                <w:rFonts w:hint="eastAsia" w:hAnsi="宋体" w:cs="宋体"/>
                <w:color w:val="auto"/>
                <w:spacing w:val="-6"/>
                <w:sz w:val="21"/>
                <w:highlight w:val="none"/>
              </w:rPr>
            </w:pPr>
            <w:r>
              <w:rPr>
                <w:rFonts w:hint="eastAsia" w:hAnsi="宋体" w:cs="宋体"/>
                <w:color w:val="auto"/>
                <w:spacing w:val="-6"/>
                <w:sz w:val="21"/>
                <w:highlight w:val="none"/>
              </w:rPr>
              <w:t>提交服务地点：</w:t>
            </w:r>
          </w:p>
        </w:tc>
      </w:tr>
    </w:tbl>
    <w:p w14:paraId="51796309">
      <w:pPr>
        <w:spacing w:before="50" w:after="50" w:line="380" w:lineRule="exact"/>
        <w:jc w:val="left"/>
        <w:rPr>
          <w:rFonts w:hint="eastAsia" w:ascii="宋体" w:hAnsi="宋体" w:cs="宋体"/>
          <w:color w:val="auto"/>
          <w:sz w:val="24"/>
          <w:highlight w:val="none"/>
        </w:rPr>
      </w:pPr>
    </w:p>
    <w:p w14:paraId="11968F7D">
      <w:pPr>
        <w:spacing w:before="50" w:after="50"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注：</w:t>
      </w:r>
    </w:p>
    <w:p w14:paraId="3C023C38">
      <w:pPr>
        <w:spacing w:before="50" w:after="50"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1.所有价格均用人民币表示，单位为元，精确到分。</w:t>
      </w:r>
    </w:p>
    <w:p w14:paraId="6EA643BE">
      <w:pPr>
        <w:spacing w:before="50" w:after="50" w:line="380" w:lineRule="exact"/>
        <w:ind w:firstLine="480"/>
        <w:jc w:val="left"/>
        <w:rPr>
          <w:rFonts w:hint="eastAsia" w:ascii="宋体" w:hAnsi="宋体" w:cs="宋体"/>
          <w:b/>
          <w:color w:val="auto"/>
          <w:sz w:val="24"/>
          <w:highlight w:val="none"/>
        </w:rPr>
      </w:pPr>
      <w:r>
        <w:rPr>
          <w:rFonts w:hint="eastAsia" w:ascii="宋体" w:hAnsi="宋体" w:cs="宋体"/>
          <w:color w:val="auto"/>
          <w:sz w:val="24"/>
          <w:highlight w:val="none"/>
        </w:rPr>
        <w:t>2.报价指服务的各种费用和售后、税金及其它所有成本、费用的总和。</w:t>
      </w:r>
    </w:p>
    <w:p w14:paraId="4F9ABB0F">
      <w:pPr>
        <w:spacing w:before="50" w:after="50" w:line="38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3.供应商的报价表必须加盖供应商公章并由法定代表人或者委托代理人签字，</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7280611A">
      <w:pPr>
        <w:spacing w:before="50" w:after="50" w:line="380" w:lineRule="exact"/>
        <w:ind w:firstLine="480"/>
        <w:jc w:val="left"/>
        <w:rPr>
          <w:rFonts w:hint="eastAsia" w:ascii="宋体" w:hAnsi="宋体" w:cs="宋体"/>
          <w:b/>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16CAA500">
      <w:pPr>
        <w:spacing w:before="50" w:after="50" w:line="380" w:lineRule="exact"/>
        <w:ind w:right="-817"/>
        <w:rPr>
          <w:rFonts w:hint="eastAsia" w:ascii="宋体" w:hAnsi="宋体" w:cs="宋体"/>
          <w:color w:val="auto"/>
          <w:sz w:val="24"/>
          <w:highlight w:val="none"/>
        </w:rPr>
      </w:pPr>
    </w:p>
    <w:p w14:paraId="41597BA3">
      <w:pPr>
        <w:spacing w:before="50" w:after="50" w:line="380" w:lineRule="exact"/>
        <w:ind w:right="-817" w:firstLine="960"/>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1FA09200">
      <w:pPr>
        <w:spacing w:before="50" w:after="50" w:line="380" w:lineRule="exact"/>
        <w:ind w:right="-817" w:firstLine="2640"/>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0C369115">
      <w:pPr>
        <w:spacing w:before="50" w:after="50" w:line="380" w:lineRule="exact"/>
        <w:ind w:right="-817" w:firstLine="4080"/>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709149A3">
      <w:pPr>
        <w:spacing w:before="312" w:after="156"/>
        <w:ind w:left="540"/>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Cs/>
          <w:color w:val="auto"/>
          <w:sz w:val="44"/>
          <w:szCs w:val="44"/>
          <w:highlight w:val="none"/>
        </w:rPr>
        <w:t>法定代表人证明书</w:t>
      </w:r>
    </w:p>
    <w:p w14:paraId="606106D5">
      <w:pPr>
        <w:spacing w:line="380" w:lineRule="exact"/>
        <w:ind w:left="540"/>
        <w:rPr>
          <w:rFonts w:hint="eastAsia" w:ascii="宋体" w:hAnsi="宋体" w:cs="宋体"/>
          <w:color w:val="auto"/>
          <w:sz w:val="32"/>
          <w:szCs w:val="32"/>
          <w:highlight w:val="none"/>
        </w:rPr>
      </w:pPr>
    </w:p>
    <w:p w14:paraId="520BADAE">
      <w:pPr>
        <w:spacing w:line="380" w:lineRule="exact"/>
        <w:ind w:left="540"/>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DF2D35">
      <w:pPr>
        <w:spacing w:line="380" w:lineRule="exact"/>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0D71B5E">
      <w:pPr>
        <w:spacing w:line="380" w:lineRule="exact"/>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8966794">
      <w:pPr>
        <w:spacing w:line="380" w:lineRule="exact"/>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E3E785A">
      <w:pPr>
        <w:spacing w:line="380" w:lineRule="exact"/>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0AB9A14">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的法定代表人。</w:t>
      </w:r>
    </w:p>
    <w:p w14:paraId="3DF01995">
      <w:pPr>
        <w:spacing w:line="380" w:lineRule="exact"/>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60BB21E9">
      <w:pPr>
        <w:spacing w:line="380" w:lineRule="exact"/>
        <w:ind w:left="540"/>
        <w:rPr>
          <w:rFonts w:hint="eastAsia" w:ascii="宋体" w:hAnsi="宋体" w:cs="宋体"/>
          <w:color w:val="auto"/>
          <w:sz w:val="24"/>
          <w:highlight w:val="none"/>
        </w:rPr>
      </w:pPr>
    </w:p>
    <w:p w14:paraId="7BB2FA44">
      <w:pPr>
        <w:spacing w:line="380" w:lineRule="exact"/>
        <w:ind w:left="540"/>
        <w:rPr>
          <w:rFonts w:hint="eastAsia" w:ascii="宋体" w:hAnsi="宋体" w:cs="宋体"/>
          <w:color w:val="auto"/>
          <w:sz w:val="24"/>
          <w:highlight w:val="none"/>
        </w:rPr>
      </w:pPr>
    </w:p>
    <w:p w14:paraId="7FF8ECA3">
      <w:pPr>
        <w:spacing w:line="380" w:lineRule="exact"/>
        <w:ind w:left="540"/>
        <w:rPr>
          <w:rFonts w:hint="eastAsia" w:ascii="宋体" w:hAnsi="宋体" w:cs="宋体"/>
          <w:color w:val="auto"/>
          <w:sz w:val="24"/>
          <w:highlight w:val="none"/>
        </w:rPr>
      </w:pPr>
    </w:p>
    <w:p w14:paraId="3811E5A7">
      <w:pPr>
        <w:spacing w:line="380" w:lineRule="exact"/>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33F5C7E">
      <w:pPr>
        <w:spacing w:line="380" w:lineRule="exact"/>
        <w:ind w:left="540"/>
        <w:rPr>
          <w:rFonts w:hint="eastAsia" w:ascii="宋体" w:hAnsi="宋体" w:cs="宋体"/>
          <w:color w:val="auto"/>
          <w:sz w:val="24"/>
          <w:highlight w:val="none"/>
        </w:rPr>
      </w:pPr>
    </w:p>
    <w:p w14:paraId="49A7E5A9">
      <w:pPr>
        <w:spacing w:line="380" w:lineRule="exact"/>
        <w:ind w:left="540"/>
        <w:jc w:val="right"/>
        <w:rPr>
          <w:rFonts w:hint="eastAsia" w:ascii="宋体" w:hAnsi="宋体" w:cs="宋体"/>
          <w:color w:val="auto"/>
          <w:sz w:val="24"/>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187E0F7A">
      <w:pPr>
        <w:spacing w:before="156" w:after="50" w:line="380" w:lineRule="exact"/>
        <w:ind w:firstLine="408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3427791">
      <w:pPr>
        <w:spacing w:before="156" w:after="50" w:line="380" w:lineRule="exact"/>
        <w:jc w:val="center"/>
        <w:rPr>
          <w:rFonts w:hint="eastAsia" w:ascii="宋体" w:hAnsi="宋体" w:cs="宋体"/>
          <w:b/>
          <w:color w:val="auto"/>
          <w:sz w:val="24"/>
          <w:highlight w:val="none"/>
        </w:rPr>
      </w:pPr>
    </w:p>
    <w:p w14:paraId="1843C1A8">
      <w:pPr>
        <w:spacing w:before="156" w:after="50" w:line="380" w:lineRule="exact"/>
        <w:jc w:val="left"/>
        <w:rPr>
          <w:rFonts w:hint="eastAsia" w:ascii="宋体" w:hAnsi="宋体" w:cs="宋体"/>
          <w:color w:val="auto"/>
          <w:sz w:val="24"/>
          <w:highlight w:val="none"/>
        </w:rPr>
      </w:pPr>
    </w:p>
    <w:p w14:paraId="64A8F48F">
      <w:pPr>
        <w:spacing w:before="156" w:after="50" w:line="380" w:lineRule="exact"/>
        <w:jc w:val="left"/>
        <w:rPr>
          <w:rFonts w:hint="eastAsia"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57B13DC2">
      <w:pPr>
        <w:spacing w:before="156" w:after="50" w:line="380" w:lineRule="exact"/>
        <w:ind w:firstLine="480"/>
        <w:jc w:val="left"/>
        <w:rPr>
          <w:rFonts w:hint="eastAsia" w:ascii="宋体" w:hAnsi="宋体" w:cs="宋体"/>
          <w:b/>
          <w:color w:val="auto"/>
          <w:sz w:val="32"/>
          <w:szCs w:val="32"/>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E5988E1">
      <w:pPr>
        <w:spacing w:line="380" w:lineRule="exact"/>
        <w:jc w:val="left"/>
        <w:rPr>
          <w:rFonts w:hint="eastAsia" w:ascii="宋体" w:hAnsi="宋体" w:cs="宋体"/>
          <w:b/>
          <w:color w:val="auto"/>
          <w:sz w:val="21"/>
          <w:szCs w:val="21"/>
          <w:highlight w:val="none"/>
        </w:rPr>
      </w:pPr>
    </w:p>
    <w:p w14:paraId="34282E3E">
      <w:pPr>
        <w:spacing w:line="38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4AC6DF58">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法定代表人授权委托书</w:t>
      </w:r>
    </w:p>
    <w:p w14:paraId="42BD7458">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（如有委托时）</w:t>
      </w:r>
    </w:p>
    <w:p w14:paraId="3652FB42">
      <w:pPr>
        <w:spacing w:line="380" w:lineRule="exact"/>
        <w:rPr>
          <w:rFonts w:hint="eastAsia" w:ascii="宋体" w:hAnsi="宋体" w:cs="宋体"/>
          <w:color w:val="auto"/>
          <w:sz w:val="32"/>
          <w:szCs w:val="32"/>
          <w:highlight w:val="none"/>
        </w:rPr>
      </w:pPr>
    </w:p>
    <w:p w14:paraId="431D3641">
      <w:pPr>
        <w:spacing w:line="38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E348ADB">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ascii="Wingdings 2" w:hAnsi="Wingdings 2" w:eastAsia="Wingdings 2" w:cs="Wingdings 2"/>
          <w:color w:val="auto"/>
          <w:sz w:val="24"/>
          <w:highlight w:val="none"/>
          <w:u w:val="single"/>
        </w:rPr>
        <w:t>£</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4305266B">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5EB432BD">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9559A26">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委托代理人无转委托权，特此委托。</w:t>
      </w:r>
    </w:p>
    <w:p w14:paraId="6AF52FD9">
      <w:pPr>
        <w:spacing w:line="380" w:lineRule="exact"/>
        <w:ind w:firstLine="480"/>
        <w:rPr>
          <w:rFonts w:hint="eastAsia"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17891B16">
      <w:pPr>
        <w:spacing w:line="380" w:lineRule="exact"/>
        <w:rPr>
          <w:rFonts w:hint="eastAsia" w:ascii="宋体" w:hAnsi="宋体" w:cs="宋体"/>
          <w:color w:val="auto"/>
          <w:sz w:val="24"/>
          <w:highlight w:val="none"/>
        </w:rPr>
      </w:pPr>
    </w:p>
    <w:p w14:paraId="4D231591">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14:paraId="1A25F890">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4CC3FE42">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8356CAC">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供应商（盖公章）：                      </w:t>
      </w:r>
    </w:p>
    <w:p w14:paraId="3BD6413F">
      <w:pPr>
        <w:spacing w:line="380" w:lineRule="exac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E05616E">
      <w:pPr>
        <w:spacing w:line="380" w:lineRule="exact"/>
        <w:rPr>
          <w:rFonts w:hint="eastAsia" w:ascii="宋体" w:hAnsi="宋体" w:cs="宋体"/>
          <w:color w:val="auto"/>
          <w:sz w:val="24"/>
          <w:highlight w:val="none"/>
        </w:rPr>
      </w:pPr>
    </w:p>
    <w:p w14:paraId="65A10373">
      <w:pPr>
        <w:spacing w:line="380" w:lineRule="exact"/>
        <w:rPr>
          <w:rFonts w:hint="eastAsia" w:ascii="宋体" w:hAnsi="宋体" w:cs="宋体"/>
          <w:color w:val="auto"/>
          <w:sz w:val="24"/>
          <w:highlight w:val="none"/>
        </w:rPr>
      </w:pPr>
      <w:r>
        <w:rPr>
          <w:rFonts w:hint="eastAsia" w:ascii="宋体" w:hAnsi="宋体" w:cs="宋体"/>
          <w:color w:val="auto"/>
          <w:sz w:val="24"/>
          <w:highlight w:val="none"/>
        </w:rPr>
        <w:t>注：1.法定代表人和委托代理人必须在授权委托书上亲笔签名，不得使用印章、签名章或者其他电子制版签名代替；</w:t>
      </w:r>
    </w:p>
    <w:p w14:paraId="5007AFF2">
      <w:pPr>
        <w:spacing w:line="380" w:lineRule="exact"/>
        <w:ind w:firstLine="480"/>
        <w:jc w:val="left"/>
        <w:rPr>
          <w:rFonts w:hint="eastAsia" w:ascii="宋体" w:hAnsi="宋体" w:cs="宋体"/>
          <w:color w:val="auto"/>
          <w:sz w:val="21"/>
          <w:szCs w:val="21"/>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D2586F">
      <w:pPr>
        <w:ind w:firstLine="420"/>
        <w:jc w:val="center"/>
        <w:rPr>
          <w:rFonts w:hint="eastAsia" w:ascii="宋体" w:hAnsi="宋体" w:cs="宋体"/>
          <w:bCs/>
          <w:color w:val="auto"/>
          <w:sz w:val="44"/>
          <w:szCs w:val="44"/>
          <w:highlight w:val="none"/>
        </w:rPr>
      </w:pPr>
      <w:r>
        <w:rPr>
          <w:rFonts w:hint="eastAsia" w:ascii="宋体" w:hAnsi="宋体" w:cs="宋体"/>
          <w:color w:val="auto"/>
          <w:sz w:val="21"/>
          <w:szCs w:val="21"/>
          <w:highlight w:val="none"/>
        </w:rPr>
        <w:br w:type="page"/>
      </w:r>
      <w:r>
        <w:rPr>
          <w:rFonts w:hint="eastAsia" w:ascii="宋体" w:hAnsi="宋体" w:cs="宋体"/>
          <w:bCs/>
          <w:color w:val="auto"/>
          <w:sz w:val="44"/>
          <w:szCs w:val="44"/>
          <w:highlight w:val="none"/>
        </w:rPr>
        <w:t>商务条款偏离表格式</w:t>
      </w:r>
    </w:p>
    <w:p w14:paraId="231CD087">
      <w:pPr>
        <w:jc w:val="center"/>
        <w:rPr>
          <w:rFonts w:hint="eastAsia"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4A405F85">
      <w:pPr>
        <w:spacing w:before="50" w:line="380" w:lineRule="exact"/>
        <w:jc w:val="left"/>
        <w:rPr>
          <w:rFonts w:hint="eastAsia" w:ascii="宋体" w:hAnsi="宋体" w:cs="宋体"/>
          <w:color w:val="auto"/>
          <w:sz w:val="24"/>
          <w:highlight w:val="none"/>
        </w:rPr>
      </w:pPr>
    </w:p>
    <w:p w14:paraId="5D9E5831">
      <w:pPr>
        <w:spacing w:before="50" w:line="380" w:lineRule="exact"/>
        <w:jc w:val="left"/>
        <w:rPr>
          <w:rFonts w:hint="eastAsia" w:ascii="宋体" w:hAnsi="宋体" w:cs="宋体"/>
          <w:color w:val="auto"/>
          <w:sz w:val="24"/>
          <w:highlight w:val="none"/>
          <w:u w:val="single"/>
        </w:rPr>
      </w:pPr>
    </w:p>
    <w:tbl>
      <w:tblPr>
        <w:tblStyle w:val="44"/>
        <w:tblpPr w:leftFromText="180" w:rightFromText="180" w:vertAnchor="text" w:horzAnchor="margin" w:tblpXSpec="left" w:tblpY="-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3178"/>
        <w:gridCol w:w="2350"/>
        <w:gridCol w:w="2112"/>
      </w:tblGrid>
      <w:tr w14:paraId="24DDE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40584AC2">
            <w:pPr>
              <w:spacing w:before="156"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98D0188">
            <w:pPr>
              <w:spacing w:before="156"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506A663">
            <w:pPr>
              <w:spacing w:before="156"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供应商的承诺</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ADD5B6F">
            <w:pPr>
              <w:spacing w:before="156" w:line="380" w:lineRule="exact"/>
              <w:jc w:val="center"/>
              <w:rPr>
                <w:rFonts w:hint="eastAsia" w:ascii="宋体" w:hAnsi="宋体" w:cs="宋体"/>
                <w:color w:val="auto"/>
                <w:sz w:val="24"/>
                <w:highlight w:val="none"/>
              </w:rPr>
            </w:pPr>
            <w:r>
              <w:rPr>
                <w:rFonts w:hint="eastAsia" w:ascii="宋体" w:hAnsi="宋体" w:cs="宋体"/>
                <w:color w:val="auto"/>
                <w:sz w:val="24"/>
                <w:highlight w:val="none"/>
              </w:rPr>
              <w:t>偏离说明</w:t>
            </w:r>
          </w:p>
        </w:tc>
      </w:tr>
      <w:tr w14:paraId="2E07B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44BD0370">
            <w:pPr>
              <w:spacing w:line="380" w:lineRule="exact"/>
              <w:jc w:val="center"/>
              <w:rPr>
                <w:rFonts w:hint="eastAsia"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14:paraId="10D50BC4">
            <w:pPr>
              <w:spacing w:before="156" w:line="380" w:lineRule="exact"/>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B846D5B">
            <w:pPr>
              <w:spacing w:before="156" w:line="380" w:lineRule="exact"/>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2B5BF26">
            <w:pPr>
              <w:spacing w:before="156" w:line="380" w:lineRule="exact"/>
              <w:jc w:val="center"/>
              <w:rPr>
                <w:rFonts w:hint="eastAsia" w:ascii="宋体" w:hAnsi="宋体" w:cs="宋体"/>
                <w:color w:val="auto"/>
                <w:sz w:val="24"/>
                <w:highlight w:val="none"/>
              </w:rPr>
            </w:pPr>
          </w:p>
        </w:tc>
      </w:tr>
      <w:tr w14:paraId="5EF2E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4D5059A4">
            <w:pPr>
              <w:spacing w:line="380" w:lineRule="exact"/>
              <w:jc w:val="center"/>
              <w:rPr>
                <w:rFonts w:hint="eastAsia"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14:paraId="3250BCAF">
            <w:pPr>
              <w:spacing w:before="156" w:line="380" w:lineRule="exact"/>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6A49468">
            <w:pPr>
              <w:spacing w:before="156" w:line="380" w:lineRule="exact"/>
              <w:ind w:left="43"/>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58EC578">
            <w:pPr>
              <w:spacing w:before="156" w:line="380" w:lineRule="exact"/>
              <w:ind w:left="43"/>
              <w:jc w:val="center"/>
              <w:rPr>
                <w:rFonts w:hint="eastAsia" w:ascii="宋体" w:hAnsi="宋体" w:cs="宋体"/>
                <w:color w:val="auto"/>
                <w:sz w:val="24"/>
                <w:highlight w:val="none"/>
              </w:rPr>
            </w:pPr>
          </w:p>
        </w:tc>
      </w:tr>
      <w:tr w14:paraId="64E39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6AE619C5">
            <w:pPr>
              <w:spacing w:line="380" w:lineRule="exact"/>
              <w:jc w:val="center"/>
              <w:rPr>
                <w:rFonts w:hint="eastAsia"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8FE835C">
            <w:pPr>
              <w:spacing w:before="156" w:line="380" w:lineRule="exact"/>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3ED1084">
            <w:pPr>
              <w:spacing w:before="156" w:line="380" w:lineRule="exact"/>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E495CD9">
            <w:pPr>
              <w:spacing w:before="156" w:line="380" w:lineRule="exact"/>
              <w:jc w:val="center"/>
              <w:rPr>
                <w:rFonts w:hint="eastAsia" w:ascii="宋体" w:hAnsi="宋体" w:cs="宋体"/>
                <w:color w:val="auto"/>
                <w:sz w:val="24"/>
                <w:highlight w:val="none"/>
              </w:rPr>
            </w:pPr>
          </w:p>
        </w:tc>
      </w:tr>
      <w:tr w14:paraId="02370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noWrap w:val="0"/>
            <w:vAlign w:val="center"/>
          </w:tcPr>
          <w:p w14:paraId="66C5F5AE">
            <w:pPr>
              <w:spacing w:before="156" w:line="380" w:lineRule="exact"/>
              <w:jc w:val="center"/>
              <w:rPr>
                <w:rFonts w:hint="eastAsia" w:ascii="宋体" w:hAnsi="宋体" w:cs="宋体"/>
                <w:color w:val="auto"/>
                <w:sz w:val="24"/>
                <w:highlight w:val="none"/>
              </w:rPr>
            </w:pP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27036A4">
            <w:pPr>
              <w:spacing w:before="156" w:line="380" w:lineRule="exact"/>
              <w:jc w:val="center"/>
              <w:rPr>
                <w:rFonts w:hint="eastAsia"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232CACE">
            <w:pPr>
              <w:spacing w:before="156" w:line="380" w:lineRule="exact"/>
              <w:jc w:val="center"/>
              <w:rPr>
                <w:rFonts w:hint="eastAsia"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F4DC6EC">
            <w:pPr>
              <w:spacing w:before="156" w:line="380" w:lineRule="exact"/>
              <w:jc w:val="center"/>
              <w:rPr>
                <w:rFonts w:hint="eastAsia" w:ascii="宋体" w:hAnsi="宋体" w:cs="宋体"/>
                <w:color w:val="auto"/>
                <w:sz w:val="24"/>
                <w:highlight w:val="none"/>
              </w:rPr>
            </w:pPr>
          </w:p>
        </w:tc>
      </w:tr>
    </w:tbl>
    <w:p w14:paraId="68546FE5">
      <w:pPr>
        <w:pStyle w:val="17"/>
        <w:spacing w:line="3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43377A42">
      <w:pPr>
        <w:pStyle w:val="17"/>
        <w:spacing w:line="3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 说明：应对照磋商文件“第三章 采购需求”中的商务条款逐条实质性响应，并作出偏离说明。</w:t>
      </w:r>
    </w:p>
    <w:p w14:paraId="5E512133">
      <w:pPr>
        <w:spacing w:before="50" w:line="38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2.供应商应根据自身的承诺，对照磋商文件要求在“偏离说明”中注明“正偏离”、“负偏离”或者“无偏离”。既不属于“正偏离”也不属于“负偏离”即为“无偏离”。</w:t>
      </w:r>
    </w:p>
    <w:p w14:paraId="631AA01F">
      <w:pPr>
        <w:spacing w:before="50" w:after="50" w:line="380" w:lineRule="exact"/>
        <w:ind w:right="-817"/>
        <w:rPr>
          <w:rFonts w:hint="eastAsia" w:ascii="宋体" w:hAnsi="宋体" w:cs="宋体"/>
          <w:color w:val="auto"/>
          <w:sz w:val="24"/>
          <w:highlight w:val="none"/>
        </w:rPr>
      </w:pPr>
    </w:p>
    <w:p w14:paraId="59E46CF6">
      <w:pPr>
        <w:spacing w:before="50" w:after="50" w:line="380" w:lineRule="exact"/>
        <w:ind w:right="-817" w:firstLine="960"/>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                    </w:t>
      </w:r>
    </w:p>
    <w:p w14:paraId="42B7F621">
      <w:pPr>
        <w:spacing w:before="50" w:after="50" w:line="380" w:lineRule="exact"/>
        <w:ind w:right="-817" w:firstLine="2640"/>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10D98117">
      <w:pPr>
        <w:spacing w:before="50" w:after="50" w:line="380" w:lineRule="exact"/>
        <w:ind w:right="-817" w:firstLine="4080"/>
        <w:rPr>
          <w:rFonts w:hint="eastAsia" w:ascii="宋体" w:hAnsi="宋体" w:cs="宋体"/>
          <w:b/>
          <w:color w:val="auto"/>
          <w:sz w:val="32"/>
          <w:szCs w:val="32"/>
          <w:highlight w:val="none"/>
        </w:rPr>
      </w:pPr>
      <w:r>
        <w:rPr>
          <w:rFonts w:hint="eastAsia" w:ascii="宋体" w:hAnsi="宋体" w:cs="宋体"/>
          <w:color w:val="auto"/>
          <w:sz w:val="24"/>
          <w:highlight w:val="none"/>
        </w:rPr>
        <w:t>日期：   年   月   日</w:t>
      </w:r>
    </w:p>
    <w:p w14:paraId="49D1F5D1">
      <w:pPr>
        <w:spacing w:line="380" w:lineRule="exact"/>
        <w:ind w:firstLine="7040"/>
        <w:jc w:val="center"/>
        <w:rPr>
          <w:rFonts w:hint="eastAsia" w:ascii="宋体" w:hAnsi="宋体" w:cs="宋体"/>
          <w:bCs/>
          <w:color w:val="auto"/>
          <w:sz w:val="44"/>
          <w:szCs w:val="44"/>
          <w:highlight w:val="none"/>
        </w:rPr>
      </w:pPr>
    </w:p>
    <w:p w14:paraId="015B4FC2">
      <w:pPr>
        <w:spacing w:line="380" w:lineRule="exact"/>
        <w:ind w:firstLine="7040"/>
        <w:jc w:val="center"/>
        <w:rPr>
          <w:rFonts w:hint="eastAsia" w:ascii="宋体" w:hAnsi="宋体" w:cs="宋体"/>
          <w:bCs/>
          <w:color w:val="auto"/>
          <w:sz w:val="44"/>
          <w:szCs w:val="44"/>
          <w:highlight w:val="none"/>
        </w:rPr>
      </w:pPr>
    </w:p>
    <w:p w14:paraId="40BFB5BF">
      <w:pPr>
        <w:spacing w:line="380" w:lineRule="exact"/>
        <w:ind w:firstLine="7040"/>
        <w:jc w:val="center"/>
        <w:rPr>
          <w:rFonts w:hint="eastAsia" w:ascii="宋体" w:hAnsi="宋体" w:cs="宋体"/>
          <w:bCs/>
          <w:color w:val="auto"/>
          <w:sz w:val="44"/>
          <w:szCs w:val="44"/>
          <w:highlight w:val="none"/>
        </w:rPr>
      </w:pPr>
    </w:p>
    <w:p w14:paraId="31329C69">
      <w:pPr>
        <w:spacing w:line="380" w:lineRule="exact"/>
        <w:rPr>
          <w:rFonts w:hint="eastAsia" w:ascii="宋体" w:hAnsi="宋体" w:cs="宋体"/>
          <w:color w:val="auto"/>
          <w:sz w:val="21"/>
          <w:szCs w:val="21"/>
          <w:highlight w:val="none"/>
          <w:u w:val="single"/>
        </w:rPr>
      </w:pPr>
    </w:p>
    <w:p w14:paraId="4C02DBDA">
      <w:pPr>
        <w:pageBreakBefore/>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服务需求偏离表</w:t>
      </w:r>
    </w:p>
    <w:p w14:paraId="37E0ADBD">
      <w:pPr>
        <w:spacing w:line="380" w:lineRule="exact"/>
        <w:rPr>
          <w:rFonts w:hint="eastAsia" w:ascii="宋体" w:hAnsi="宋体" w:cs="宋体"/>
          <w:color w:val="auto"/>
          <w:sz w:val="32"/>
          <w:szCs w:val="32"/>
          <w:highlight w:val="none"/>
        </w:rPr>
      </w:pPr>
    </w:p>
    <w:p w14:paraId="52F020C9">
      <w:pPr>
        <w:spacing w:line="380" w:lineRule="exact"/>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AEFBB6A">
      <w:pPr>
        <w:spacing w:line="380" w:lineRule="exact"/>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
        <w:gridCol w:w="915"/>
        <w:gridCol w:w="3038"/>
        <w:gridCol w:w="2735"/>
        <w:gridCol w:w="1492"/>
      </w:tblGrid>
      <w:tr w14:paraId="31CF29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0A366776">
            <w:pPr>
              <w:pStyle w:val="19"/>
              <w:spacing w:line="380" w:lineRule="exact"/>
              <w:ind w:firstLine="0"/>
              <w:jc w:val="center"/>
              <w:rPr>
                <w:rFonts w:hint="eastAsia" w:ascii="宋体" w:hAnsi="宋体" w:eastAsia="宋体" w:cs="宋体"/>
                <w:color w:val="auto"/>
                <w:sz w:val="24"/>
                <w:szCs w:val="24"/>
                <w:highlight w:val="none"/>
              </w:rPr>
            </w:pPr>
            <w:bookmarkStart w:id="70" w:name="_Toc173211900"/>
            <w:bookmarkStart w:id="71" w:name="_Toc295404981"/>
            <w:bookmarkStart w:id="72" w:name="_Toc301781611"/>
            <w:bookmarkStart w:id="73" w:name="_Toc254970588"/>
            <w:bookmarkStart w:id="74" w:name="_Toc173066401"/>
            <w:bookmarkStart w:id="75" w:name="_Toc383699906"/>
            <w:bookmarkStart w:id="76" w:name="_Toc373333689"/>
            <w:bookmarkStart w:id="77" w:name="_Toc254970729"/>
            <w:bookmarkStart w:id="78" w:name="_Toc297193185"/>
            <w:r>
              <w:rPr>
                <w:rFonts w:hint="eastAsia" w:ascii="宋体" w:hAnsi="宋体" w:eastAsia="宋体" w:cs="宋体"/>
                <w:color w:val="auto"/>
                <w:sz w:val="24"/>
                <w:szCs w:val="24"/>
                <w:highlight w:val="none"/>
              </w:rPr>
              <w:t>序号</w:t>
            </w:r>
            <w:bookmarkEnd w:id="70"/>
            <w:bookmarkEnd w:id="71"/>
            <w:bookmarkEnd w:id="72"/>
            <w:bookmarkEnd w:id="73"/>
            <w:bookmarkEnd w:id="74"/>
            <w:bookmarkEnd w:id="75"/>
            <w:bookmarkEnd w:id="76"/>
            <w:bookmarkEnd w:id="77"/>
            <w:bookmarkEnd w:id="78"/>
          </w:p>
        </w:tc>
        <w:tc>
          <w:tcPr>
            <w:tcW w:w="915" w:type="dxa"/>
            <w:tcBorders>
              <w:right w:val="single" w:color="auto" w:sz="4" w:space="0"/>
            </w:tcBorders>
            <w:noWrap w:val="0"/>
            <w:vAlign w:val="center"/>
          </w:tcPr>
          <w:p w14:paraId="0D9618E2">
            <w:pPr>
              <w:pStyle w:val="19"/>
              <w:spacing w:line="3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项目工作</w:t>
            </w:r>
          </w:p>
        </w:tc>
        <w:tc>
          <w:tcPr>
            <w:tcW w:w="3038" w:type="dxa"/>
            <w:tcBorders>
              <w:left w:val="single" w:color="auto" w:sz="4" w:space="0"/>
            </w:tcBorders>
            <w:noWrap w:val="0"/>
            <w:vAlign w:val="center"/>
          </w:tcPr>
          <w:p w14:paraId="5AA883D0">
            <w:pPr>
              <w:pStyle w:val="19"/>
              <w:spacing w:line="38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磋商文件技术内容</w:t>
            </w:r>
          </w:p>
        </w:tc>
        <w:tc>
          <w:tcPr>
            <w:tcW w:w="2735" w:type="dxa"/>
            <w:noWrap w:val="0"/>
            <w:vAlign w:val="center"/>
          </w:tcPr>
          <w:p w14:paraId="38F14A9F">
            <w:pPr>
              <w:pStyle w:val="19"/>
              <w:spacing w:line="380" w:lineRule="exact"/>
              <w:ind w:firstLine="0"/>
              <w:jc w:val="center"/>
              <w:rPr>
                <w:rFonts w:hint="eastAsia" w:ascii="宋体" w:hAnsi="宋体" w:eastAsia="宋体" w:cs="宋体"/>
                <w:color w:val="auto"/>
                <w:sz w:val="24"/>
                <w:szCs w:val="24"/>
                <w:highlight w:val="none"/>
              </w:rPr>
            </w:pPr>
            <w:bookmarkStart w:id="79" w:name="_Toc383699908"/>
            <w:bookmarkStart w:id="80" w:name="_Toc295404983"/>
            <w:bookmarkStart w:id="81" w:name="_Toc173211902"/>
            <w:bookmarkStart w:id="82" w:name="_Toc254970731"/>
            <w:bookmarkStart w:id="83" w:name="_Toc254970590"/>
            <w:bookmarkStart w:id="84" w:name="_Toc297193187"/>
            <w:bookmarkStart w:id="85" w:name="_Toc373333691"/>
            <w:bookmarkStart w:id="86" w:name="_Toc173066403"/>
            <w:bookmarkStart w:id="87" w:name="_Toc301781613"/>
            <w:r>
              <w:rPr>
                <w:rFonts w:hint="eastAsia" w:ascii="宋体" w:hAnsi="宋体" w:eastAsia="宋体" w:cs="宋体"/>
                <w:color w:val="auto"/>
                <w:sz w:val="24"/>
                <w:szCs w:val="24"/>
                <w:highlight w:val="none"/>
              </w:rPr>
              <w:t>竞标响应</w:t>
            </w:r>
            <w:bookmarkEnd w:id="79"/>
            <w:bookmarkEnd w:id="80"/>
            <w:bookmarkEnd w:id="81"/>
            <w:bookmarkEnd w:id="82"/>
            <w:bookmarkEnd w:id="83"/>
            <w:bookmarkEnd w:id="84"/>
            <w:bookmarkEnd w:id="85"/>
            <w:bookmarkEnd w:id="86"/>
            <w:bookmarkEnd w:id="87"/>
          </w:p>
        </w:tc>
        <w:tc>
          <w:tcPr>
            <w:tcW w:w="1492" w:type="dxa"/>
            <w:noWrap w:val="0"/>
            <w:vAlign w:val="center"/>
          </w:tcPr>
          <w:p w14:paraId="7EDD7B5B">
            <w:pPr>
              <w:pStyle w:val="19"/>
              <w:spacing w:line="380" w:lineRule="exact"/>
              <w:ind w:firstLine="0"/>
              <w:jc w:val="center"/>
              <w:rPr>
                <w:rFonts w:hint="eastAsia" w:ascii="宋体" w:hAnsi="宋体" w:eastAsia="宋体" w:cs="宋体"/>
                <w:color w:val="auto"/>
                <w:sz w:val="24"/>
                <w:szCs w:val="24"/>
                <w:highlight w:val="none"/>
              </w:rPr>
            </w:pPr>
            <w:bookmarkStart w:id="88" w:name="_Toc383699909"/>
            <w:bookmarkStart w:id="89" w:name="_Toc297193188"/>
            <w:bookmarkStart w:id="90" w:name="_Toc173066404"/>
            <w:bookmarkStart w:id="91" w:name="_Toc254970732"/>
            <w:bookmarkStart w:id="92" w:name="_Toc295404984"/>
            <w:bookmarkStart w:id="93" w:name="_Toc254970591"/>
            <w:bookmarkStart w:id="94" w:name="_Toc301781614"/>
            <w:bookmarkStart w:id="95" w:name="_Toc373333692"/>
            <w:bookmarkStart w:id="96" w:name="_Toc173211903"/>
            <w:r>
              <w:rPr>
                <w:rFonts w:hint="eastAsia" w:ascii="宋体" w:hAnsi="宋体" w:eastAsia="宋体" w:cs="宋体"/>
                <w:color w:val="auto"/>
                <w:sz w:val="24"/>
                <w:szCs w:val="24"/>
                <w:highlight w:val="none"/>
              </w:rPr>
              <w:t>偏离</w:t>
            </w:r>
            <w:bookmarkEnd w:id="88"/>
            <w:bookmarkEnd w:id="89"/>
            <w:bookmarkEnd w:id="90"/>
            <w:bookmarkEnd w:id="91"/>
            <w:bookmarkEnd w:id="92"/>
            <w:bookmarkEnd w:id="93"/>
            <w:bookmarkEnd w:id="94"/>
            <w:bookmarkEnd w:id="95"/>
            <w:bookmarkEnd w:id="96"/>
            <w:bookmarkStart w:id="97" w:name="_Toc383699910"/>
            <w:bookmarkStart w:id="98" w:name="_Toc254970592"/>
            <w:bookmarkStart w:id="99" w:name="_Toc297193189"/>
            <w:bookmarkStart w:id="100" w:name="_Toc173066405"/>
            <w:bookmarkStart w:id="101" w:name="_Toc301781615"/>
            <w:bookmarkStart w:id="102" w:name="_Toc173211904"/>
            <w:bookmarkStart w:id="103" w:name="_Toc254970733"/>
            <w:bookmarkStart w:id="104" w:name="_Toc373333693"/>
            <w:bookmarkStart w:id="105" w:name="_Toc295404985"/>
            <w:r>
              <w:rPr>
                <w:rFonts w:hint="eastAsia" w:ascii="宋体" w:hAnsi="宋体" w:eastAsia="宋体" w:cs="宋体"/>
                <w:color w:val="auto"/>
                <w:sz w:val="24"/>
                <w:szCs w:val="24"/>
                <w:highlight w:val="none"/>
              </w:rPr>
              <w:t>说明</w:t>
            </w:r>
            <w:bookmarkEnd w:id="97"/>
            <w:bookmarkEnd w:id="98"/>
            <w:bookmarkEnd w:id="99"/>
            <w:bookmarkEnd w:id="100"/>
            <w:bookmarkEnd w:id="101"/>
            <w:bookmarkEnd w:id="102"/>
            <w:bookmarkEnd w:id="103"/>
            <w:bookmarkEnd w:id="104"/>
            <w:bookmarkEnd w:id="105"/>
          </w:p>
        </w:tc>
      </w:tr>
      <w:tr w14:paraId="44D59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38264343">
            <w:pPr>
              <w:pStyle w:val="19"/>
              <w:spacing w:line="380" w:lineRule="exact"/>
              <w:ind w:firstLine="0"/>
              <w:jc w:val="center"/>
              <w:rPr>
                <w:rFonts w:hint="eastAsia" w:ascii="宋体" w:hAnsi="宋体" w:eastAsia="宋体" w:cs="宋体"/>
                <w:color w:val="auto"/>
                <w:sz w:val="24"/>
                <w:szCs w:val="24"/>
                <w:highlight w:val="none"/>
              </w:rPr>
            </w:pPr>
            <w:bookmarkStart w:id="106" w:name="_Toc254970593"/>
            <w:bookmarkStart w:id="107" w:name="_Toc173211905"/>
            <w:bookmarkStart w:id="108" w:name="_Toc295404986"/>
            <w:bookmarkStart w:id="109" w:name="_Toc297193190"/>
            <w:bookmarkStart w:id="110" w:name="_Toc301781616"/>
            <w:bookmarkStart w:id="111" w:name="_Toc254970734"/>
            <w:bookmarkStart w:id="112" w:name="_Toc373333694"/>
            <w:bookmarkStart w:id="113" w:name="_Toc383699911"/>
            <w:bookmarkStart w:id="114" w:name="_Toc173066406"/>
            <w:r>
              <w:rPr>
                <w:rFonts w:hint="eastAsia" w:ascii="宋体" w:hAnsi="宋体" w:eastAsia="宋体" w:cs="宋体"/>
                <w:color w:val="auto"/>
                <w:sz w:val="24"/>
                <w:szCs w:val="24"/>
                <w:highlight w:val="none"/>
              </w:rPr>
              <w:t>1</w:t>
            </w:r>
            <w:bookmarkEnd w:id="106"/>
            <w:bookmarkEnd w:id="107"/>
            <w:bookmarkEnd w:id="108"/>
            <w:bookmarkEnd w:id="109"/>
            <w:bookmarkEnd w:id="110"/>
            <w:bookmarkEnd w:id="111"/>
            <w:bookmarkEnd w:id="112"/>
            <w:bookmarkEnd w:id="113"/>
            <w:bookmarkEnd w:id="114"/>
          </w:p>
        </w:tc>
        <w:tc>
          <w:tcPr>
            <w:tcW w:w="915" w:type="dxa"/>
            <w:tcBorders>
              <w:right w:val="single" w:color="auto" w:sz="4" w:space="0"/>
            </w:tcBorders>
            <w:noWrap w:val="0"/>
            <w:vAlign w:val="center"/>
          </w:tcPr>
          <w:p w14:paraId="05D58DBB">
            <w:pPr>
              <w:pStyle w:val="19"/>
              <w:spacing w:line="380" w:lineRule="exact"/>
              <w:ind w:firstLine="0"/>
              <w:jc w:val="center"/>
              <w:rPr>
                <w:rFonts w:hint="eastAsia" w:ascii="宋体" w:hAnsi="宋体" w:eastAsia="宋体" w:cs="宋体"/>
                <w:color w:val="auto"/>
                <w:sz w:val="24"/>
                <w:szCs w:val="24"/>
                <w:highlight w:val="none"/>
              </w:rPr>
            </w:pPr>
          </w:p>
        </w:tc>
        <w:tc>
          <w:tcPr>
            <w:tcW w:w="3038" w:type="dxa"/>
            <w:tcBorders>
              <w:left w:val="single" w:color="auto" w:sz="4" w:space="0"/>
            </w:tcBorders>
            <w:noWrap w:val="0"/>
            <w:vAlign w:val="center"/>
          </w:tcPr>
          <w:p w14:paraId="2404AB66">
            <w:pPr>
              <w:pStyle w:val="19"/>
              <w:spacing w:line="380" w:lineRule="exact"/>
              <w:ind w:firstLine="0"/>
              <w:jc w:val="center"/>
              <w:rPr>
                <w:rFonts w:hint="eastAsia" w:ascii="宋体" w:hAnsi="宋体" w:eastAsia="宋体" w:cs="宋体"/>
                <w:color w:val="auto"/>
                <w:sz w:val="24"/>
                <w:szCs w:val="24"/>
                <w:highlight w:val="none"/>
              </w:rPr>
            </w:pPr>
          </w:p>
        </w:tc>
        <w:tc>
          <w:tcPr>
            <w:tcW w:w="2735" w:type="dxa"/>
            <w:noWrap w:val="0"/>
            <w:vAlign w:val="center"/>
          </w:tcPr>
          <w:p w14:paraId="51FA6605">
            <w:pPr>
              <w:pStyle w:val="19"/>
              <w:spacing w:line="380" w:lineRule="exact"/>
              <w:ind w:firstLine="0"/>
              <w:jc w:val="center"/>
              <w:rPr>
                <w:rFonts w:hint="eastAsia" w:ascii="宋体" w:hAnsi="宋体" w:eastAsia="宋体" w:cs="宋体"/>
                <w:color w:val="auto"/>
                <w:sz w:val="24"/>
                <w:szCs w:val="24"/>
                <w:highlight w:val="none"/>
              </w:rPr>
            </w:pPr>
          </w:p>
        </w:tc>
        <w:tc>
          <w:tcPr>
            <w:tcW w:w="1492" w:type="dxa"/>
            <w:noWrap w:val="0"/>
            <w:vAlign w:val="center"/>
          </w:tcPr>
          <w:p w14:paraId="02F1BED6">
            <w:pPr>
              <w:pStyle w:val="19"/>
              <w:spacing w:line="380" w:lineRule="exact"/>
              <w:ind w:firstLine="0"/>
              <w:jc w:val="center"/>
              <w:rPr>
                <w:rFonts w:hint="eastAsia" w:ascii="宋体" w:hAnsi="宋体" w:eastAsia="宋体" w:cs="宋体"/>
                <w:color w:val="auto"/>
                <w:sz w:val="24"/>
                <w:szCs w:val="24"/>
                <w:highlight w:val="none"/>
              </w:rPr>
            </w:pPr>
          </w:p>
        </w:tc>
      </w:tr>
      <w:tr w14:paraId="45F48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69E948F7">
            <w:pPr>
              <w:pStyle w:val="19"/>
              <w:spacing w:line="380" w:lineRule="exact"/>
              <w:ind w:firstLine="0"/>
              <w:jc w:val="center"/>
              <w:rPr>
                <w:rFonts w:hint="eastAsia" w:ascii="宋体" w:hAnsi="宋体" w:eastAsia="宋体" w:cs="宋体"/>
                <w:color w:val="auto"/>
                <w:sz w:val="24"/>
                <w:szCs w:val="24"/>
                <w:highlight w:val="none"/>
              </w:rPr>
            </w:pPr>
            <w:bookmarkStart w:id="115" w:name="_Toc295404987"/>
            <w:bookmarkStart w:id="116" w:name="_Toc254970594"/>
            <w:bookmarkStart w:id="117" w:name="_Toc301781617"/>
            <w:bookmarkStart w:id="118" w:name="_Toc173066407"/>
            <w:bookmarkStart w:id="119" w:name="_Toc373333695"/>
            <w:bookmarkStart w:id="120" w:name="_Toc254970735"/>
            <w:bookmarkStart w:id="121" w:name="_Toc173211906"/>
            <w:bookmarkStart w:id="122" w:name="_Toc383699912"/>
            <w:bookmarkStart w:id="123" w:name="_Toc297193191"/>
            <w:r>
              <w:rPr>
                <w:rFonts w:hint="eastAsia" w:ascii="宋体" w:hAnsi="宋体" w:eastAsia="宋体" w:cs="宋体"/>
                <w:color w:val="auto"/>
                <w:sz w:val="24"/>
                <w:szCs w:val="24"/>
                <w:highlight w:val="none"/>
              </w:rPr>
              <w:t>2</w:t>
            </w:r>
            <w:bookmarkEnd w:id="115"/>
            <w:bookmarkEnd w:id="116"/>
            <w:bookmarkEnd w:id="117"/>
            <w:bookmarkEnd w:id="118"/>
            <w:bookmarkEnd w:id="119"/>
            <w:bookmarkEnd w:id="120"/>
            <w:bookmarkEnd w:id="121"/>
            <w:bookmarkEnd w:id="122"/>
            <w:bookmarkEnd w:id="123"/>
          </w:p>
        </w:tc>
        <w:tc>
          <w:tcPr>
            <w:tcW w:w="915" w:type="dxa"/>
            <w:tcBorders>
              <w:right w:val="single" w:color="auto" w:sz="4" w:space="0"/>
            </w:tcBorders>
            <w:noWrap w:val="0"/>
            <w:vAlign w:val="center"/>
          </w:tcPr>
          <w:p w14:paraId="52C555F4">
            <w:pPr>
              <w:pStyle w:val="19"/>
              <w:spacing w:line="380" w:lineRule="exact"/>
              <w:ind w:firstLine="0"/>
              <w:jc w:val="center"/>
              <w:rPr>
                <w:rFonts w:hint="eastAsia" w:ascii="宋体" w:hAnsi="宋体" w:eastAsia="宋体" w:cs="宋体"/>
                <w:color w:val="auto"/>
                <w:sz w:val="24"/>
                <w:szCs w:val="24"/>
                <w:highlight w:val="none"/>
              </w:rPr>
            </w:pPr>
          </w:p>
        </w:tc>
        <w:tc>
          <w:tcPr>
            <w:tcW w:w="3038" w:type="dxa"/>
            <w:tcBorders>
              <w:left w:val="single" w:color="auto" w:sz="4" w:space="0"/>
            </w:tcBorders>
            <w:noWrap w:val="0"/>
            <w:vAlign w:val="center"/>
          </w:tcPr>
          <w:p w14:paraId="4879A4DA">
            <w:pPr>
              <w:pStyle w:val="19"/>
              <w:spacing w:line="380" w:lineRule="exact"/>
              <w:ind w:firstLine="0"/>
              <w:jc w:val="center"/>
              <w:rPr>
                <w:rFonts w:hint="eastAsia" w:ascii="宋体" w:hAnsi="宋体" w:eastAsia="宋体" w:cs="宋体"/>
                <w:color w:val="auto"/>
                <w:sz w:val="24"/>
                <w:szCs w:val="24"/>
                <w:highlight w:val="none"/>
              </w:rPr>
            </w:pPr>
          </w:p>
        </w:tc>
        <w:tc>
          <w:tcPr>
            <w:tcW w:w="2735" w:type="dxa"/>
            <w:noWrap w:val="0"/>
            <w:vAlign w:val="center"/>
          </w:tcPr>
          <w:p w14:paraId="47FB72FB">
            <w:pPr>
              <w:pStyle w:val="19"/>
              <w:spacing w:line="380" w:lineRule="exact"/>
              <w:ind w:firstLine="0"/>
              <w:jc w:val="center"/>
              <w:rPr>
                <w:rFonts w:hint="eastAsia" w:ascii="宋体" w:hAnsi="宋体" w:eastAsia="宋体" w:cs="宋体"/>
                <w:color w:val="auto"/>
                <w:sz w:val="24"/>
                <w:szCs w:val="24"/>
                <w:highlight w:val="none"/>
              </w:rPr>
            </w:pPr>
          </w:p>
        </w:tc>
        <w:tc>
          <w:tcPr>
            <w:tcW w:w="1492" w:type="dxa"/>
            <w:noWrap w:val="0"/>
            <w:vAlign w:val="center"/>
          </w:tcPr>
          <w:p w14:paraId="5A756538">
            <w:pPr>
              <w:pStyle w:val="19"/>
              <w:spacing w:line="380" w:lineRule="exact"/>
              <w:ind w:firstLine="0"/>
              <w:jc w:val="center"/>
              <w:rPr>
                <w:rFonts w:hint="eastAsia" w:ascii="宋体" w:hAnsi="宋体" w:eastAsia="宋体" w:cs="宋体"/>
                <w:color w:val="auto"/>
                <w:sz w:val="24"/>
                <w:szCs w:val="24"/>
                <w:highlight w:val="none"/>
              </w:rPr>
            </w:pPr>
          </w:p>
        </w:tc>
      </w:tr>
      <w:tr w14:paraId="05942A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1E792DB2">
            <w:pPr>
              <w:pStyle w:val="19"/>
              <w:spacing w:line="380" w:lineRule="exact"/>
              <w:ind w:firstLine="0"/>
              <w:jc w:val="center"/>
              <w:rPr>
                <w:rFonts w:hint="eastAsia" w:ascii="宋体" w:hAnsi="宋体" w:eastAsia="宋体" w:cs="宋体"/>
                <w:color w:val="auto"/>
                <w:sz w:val="24"/>
                <w:szCs w:val="24"/>
                <w:highlight w:val="none"/>
              </w:rPr>
            </w:pPr>
            <w:bookmarkStart w:id="124" w:name="_Toc383699913"/>
            <w:bookmarkStart w:id="125" w:name="_Toc173211907"/>
            <w:bookmarkStart w:id="126" w:name="_Toc297193192"/>
            <w:bookmarkStart w:id="127" w:name="_Toc295404988"/>
            <w:bookmarkStart w:id="128" w:name="_Toc373333696"/>
            <w:bookmarkStart w:id="129" w:name="_Toc173066408"/>
            <w:bookmarkStart w:id="130" w:name="_Toc254970595"/>
            <w:bookmarkStart w:id="131" w:name="_Toc254970736"/>
            <w:bookmarkStart w:id="132" w:name="_Toc301781618"/>
            <w:r>
              <w:rPr>
                <w:rFonts w:hint="eastAsia" w:ascii="宋体" w:hAnsi="宋体" w:eastAsia="宋体" w:cs="宋体"/>
                <w:color w:val="auto"/>
                <w:sz w:val="24"/>
                <w:szCs w:val="24"/>
                <w:highlight w:val="none"/>
              </w:rPr>
              <w:t>3</w:t>
            </w:r>
            <w:bookmarkEnd w:id="124"/>
            <w:bookmarkEnd w:id="125"/>
            <w:bookmarkEnd w:id="126"/>
            <w:bookmarkEnd w:id="127"/>
            <w:bookmarkEnd w:id="128"/>
            <w:bookmarkEnd w:id="129"/>
            <w:bookmarkEnd w:id="130"/>
            <w:bookmarkEnd w:id="131"/>
            <w:bookmarkEnd w:id="132"/>
          </w:p>
        </w:tc>
        <w:tc>
          <w:tcPr>
            <w:tcW w:w="915" w:type="dxa"/>
            <w:tcBorders>
              <w:right w:val="single" w:color="auto" w:sz="4" w:space="0"/>
            </w:tcBorders>
            <w:noWrap w:val="0"/>
            <w:vAlign w:val="center"/>
          </w:tcPr>
          <w:p w14:paraId="017F302C">
            <w:pPr>
              <w:pStyle w:val="19"/>
              <w:spacing w:line="380" w:lineRule="exact"/>
              <w:ind w:firstLine="0"/>
              <w:jc w:val="center"/>
              <w:rPr>
                <w:rFonts w:hint="eastAsia" w:ascii="宋体" w:hAnsi="宋体" w:eastAsia="宋体" w:cs="宋体"/>
                <w:color w:val="auto"/>
                <w:sz w:val="24"/>
                <w:szCs w:val="24"/>
                <w:highlight w:val="none"/>
              </w:rPr>
            </w:pPr>
          </w:p>
        </w:tc>
        <w:tc>
          <w:tcPr>
            <w:tcW w:w="3038" w:type="dxa"/>
            <w:tcBorders>
              <w:left w:val="single" w:color="auto" w:sz="4" w:space="0"/>
            </w:tcBorders>
            <w:noWrap w:val="0"/>
            <w:vAlign w:val="center"/>
          </w:tcPr>
          <w:p w14:paraId="143171DC">
            <w:pPr>
              <w:pStyle w:val="19"/>
              <w:spacing w:line="380" w:lineRule="exact"/>
              <w:ind w:firstLine="0"/>
              <w:jc w:val="center"/>
              <w:rPr>
                <w:rFonts w:hint="eastAsia" w:ascii="宋体" w:hAnsi="宋体" w:eastAsia="宋体" w:cs="宋体"/>
                <w:color w:val="auto"/>
                <w:sz w:val="24"/>
                <w:szCs w:val="24"/>
                <w:highlight w:val="none"/>
              </w:rPr>
            </w:pPr>
          </w:p>
        </w:tc>
        <w:tc>
          <w:tcPr>
            <w:tcW w:w="2735" w:type="dxa"/>
            <w:noWrap w:val="0"/>
            <w:vAlign w:val="center"/>
          </w:tcPr>
          <w:p w14:paraId="292A4330">
            <w:pPr>
              <w:pStyle w:val="19"/>
              <w:spacing w:line="380" w:lineRule="exact"/>
              <w:ind w:firstLine="0"/>
              <w:jc w:val="center"/>
              <w:rPr>
                <w:rFonts w:hint="eastAsia" w:ascii="宋体" w:hAnsi="宋体" w:eastAsia="宋体" w:cs="宋体"/>
                <w:color w:val="auto"/>
                <w:sz w:val="24"/>
                <w:szCs w:val="24"/>
                <w:highlight w:val="none"/>
              </w:rPr>
            </w:pPr>
          </w:p>
        </w:tc>
        <w:tc>
          <w:tcPr>
            <w:tcW w:w="1492" w:type="dxa"/>
            <w:noWrap w:val="0"/>
            <w:vAlign w:val="center"/>
          </w:tcPr>
          <w:p w14:paraId="68585B2C">
            <w:pPr>
              <w:pStyle w:val="19"/>
              <w:spacing w:line="380" w:lineRule="exact"/>
              <w:ind w:firstLine="0"/>
              <w:jc w:val="center"/>
              <w:rPr>
                <w:rFonts w:hint="eastAsia" w:ascii="宋体" w:hAnsi="宋体" w:eastAsia="宋体" w:cs="宋体"/>
                <w:color w:val="auto"/>
                <w:sz w:val="24"/>
                <w:szCs w:val="24"/>
                <w:highlight w:val="none"/>
              </w:rPr>
            </w:pPr>
          </w:p>
        </w:tc>
      </w:tr>
      <w:tr w14:paraId="6B6926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5B0095C6">
            <w:pPr>
              <w:pStyle w:val="19"/>
              <w:spacing w:line="380" w:lineRule="exact"/>
              <w:ind w:firstLine="0"/>
              <w:jc w:val="center"/>
              <w:rPr>
                <w:rFonts w:hint="eastAsia" w:ascii="宋体" w:hAnsi="宋体" w:eastAsia="宋体" w:cs="宋体"/>
                <w:color w:val="auto"/>
                <w:sz w:val="24"/>
                <w:szCs w:val="24"/>
                <w:highlight w:val="none"/>
              </w:rPr>
            </w:pPr>
            <w:bookmarkStart w:id="133" w:name="_Toc173211908"/>
            <w:bookmarkStart w:id="134" w:name="_Toc173066409"/>
            <w:bookmarkStart w:id="135" w:name="_Toc254970737"/>
            <w:bookmarkStart w:id="136" w:name="_Toc373333697"/>
            <w:bookmarkStart w:id="137" w:name="_Toc295404989"/>
            <w:bookmarkStart w:id="138" w:name="_Toc383699914"/>
            <w:bookmarkStart w:id="139" w:name="_Toc254970596"/>
            <w:bookmarkStart w:id="140" w:name="_Toc297193193"/>
            <w:bookmarkStart w:id="141" w:name="_Toc301781619"/>
            <w:r>
              <w:rPr>
                <w:rFonts w:hint="eastAsia" w:ascii="宋体" w:hAnsi="宋体" w:eastAsia="宋体" w:cs="宋体"/>
                <w:color w:val="auto"/>
                <w:sz w:val="24"/>
                <w:szCs w:val="24"/>
                <w:highlight w:val="none"/>
              </w:rPr>
              <w:t>4</w:t>
            </w:r>
            <w:bookmarkEnd w:id="133"/>
            <w:bookmarkEnd w:id="134"/>
            <w:bookmarkEnd w:id="135"/>
            <w:bookmarkEnd w:id="136"/>
            <w:bookmarkEnd w:id="137"/>
            <w:bookmarkEnd w:id="138"/>
            <w:bookmarkEnd w:id="139"/>
            <w:bookmarkEnd w:id="140"/>
            <w:bookmarkEnd w:id="141"/>
          </w:p>
        </w:tc>
        <w:tc>
          <w:tcPr>
            <w:tcW w:w="915" w:type="dxa"/>
            <w:tcBorders>
              <w:right w:val="single" w:color="auto" w:sz="4" w:space="0"/>
            </w:tcBorders>
            <w:noWrap w:val="0"/>
            <w:vAlign w:val="center"/>
          </w:tcPr>
          <w:p w14:paraId="72E51014">
            <w:pPr>
              <w:pStyle w:val="19"/>
              <w:spacing w:line="380" w:lineRule="exact"/>
              <w:ind w:firstLine="0"/>
              <w:jc w:val="center"/>
              <w:rPr>
                <w:rFonts w:hint="eastAsia" w:ascii="宋体" w:hAnsi="宋体" w:eastAsia="宋体" w:cs="宋体"/>
                <w:color w:val="auto"/>
                <w:sz w:val="24"/>
                <w:szCs w:val="24"/>
                <w:highlight w:val="none"/>
              </w:rPr>
            </w:pPr>
          </w:p>
        </w:tc>
        <w:tc>
          <w:tcPr>
            <w:tcW w:w="3038" w:type="dxa"/>
            <w:tcBorders>
              <w:left w:val="single" w:color="auto" w:sz="4" w:space="0"/>
            </w:tcBorders>
            <w:noWrap w:val="0"/>
            <w:vAlign w:val="center"/>
          </w:tcPr>
          <w:p w14:paraId="4FCB0415">
            <w:pPr>
              <w:pStyle w:val="19"/>
              <w:spacing w:line="380" w:lineRule="exact"/>
              <w:ind w:firstLine="0"/>
              <w:jc w:val="center"/>
              <w:rPr>
                <w:rFonts w:hint="eastAsia" w:ascii="宋体" w:hAnsi="宋体" w:eastAsia="宋体" w:cs="宋体"/>
                <w:color w:val="auto"/>
                <w:sz w:val="24"/>
                <w:szCs w:val="24"/>
                <w:highlight w:val="none"/>
              </w:rPr>
            </w:pPr>
          </w:p>
        </w:tc>
        <w:tc>
          <w:tcPr>
            <w:tcW w:w="2735" w:type="dxa"/>
            <w:noWrap w:val="0"/>
            <w:vAlign w:val="center"/>
          </w:tcPr>
          <w:p w14:paraId="377AC695">
            <w:pPr>
              <w:pStyle w:val="19"/>
              <w:spacing w:line="380" w:lineRule="exact"/>
              <w:ind w:firstLine="0"/>
              <w:jc w:val="center"/>
              <w:rPr>
                <w:rFonts w:hint="eastAsia" w:ascii="宋体" w:hAnsi="宋体" w:eastAsia="宋体" w:cs="宋体"/>
                <w:color w:val="auto"/>
                <w:sz w:val="24"/>
                <w:szCs w:val="24"/>
                <w:highlight w:val="none"/>
              </w:rPr>
            </w:pPr>
          </w:p>
        </w:tc>
        <w:tc>
          <w:tcPr>
            <w:tcW w:w="1492" w:type="dxa"/>
            <w:noWrap w:val="0"/>
            <w:vAlign w:val="center"/>
          </w:tcPr>
          <w:p w14:paraId="7B589A6B">
            <w:pPr>
              <w:pStyle w:val="19"/>
              <w:spacing w:line="380" w:lineRule="exact"/>
              <w:ind w:firstLine="0"/>
              <w:jc w:val="center"/>
              <w:rPr>
                <w:rFonts w:hint="eastAsia" w:ascii="宋体" w:hAnsi="宋体" w:eastAsia="宋体" w:cs="宋体"/>
                <w:color w:val="auto"/>
                <w:sz w:val="24"/>
                <w:szCs w:val="24"/>
                <w:highlight w:val="none"/>
              </w:rPr>
            </w:pPr>
          </w:p>
        </w:tc>
      </w:tr>
      <w:tr w14:paraId="426AD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5" w:type="dxa"/>
            <w:noWrap w:val="0"/>
            <w:vAlign w:val="center"/>
          </w:tcPr>
          <w:p w14:paraId="4784458B">
            <w:pPr>
              <w:pStyle w:val="19"/>
              <w:spacing w:line="380" w:lineRule="exact"/>
              <w:ind w:firstLine="0"/>
              <w:jc w:val="center"/>
              <w:rPr>
                <w:rFonts w:hint="eastAsia" w:ascii="宋体" w:hAnsi="宋体" w:eastAsia="宋体" w:cs="宋体"/>
                <w:color w:val="auto"/>
                <w:sz w:val="24"/>
                <w:szCs w:val="24"/>
                <w:highlight w:val="none"/>
              </w:rPr>
            </w:pPr>
            <w:bookmarkStart w:id="142" w:name="_Toc173211909"/>
            <w:bookmarkStart w:id="143" w:name="_Toc297193194"/>
            <w:bookmarkStart w:id="144" w:name="_Toc301781620"/>
            <w:bookmarkStart w:id="145" w:name="_Toc373333698"/>
            <w:bookmarkStart w:id="146" w:name="_Toc173066410"/>
            <w:bookmarkStart w:id="147" w:name="_Toc383699915"/>
            <w:bookmarkStart w:id="148" w:name="_Toc254970597"/>
            <w:bookmarkStart w:id="149" w:name="_Toc295404990"/>
            <w:bookmarkStart w:id="150" w:name="_Toc254970738"/>
            <w:r>
              <w:rPr>
                <w:rFonts w:hint="eastAsia" w:ascii="宋体" w:hAnsi="宋体" w:eastAsia="宋体" w:cs="宋体"/>
                <w:color w:val="auto"/>
                <w:sz w:val="24"/>
                <w:szCs w:val="24"/>
                <w:highlight w:val="none"/>
              </w:rPr>
              <w:t>5</w:t>
            </w:r>
            <w:bookmarkEnd w:id="142"/>
            <w:bookmarkEnd w:id="143"/>
            <w:bookmarkEnd w:id="144"/>
            <w:bookmarkEnd w:id="145"/>
            <w:bookmarkEnd w:id="146"/>
            <w:bookmarkEnd w:id="147"/>
            <w:bookmarkEnd w:id="148"/>
            <w:bookmarkEnd w:id="149"/>
            <w:bookmarkEnd w:id="150"/>
          </w:p>
        </w:tc>
        <w:tc>
          <w:tcPr>
            <w:tcW w:w="915" w:type="dxa"/>
            <w:tcBorders>
              <w:right w:val="single" w:color="auto" w:sz="4" w:space="0"/>
            </w:tcBorders>
            <w:noWrap w:val="0"/>
            <w:vAlign w:val="center"/>
          </w:tcPr>
          <w:p w14:paraId="4C156D4C">
            <w:pPr>
              <w:pStyle w:val="19"/>
              <w:spacing w:line="380" w:lineRule="exact"/>
              <w:ind w:firstLine="0"/>
              <w:jc w:val="center"/>
              <w:rPr>
                <w:rFonts w:hint="eastAsia" w:ascii="宋体" w:hAnsi="宋体" w:eastAsia="宋体" w:cs="宋体"/>
                <w:color w:val="auto"/>
                <w:sz w:val="24"/>
                <w:szCs w:val="24"/>
                <w:highlight w:val="none"/>
              </w:rPr>
            </w:pPr>
          </w:p>
        </w:tc>
        <w:tc>
          <w:tcPr>
            <w:tcW w:w="3038" w:type="dxa"/>
            <w:tcBorders>
              <w:left w:val="single" w:color="auto" w:sz="4" w:space="0"/>
            </w:tcBorders>
            <w:noWrap w:val="0"/>
            <w:vAlign w:val="center"/>
          </w:tcPr>
          <w:p w14:paraId="7EEACFD1">
            <w:pPr>
              <w:pStyle w:val="19"/>
              <w:spacing w:line="380" w:lineRule="exact"/>
              <w:ind w:firstLine="0"/>
              <w:jc w:val="center"/>
              <w:rPr>
                <w:rFonts w:hint="eastAsia" w:ascii="宋体" w:hAnsi="宋体" w:eastAsia="宋体" w:cs="宋体"/>
                <w:color w:val="auto"/>
                <w:sz w:val="24"/>
                <w:szCs w:val="24"/>
                <w:highlight w:val="none"/>
              </w:rPr>
            </w:pPr>
          </w:p>
        </w:tc>
        <w:tc>
          <w:tcPr>
            <w:tcW w:w="2735" w:type="dxa"/>
            <w:noWrap w:val="0"/>
            <w:vAlign w:val="center"/>
          </w:tcPr>
          <w:p w14:paraId="566C4027">
            <w:pPr>
              <w:pStyle w:val="19"/>
              <w:spacing w:line="380" w:lineRule="exact"/>
              <w:ind w:firstLine="0"/>
              <w:jc w:val="center"/>
              <w:rPr>
                <w:rFonts w:hint="eastAsia" w:ascii="宋体" w:hAnsi="宋体" w:eastAsia="宋体" w:cs="宋体"/>
                <w:color w:val="auto"/>
                <w:sz w:val="24"/>
                <w:szCs w:val="24"/>
                <w:highlight w:val="none"/>
              </w:rPr>
            </w:pPr>
          </w:p>
        </w:tc>
        <w:tc>
          <w:tcPr>
            <w:tcW w:w="1492" w:type="dxa"/>
            <w:noWrap w:val="0"/>
            <w:vAlign w:val="center"/>
          </w:tcPr>
          <w:p w14:paraId="6FA57BA4">
            <w:pPr>
              <w:pStyle w:val="19"/>
              <w:spacing w:line="380" w:lineRule="exact"/>
              <w:ind w:firstLine="0"/>
              <w:jc w:val="center"/>
              <w:rPr>
                <w:rFonts w:hint="eastAsia" w:ascii="宋体" w:hAnsi="宋体" w:eastAsia="宋体" w:cs="宋体"/>
                <w:color w:val="auto"/>
                <w:sz w:val="24"/>
                <w:szCs w:val="24"/>
                <w:highlight w:val="none"/>
              </w:rPr>
            </w:pPr>
          </w:p>
        </w:tc>
      </w:tr>
      <w:tr w14:paraId="191170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5" w:type="dxa"/>
            <w:noWrap w:val="0"/>
            <w:vAlign w:val="center"/>
          </w:tcPr>
          <w:p w14:paraId="0EB32799">
            <w:pPr>
              <w:pStyle w:val="19"/>
              <w:spacing w:line="380" w:lineRule="exact"/>
              <w:ind w:firstLine="0"/>
              <w:jc w:val="center"/>
              <w:rPr>
                <w:rFonts w:hint="eastAsia" w:ascii="宋体" w:hAnsi="宋体" w:eastAsia="宋体" w:cs="宋体"/>
                <w:color w:val="auto"/>
                <w:sz w:val="24"/>
                <w:szCs w:val="24"/>
                <w:highlight w:val="none"/>
              </w:rPr>
            </w:pPr>
            <w:bookmarkStart w:id="151" w:name="_Toc173066415"/>
            <w:bookmarkStart w:id="152" w:name="_Toc383699916"/>
            <w:bookmarkStart w:id="153" w:name="_Toc301781621"/>
            <w:bookmarkStart w:id="154" w:name="_Toc173211914"/>
            <w:bookmarkStart w:id="155" w:name="_Toc373333699"/>
            <w:bookmarkStart w:id="156" w:name="_Toc297193195"/>
            <w:bookmarkStart w:id="157" w:name="_Toc254970602"/>
            <w:bookmarkStart w:id="158" w:name="_Toc295404991"/>
            <w:bookmarkStart w:id="159" w:name="_Toc254970743"/>
            <w:r>
              <w:rPr>
                <w:rFonts w:hint="eastAsia" w:ascii="宋体" w:hAnsi="宋体" w:eastAsia="宋体" w:cs="宋体"/>
                <w:color w:val="auto"/>
                <w:sz w:val="24"/>
                <w:szCs w:val="24"/>
                <w:highlight w:val="none"/>
              </w:rPr>
              <w:t>…</w:t>
            </w:r>
            <w:bookmarkEnd w:id="151"/>
            <w:bookmarkEnd w:id="152"/>
            <w:bookmarkEnd w:id="153"/>
            <w:bookmarkEnd w:id="154"/>
            <w:bookmarkEnd w:id="155"/>
            <w:bookmarkEnd w:id="156"/>
            <w:bookmarkEnd w:id="157"/>
            <w:bookmarkEnd w:id="158"/>
            <w:bookmarkEnd w:id="159"/>
          </w:p>
        </w:tc>
        <w:tc>
          <w:tcPr>
            <w:tcW w:w="915" w:type="dxa"/>
            <w:tcBorders>
              <w:right w:val="single" w:color="auto" w:sz="4" w:space="0"/>
            </w:tcBorders>
            <w:noWrap w:val="0"/>
            <w:vAlign w:val="center"/>
          </w:tcPr>
          <w:p w14:paraId="52BB8835">
            <w:pPr>
              <w:pStyle w:val="19"/>
              <w:spacing w:line="380" w:lineRule="exact"/>
              <w:ind w:firstLine="0"/>
              <w:jc w:val="center"/>
              <w:rPr>
                <w:rFonts w:hint="eastAsia" w:ascii="宋体" w:hAnsi="宋体" w:eastAsia="宋体" w:cs="宋体"/>
                <w:color w:val="auto"/>
                <w:sz w:val="24"/>
                <w:szCs w:val="24"/>
                <w:highlight w:val="none"/>
              </w:rPr>
            </w:pPr>
          </w:p>
        </w:tc>
        <w:tc>
          <w:tcPr>
            <w:tcW w:w="3038" w:type="dxa"/>
            <w:tcBorders>
              <w:left w:val="single" w:color="auto" w:sz="4" w:space="0"/>
            </w:tcBorders>
            <w:noWrap w:val="0"/>
            <w:vAlign w:val="center"/>
          </w:tcPr>
          <w:p w14:paraId="6CFE0700">
            <w:pPr>
              <w:pStyle w:val="19"/>
              <w:spacing w:line="380" w:lineRule="exact"/>
              <w:ind w:firstLine="0"/>
              <w:jc w:val="center"/>
              <w:rPr>
                <w:rFonts w:hint="eastAsia" w:ascii="宋体" w:hAnsi="宋体" w:eastAsia="宋体" w:cs="宋体"/>
                <w:color w:val="auto"/>
                <w:sz w:val="24"/>
                <w:szCs w:val="24"/>
                <w:highlight w:val="none"/>
              </w:rPr>
            </w:pPr>
          </w:p>
        </w:tc>
        <w:tc>
          <w:tcPr>
            <w:tcW w:w="2735" w:type="dxa"/>
            <w:noWrap w:val="0"/>
            <w:vAlign w:val="center"/>
          </w:tcPr>
          <w:p w14:paraId="0B430DF8">
            <w:pPr>
              <w:pStyle w:val="19"/>
              <w:spacing w:line="380" w:lineRule="exact"/>
              <w:ind w:firstLine="0"/>
              <w:jc w:val="center"/>
              <w:rPr>
                <w:rFonts w:hint="eastAsia" w:ascii="宋体" w:hAnsi="宋体" w:eastAsia="宋体" w:cs="宋体"/>
                <w:color w:val="auto"/>
                <w:sz w:val="24"/>
                <w:szCs w:val="24"/>
                <w:highlight w:val="none"/>
              </w:rPr>
            </w:pPr>
          </w:p>
        </w:tc>
        <w:tc>
          <w:tcPr>
            <w:tcW w:w="1492" w:type="dxa"/>
            <w:tcBorders>
              <w:right w:val="single" w:color="auto" w:sz="4" w:space="0"/>
            </w:tcBorders>
            <w:noWrap w:val="0"/>
            <w:vAlign w:val="center"/>
          </w:tcPr>
          <w:p w14:paraId="7385D906">
            <w:pPr>
              <w:pStyle w:val="19"/>
              <w:spacing w:line="380" w:lineRule="exact"/>
              <w:ind w:firstLine="0"/>
              <w:jc w:val="center"/>
              <w:rPr>
                <w:rFonts w:hint="eastAsia" w:ascii="宋体" w:hAnsi="宋体" w:eastAsia="宋体" w:cs="宋体"/>
                <w:color w:val="auto"/>
                <w:sz w:val="24"/>
                <w:szCs w:val="24"/>
                <w:highlight w:val="none"/>
              </w:rPr>
            </w:pPr>
          </w:p>
        </w:tc>
      </w:tr>
    </w:tbl>
    <w:p w14:paraId="4DD9BC33">
      <w:pPr>
        <w:spacing w:line="380" w:lineRule="exact"/>
        <w:rPr>
          <w:rFonts w:hint="eastAsia" w:ascii="宋体" w:hAnsi="宋体" w:cs="宋体"/>
          <w:color w:val="auto"/>
          <w:sz w:val="24"/>
          <w:highlight w:val="none"/>
        </w:rPr>
      </w:pPr>
    </w:p>
    <w:p w14:paraId="58A87935">
      <w:pPr>
        <w:pStyle w:val="19"/>
        <w:spacing w:line="3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2E93E48">
      <w:pPr>
        <w:pStyle w:val="19"/>
        <w:spacing w:line="3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1.说明：应对照磋商文件“第三章 采购需求”中的技术需求和服务要求逐条实质性响应，并作出偏离说明。</w:t>
      </w:r>
    </w:p>
    <w:p w14:paraId="473CC5A3">
      <w:pPr>
        <w:pStyle w:val="19"/>
        <w:spacing w:line="38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w:t>
      </w:r>
    </w:p>
    <w:p w14:paraId="3DA05E41">
      <w:pPr>
        <w:pStyle w:val="23"/>
        <w:spacing w:line="380" w:lineRule="exact"/>
        <w:rPr>
          <w:rFonts w:hint="eastAsia" w:hAnsi="宋体" w:cs="宋体"/>
          <w:color w:val="auto"/>
          <w:sz w:val="24"/>
          <w:szCs w:val="24"/>
          <w:highlight w:val="none"/>
        </w:rPr>
      </w:pPr>
    </w:p>
    <w:p w14:paraId="6A2D8D96">
      <w:pPr>
        <w:spacing w:before="50" w:after="50" w:line="380" w:lineRule="exact"/>
        <w:ind w:right="-817"/>
        <w:rPr>
          <w:rFonts w:hint="eastAsia" w:ascii="宋体" w:hAnsi="宋体" w:cs="宋体"/>
          <w:color w:val="auto"/>
          <w:sz w:val="24"/>
          <w:highlight w:val="none"/>
        </w:rPr>
      </w:pPr>
    </w:p>
    <w:p w14:paraId="74457F17">
      <w:pPr>
        <w:spacing w:before="50" w:after="50" w:line="380" w:lineRule="exact"/>
        <w:ind w:right="-817" w:firstLine="960"/>
        <w:rPr>
          <w:rFonts w:hint="eastAsia" w:ascii="宋体" w:hAnsi="宋体" w:cs="宋体"/>
          <w:color w:val="auto"/>
          <w:sz w:val="24"/>
          <w:highlight w:val="none"/>
        </w:rPr>
      </w:pPr>
      <w:bookmarkStart w:id="160" w:name="OLE_LINK7"/>
      <w:r>
        <w:rPr>
          <w:rFonts w:hint="eastAsia" w:ascii="宋体" w:hAnsi="宋体" w:cs="宋体"/>
          <w:color w:val="auto"/>
          <w:sz w:val="24"/>
          <w:highlight w:val="none"/>
        </w:rPr>
        <w:t xml:space="preserve">法定代表人或者委托代理人（签字）：                    </w:t>
      </w:r>
    </w:p>
    <w:p w14:paraId="79C4BA78">
      <w:pPr>
        <w:spacing w:before="50" w:after="50" w:line="380" w:lineRule="exact"/>
        <w:ind w:right="-817" w:firstLine="2640"/>
        <w:rPr>
          <w:rFonts w:hint="eastAsia" w:ascii="宋体" w:hAnsi="宋体" w:cs="宋体"/>
          <w:color w:val="auto"/>
          <w:sz w:val="24"/>
          <w:highlight w:val="none"/>
        </w:rPr>
      </w:pPr>
      <w:r>
        <w:rPr>
          <w:rFonts w:hint="eastAsia" w:ascii="宋体" w:hAnsi="宋体" w:cs="宋体"/>
          <w:color w:val="auto"/>
          <w:sz w:val="24"/>
          <w:highlight w:val="none"/>
        </w:rPr>
        <w:t xml:space="preserve">供应商（盖公章）：      </w:t>
      </w:r>
    </w:p>
    <w:p w14:paraId="206F7A85">
      <w:pPr>
        <w:spacing w:before="50" w:after="50" w:line="380" w:lineRule="exact"/>
        <w:ind w:right="-817" w:firstLine="4080"/>
        <w:rPr>
          <w:rFonts w:hint="eastAsia" w:ascii="宋体" w:hAnsi="宋体" w:cs="宋体"/>
          <w:color w:val="auto"/>
          <w:sz w:val="24"/>
          <w:highlight w:val="none"/>
        </w:rPr>
      </w:pPr>
      <w:r>
        <w:rPr>
          <w:rFonts w:hint="eastAsia" w:ascii="宋体" w:hAnsi="宋体" w:cs="宋体"/>
          <w:color w:val="auto"/>
          <w:sz w:val="24"/>
          <w:highlight w:val="none"/>
        </w:rPr>
        <w:t>日期：   年   月   日</w:t>
      </w:r>
      <w:bookmarkEnd w:id="160"/>
    </w:p>
    <w:p w14:paraId="27BC22E6">
      <w:pPr>
        <w:spacing w:before="50" w:after="50" w:line="380" w:lineRule="exact"/>
        <w:ind w:right="-817" w:firstLine="4080"/>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60136528">
      <w:pPr>
        <w:spacing w:line="380" w:lineRule="exact"/>
        <w:rPr>
          <w:rFonts w:hint="eastAsia" w:ascii="宋体" w:hAnsi="宋体" w:cs="宋体"/>
          <w:color w:val="auto"/>
          <w:sz w:val="24"/>
          <w:highlight w:val="none"/>
        </w:rPr>
      </w:pPr>
    </w:p>
    <w:p w14:paraId="7DCFD974">
      <w:pPr>
        <w:spacing w:line="360" w:lineRule="auto"/>
        <w:ind w:left="142"/>
        <w:contextualSpacing/>
        <w:jc w:val="center"/>
        <w:rPr>
          <w:rFonts w:hint="eastAsia" w:ascii="宋体" w:hAnsi="宋体" w:cs="宋体"/>
          <w:b/>
          <w:color w:val="auto"/>
          <w:sz w:val="32"/>
          <w:szCs w:val="32"/>
          <w:highlight w:val="none"/>
        </w:rPr>
      </w:pPr>
      <w:bookmarkStart w:id="161" w:name="_Toc20515"/>
      <w:bookmarkStart w:id="162" w:name="_Toc18603"/>
      <w:bookmarkStart w:id="163" w:name="_Toc16443"/>
      <w:r>
        <w:rPr>
          <w:rFonts w:hint="eastAsia" w:ascii="宋体" w:hAnsi="宋体" w:cs="宋体"/>
          <w:b/>
          <w:color w:val="auto"/>
          <w:sz w:val="32"/>
          <w:szCs w:val="32"/>
          <w:highlight w:val="none"/>
        </w:rPr>
        <w:t>供应商类似业绩一览表</w:t>
      </w:r>
    </w:p>
    <w:tbl>
      <w:tblPr>
        <w:tblStyle w:val="44"/>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976"/>
        <w:gridCol w:w="2465"/>
        <w:gridCol w:w="2554"/>
      </w:tblGrid>
      <w:tr w14:paraId="7F0B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1751" w:type="dxa"/>
            <w:noWrap w:val="0"/>
            <w:vAlign w:val="center"/>
          </w:tcPr>
          <w:p w14:paraId="47ECDF3D">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采购人名称</w:t>
            </w:r>
          </w:p>
        </w:tc>
        <w:tc>
          <w:tcPr>
            <w:tcW w:w="1976" w:type="dxa"/>
            <w:noWrap w:val="0"/>
            <w:vAlign w:val="center"/>
          </w:tcPr>
          <w:p w14:paraId="47B847EA">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项目名称</w:t>
            </w:r>
          </w:p>
        </w:tc>
        <w:tc>
          <w:tcPr>
            <w:tcW w:w="2465" w:type="dxa"/>
            <w:noWrap w:val="0"/>
            <w:vAlign w:val="center"/>
          </w:tcPr>
          <w:p w14:paraId="180B5E28">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中标金额或合同金额（万元）</w:t>
            </w:r>
          </w:p>
        </w:tc>
        <w:tc>
          <w:tcPr>
            <w:tcW w:w="2554" w:type="dxa"/>
            <w:noWrap w:val="0"/>
            <w:vAlign w:val="center"/>
          </w:tcPr>
          <w:p w14:paraId="73128A4B">
            <w:pPr>
              <w:spacing w:line="360" w:lineRule="auto"/>
              <w:contextualSpacing/>
              <w:jc w:val="center"/>
              <w:rPr>
                <w:rFonts w:hint="eastAsia" w:ascii="宋体" w:hAnsi="宋体" w:cs="宋体"/>
                <w:color w:val="auto"/>
                <w:sz w:val="24"/>
                <w:szCs w:val="20"/>
                <w:highlight w:val="none"/>
              </w:rPr>
            </w:pPr>
            <w:r>
              <w:rPr>
                <w:rFonts w:hint="eastAsia" w:ascii="宋体" w:hAnsi="宋体" w:cs="宋体"/>
                <w:color w:val="auto"/>
                <w:sz w:val="24"/>
                <w:szCs w:val="20"/>
                <w:highlight w:val="none"/>
              </w:rPr>
              <w:t>证明材料所在页码</w:t>
            </w:r>
          </w:p>
        </w:tc>
      </w:tr>
      <w:tr w14:paraId="1FB5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51" w:type="dxa"/>
            <w:noWrap w:val="0"/>
            <w:vAlign w:val="center"/>
          </w:tcPr>
          <w:p w14:paraId="09D979C3">
            <w:pPr>
              <w:spacing w:line="360" w:lineRule="auto"/>
              <w:contextualSpacing/>
              <w:jc w:val="center"/>
              <w:rPr>
                <w:rFonts w:hint="eastAsia" w:ascii="宋体" w:hAnsi="宋体" w:cs="宋体"/>
                <w:color w:val="auto"/>
                <w:sz w:val="24"/>
                <w:szCs w:val="20"/>
                <w:highlight w:val="none"/>
              </w:rPr>
            </w:pPr>
          </w:p>
        </w:tc>
        <w:tc>
          <w:tcPr>
            <w:tcW w:w="1976" w:type="dxa"/>
            <w:noWrap w:val="0"/>
            <w:vAlign w:val="center"/>
          </w:tcPr>
          <w:p w14:paraId="5DC23CDE">
            <w:pPr>
              <w:spacing w:line="360" w:lineRule="auto"/>
              <w:contextualSpacing/>
              <w:jc w:val="center"/>
              <w:rPr>
                <w:rFonts w:hint="eastAsia" w:ascii="宋体" w:hAnsi="宋体" w:cs="宋体"/>
                <w:color w:val="auto"/>
                <w:sz w:val="24"/>
                <w:szCs w:val="20"/>
                <w:highlight w:val="none"/>
              </w:rPr>
            </w:pPr>
          </w:p>
        </w:tc>
        <w:tc>
          <w:tcPr>
            <w:tcW w:w="2465" w:type="dxa"/>
            <w:noWrap w:val="0"/>
            <w:vAlign w:val="center"/>
          </w:tcPr>
          <w:p w14:paraId="5AEDC390">
            <w:pPr>
              <w:spacing w:line="360" w:lineRule="auto"/>
              <w:contextualSpacing/>
              <w:jc w:val="center"/>
              <w:rPr>
                <w:rFonts w:hint="eastAsia" w:ascii="宋体" w:hAnsi="宋体" w:cs="宋体"/>
                <w:color w:val="auto"/>
                <w:sz w:val="24"/>
                <w:szCs w:val="20"/>
                <w:highlight w:val="none"/>
              </w:rPr>
            </w:pPr>
          </w:p>
        </w:tc>
        <w:tc>
          <w:tcPr>
            <w:tcW w:w="2554" w:type="dxa"/>
            <w:noWrap w:val="0"/>
            <w:vAlign w:val="center"/>
          </w:tcPr>
          <w:p w14:paraId="6120E18F">
            <w:pPr>
              <w:spacing w:line="360" w:lineRule="auto"/>
              <w:contextualSpacing/>
              <w:jc w:val="center"/>
              <w:rPr>
                <w:rFonts w:hint="eastAsia" w:ascii="宋体" w:hAnsi="宋体" w:cs="宋体"/>
                <w:color w:val="auto"/>
                <w:sz w:val="24"/>
                <w:szCs w:val="20"/>
                <w:highlight w:val="none"/>
              </w:rPr>
            </w:pPr>
          </w:p>
        </w:tc>
      </w:tr>
      <w:tr w14:paraId="4C9B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51" w:type="dxa"/>
            <w:noWrap w:val="0"/>
            <w:vAlign w:val="center"/>
          </w:tcPr>
          <w:p w14:paraId="213E2C33">
            <w:pPr>
              <w:spacing w:line="360" w:lineRule="auto"/>
              <w:contextualSpacing/>
              <w:jc w:val="center"/>
              <w:rPr>
                <w:rFonts w:hint="eastAsia" w:ascii="宋体" w:hAnsi="宋体" w:cs="宋体"/>
                <w:color w:val="auto"/>
                <w:sz w:val="24"/>
                <w:szCs w:val="20"/>
                <w:highlight w:val="none"/>
              </w:rPr>
            </w:pPr>
          </w:p>
        </w:tc>
        <w:tc>
          <w:tcPr>
            <w:tcW w:w="1976" w:type="dxa"/>
            <w:noWrap w:val="0"/>
            <w:vAlign w:val="center"/>
          </w:tcPr>
          <w:p w14:paraId="2E6D76A6">
            <w:pPr>
              <w:spacing w:line="360" w:lineRule="auto"/>
              <w:contextualSpacing/>
              <w:jc w:val="center"/>
              <w:rPr>
                <w:rFonts w:hint="eastAsia" w:ascii="宋体" w:hAnsi="宋体" w:cs="宋体"/>
                <w:color w:val="auto"/>
                <w:sz w:val="24"/>
                <w:szCs w:val="20"/>
                <w:highlight w:val="none"/>
              </w:rPr>
            </w:pPr>
          </w:p>
        </w:tc>
        <w:tc>
          <w:tcPr>
            <w:tcW w:w="2465" w:type="dxa"/>
            <w:noWrap w:val="0"/>
            <w:vAlign w:val="center"/>
          </w:tcPr>
          <w:p w14:paraId="5C5377C9">
            <w:pPr>
              <w:spacing w:line="360" w:lineRule="auto"/>
              <w:contextualSpacing/>
              <w:jc w:val="center"/>
              <w:rPr>
                <w:rFonts w:hint="eastAsia" w:ascii="宋体" w:hAnsi="宋体" w:cs="宋体"/>
                <w:color w:val="auto"/>
                <w:sz w:val="24"/>
                <w:szCs w:val="20"/>
                <w:highlight w:val="none"/>
              </w:rPr>
            </w:pPr>
          </w:p>
        </w:tc>
        <w:tc>
          <w:tcPr>
            <w:tcW w:w="2554" w:type="dxa"/>
            <w:noWrap w:val="0"/>
            <w:vAlign w:val="center"/>
          </w:tcPr>
          <w:p w14:paraId="7ED8AE02">
            <w:pPr>
              <w:spacing w:line="360" w:lineRule="auto"/>
              <w:contextualSpacing/>
              <w:jc w:val="center"/>
              <w:rPr>
                <w:rFonts w:hint="eastAsia" w:ascii="宋体" w:hAnsi="宋体" w:cs="宋体"/>
                <w:color w:val="auto"/>
                <w:sz w:val="24"/>
                <w:szCs w:val="20"/>
                <w:highlight w:val="none"/>
              </w:rPr>
            </w:pPr>
          </w:p>
        </w:tc>
      </w:tr>
      <w:tr w14:paraId="33EF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751" w:type="dxa"/>
            <w:noWrap w:val="0"/>
            <w:vAlign w:val="center"/>
          </w:tcPr>
          <w:p w14:paraId="4A43FED8">
            <w:pPr>
              <w:spacing w:line="360" w:lineRule="auto"/>
              <w:contextualSpacing/>
              <w:jc w:val="center"/>
              <w:rPr>
                <w:rFonts w:hint="eastAsia" w:ascii="宋体" w:hAnsi="宋体" w:cs="宋体"/>
                <w:color w:val="auto"/>
                <w:sz w:val="24"/>
                <w:szCs w:val="20"/>
                <w:highlight w:val="none"/>
              </w:rPr>
            </w:pPr>
          </w:p>
        </w:tc>
        <w:tc>
          <w:tcPr>
            <w:tcW w:w="1976" w:type="dxa"/>
            <w:noWrap w:val="0"/>
            <w:vAlign w:val="center"/>
          </w:tcPr>
          <w:p w14:paraId="5AFCEDFA">
            <w:pPr>
              <w:spacing w:line="360" w:lineRule="auto"/>
              <w:contextualSpacing/>
              <w:jc w:val="center"/>
              <w:rPr>
                <w:rFonts w:hint="eastAsia" w:ascii="宋体" w:hAnsi="宋体" w:cs="宋体"/>
                <w:color w:val="auto"/>
                <w:sz w:val="24"/>
                <w:szCs w:val="20"/>
                <w:highlight w:val="none"/>
              </w:rPr>
            </w:pPr>
          </w:p>
        </w:tc>
        <w:tc>
          <w:tcPr>
            <w:tcW w:w="2465" w:type="dxa"/>
            <w:noWrap w:val="0"/>
            <w:vAlign w:val="center"/>
          </w:tcPr>
          <w:p w14:paraId="5B6E244D">
            <w:pPr>
              <w:spacing w:line="360" w:lineRule="auto"/>
              <w:contextualSpacing/>
              <w:jc w:val="center"/>
              <w:rPr>
                <w:rFonts w:hint="eastAsia" w:ascii="宋体" w:hAnsi="宋体" w:cs="宋体"/>
                <w:color w:val="auto"/>
                <w:sz w:val="24"/>
                <w:szCs w:val="20"/>
                <w:highlight w:val="none"/>
              </w:rPr>
            </w:pPr>
          </w:p>
        </w:tc>
        <w:tc>
          <w:tcPr>
            <w:tcW w:w="2554" w:type="dxa"/>
            <w:noWrap w:val="0"/>
            <w:vAlign w:val="center"/>
          </w:tcPr>
          <w:p w14:paraId="6A591BED">
            <w:pPr>
              <w:spacing w:line="360" w:lineRule="auto"/>
              <w:contextualSpacing/>
              <w:jc w:val="center"/>
              <w:rPr>
                <w:rFonts w:hint="eastAsia" w:ascii="宋体" w:hAnsi="宋体" w:cs="宋体"/>
                <w:color w:val="auto"/>
                <w:sz w:val="24"/>
                <w:szCs w:val="20"/>
                <w:highlight w:val="none"/>
              </w:rPr>
            </w:pPr>
          </w:p>
        </w:tc>
      </w:tr>
    </w:tbl>
    <w:p w14:paraId="74741A57">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z w:val="24"/>
          <w:szCs w:val="20"/>
          <w:highlight w:val="none"/>
        </w:rPr>
        <w:t>注：根据评审标准提供相关证明材料。</w:t>
      </w:r>
    </w:p>
    <w:p w14:paraId="5B879C3E">
      <w:pPr>
        <w:spacing w:line="360" w:lineRule="auto"/>
        <w:contextualSpacing/>
        <w:rPr>
          <w:rFonts w:hint="eastAsia" w:ascii="宋体" w:hAnsi="宋体" w:cs="宋体"/>
          <w:color w:val="auto"/>
          <w:sz w:val="24"/>
          <w:highlight w:val="none"/>
        </w:rPr>
      </w:pPr>
    </w:p>
    <w:p w14:paraId="63DA2B2F">
      <w:pPr>
        <w:spacing w:line="360" w:lineRule="auto"/>
        <w:contextualSpacing/>
        <w:rPr>
          <w:rFonts w:hint="eastAsia"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p>
    <w:p w14:paraId="31F0967F">
      <w:pPr>
        <w:spacing w:line="360" w:lineRule="auto"/>
        <w:contextualSpacing/>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供应商（盖公章）：              </w:t>
      </w:r>
    </w:p>
    <w:p w14:paraId="0345A520">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 w:val="24"/>
          <w:highlight w:val="none"/>
        </w:rPr>
        <w:t>日 期：</w:t>
      </w:r>
      <w:bookmarkEnd w:id="161"/>
      <w:bookmarkEnd w:id="162"/>
      <w:bookmarkEnd w:id="163"/>
    </w:p>
    <w:p w14:paraId="4021DA92">
      <w:pPr>
        <w:jc w:val="center"/>
        <w:outlineLvl w:val="1"/>
        <w:rPr>
          <w:rFonts w:hint="eastAsia" w:ascii="宋体" w:hAnsi="宋体" w:cs="宋体"/>
          <w:b/>
          <w:color w:val="auto"/>
          <w:sz w:val="24"/>
          <w:highlight w:val="none"/>
        </w:rPr>
        <w:sectPr>
          <w:footerReference r:id="rId6" w:type="default"/>
          <w:pgSz w:w="11906" w:h="16838"/>
          <w:pgMar w:top="1440" w:right="1587" w:bottom="1440" w:left="1587" w:header="851" w:footer="992" w:gutter="0"/>
          <w:cols w:space="720" w:num="1"/>
          <w:docGrid w:linePitch="360" w:charSpace="0"/>
        </w:sectPr>
      </w:pPr>
    </w:p>
    <w:p w14:paraId="60A17480">
      <w:pPr>
        <w:jc w:val="center"/>
        <w:outlineLvl w:val="1"/>
        <w:rPr>
          <w:rFonts w:hint="eastAsia" w:ascii="宋体" w:hAnsi="宋体" w:cs="宋体"/>
          <w:b/>
          <w:color w:val="auto"/>
          <w:sz w:val="32"/>
          <w:szCs w:val="32"/>
          <w:highlight w:val="none"/>
        </w:rPr>
      </w:pPr>
      <w:bookmarkStart w:id="164" w:name="_Toc23159"/>
      <w:bookmarkStart w:id="165" w:name="_Toc29815"/>
      <w:bookmarkStart w:id="166" w:name="_Toc24493"/>
      <w:r>
        <w:rPr>
          <w:rFonts w:hint="eastAsia" w:ascii="宋体" w:hAnsi="宋体" w:cs="宋体"/>
          <w:b/>
          <w:bCs/>
          <w:color w:val="auto"/>
          <w:sz w:val="44"/>
          <w:szCs w:val="44"/>
          <w:highlight w:val="none"/>
        </w:rPr>
        <w:t>第六章 合同文本</w:t>
      </w:r>
      <w:bookmarkEnd w:id="164"/>
      <w:bookmarkEnd w:id="165"/>
      <w:bookmarkEnd w:id="166"/>
    </w:p>
    <w:p w14:paraId="1E7D0180">
      <w:pPr>
        <w:pStyle w:val="5"/>
        <w:ind w:left="215" w:hanging="104"/>
        <w:rPr>
          <w:rFonts w:hint="eastAsia" w:ascii="宋体" w:hAnsi="宋体" w:eastAsia="宋体" w:cs="宋体"/>
          <w:color w:val="auto"/>
          <w:highlight w:val="none"/>
        </w:rPr>
      </w:pPr>
      <w:bookmarkStart w:id="167" w:name="_Toc80205944"/>
      <w:bookmarkEnd w:id="167"/>
      <w:bookmarkStart w:id="168" w:name="_Toc80886948"/>
      <w:bookmarkEnd w:id="168"/>
    </w:p>
    <w:p w14:paraId="0D8E0A59">
      <w:pPr>
        <w:pStyle w:val="23"/>
        <w:spacing w:line="360" w:lineRule="auto"/>
        <w:ind w:right="420"/>
        <w:jc w:val="center"/>
        <w:rPr>
          <w:rFonts w:hint="eastAsia" w:hAnsi="Times New Roman" w:eastAsia="宋体" w:cs="Courier New"/>
          <w:b/>
          <w:bCs/>
          <w:sz w:val="32"/>
          <w:szCs w:val="32"/>
        </w:rPr>
      </w:pPr>
      <w:r>
        <w:rPr>
          <w:rFonts w:hint="eastAsia" w:hAnsi="Times New Roman" w:eastAsia="宋体" w:cs="Courier New"/>
          <w:b/>
          <w:bCs/>
          <w:sz w:val="32"/>
          <w:szCs w:val="32"/>
        </w:rPr>
        <w:t>采购合同</w:t>
      </w:r>
    </w:p>
    <w:p w14:paraId="454323E0">
      <w:pPr>
        <w:spacing w:line="360" w:lineRule="auto"/>
        <w:ind w:right="480" w:firstLine="5985"/>
        <w:rPr>
          <w:rFonts w:hint="eastAsia" w:ascii="宋体" w:hAnsi="Times New Roman" w:eastAsia="宋体" w:cs="Times New Roman"/>
          <w:bCs/>
          <w:sz w:val="21"/>
          <w:szCs w:val="21"/>
          <w:u w:val="single"/>
        </w:rPr>
      </w:pPr>
      <w:r>
        <w:rPr>
          <w:rFonts w:hint="eastAsia" w:ascii="宋体" w:hAnsi="Times New Roman" w:eastAsia="宋体" w:cs="Times New Roman"/>
          <w:bCs/>
          <w:sz w:val="21"/>
          <w:szCs w:val="21"/>
        </w:rPr>
        <w:t>合同编号：</w:t>
      </w:r>
    </w:p>
    <w:p w14:paraId="7F87C5C2">
      <w:pPr>
        <w:spacing w:line="360" w:lineRule="auto"/>
        <w:rPr>
          <w:rFonts w:hint="eastAsia" w:ascii="宋体" w:hAnsi="Times New Roman" w:eastAsia="宋体" w:cs="Times New Roman"/>
          <w:sz w:val="21"/>
          <w:szCs w:val="21"/>
        </w:rPr>
      </w:pPr>
    </w:p>
    <w:p w14:paraId="083A9CA4">
      <w:pPr>
        <w:spacing w:line="360" w:lineRule="auto"/>
        <w:rPr>
          <w:rFonts w:hint="eastAsia" w:ascii="宋体" w:hAnsi="宋体" w:eastAsia="宋体" w:cs="Times New Roman"/>
          <w:sz w:val="21"/>
          <w:szCs w:val="21"/>
        </w:rPr>
      </w:pPr>
      <w:r>
        <w:rPr>
          <w:rFonts w:hint="eastAsia" w:ascii="宋体" w:hAnsi="宋体" w:eastAsia="宋体" w:cs="Times New Roman"/>
          <w:sz w:val="21"/>
          <w:szCs w:val="21"/>
        </w:rPr>
        <w:t>采购单位（甲方）</w:t>
      </w:r>
      <w:r>
        <w:rPr>
          <w:rFonts w:hint="eastAsia" w:ascii="宋体" w:hAnsi="宋体" w:eastAsia="宋体" w:cs="Times New Roman"/>
          <w:sz w:val="21"/>
          <w:szCs w:val="21"/>
          <w:u w:val="single"/>
        </w:rPr>
        <w:t xml:space="preserve"> 广西壮族自治区卫生健康委员会项目资金监管服务中心 </w:t>
      </w:r>
      <w:r>
        <w:rPr>
          <w:rFonts w:hint="eastAsia" w:ascii="宋体" w:hAnsi="宋体" w:eastAsia="宋体" w:cs="Times New Roman"/>
          <w:sz w:val="21"/>
          <w:szCs w:val="21"/>
        </w:rPr>
        <w:t xml:space="preserve">  </w:t>
      </w:r>
    </w:p>
    <w:p w14:paraId="1DF2B7A9">
      <w:pPr>
        <w:spacing w:line="360" w:lineRule="auto"/>
        <w:rPr>
          <w:rFonts w:hint="eastAsia" w:ascii="宋体" w:hAnsi="宋体" w:cs="Times New Roman"/>
          <w:sz w:val="21"/>
          <w:szCs w:val="21"/>
          <w:lang w:val="en-US" w:eastAsia="zh-CN"/>
        </w:rPr>
      </w:pPr>
      <w:r>
        <w:rPr>
          <w:rFonts w:hint="eastAsia" w:ascii="宋体" w:hAnsi="宋体" w:eastAsia="宋体" w:cs="Times New Roman"/>
          <w:sz w:val="21"/>
          <w:szCs w:val="21"/>
        </w:rPr>
        <w:t>供 应 商（乙方）</w:t>
      </w:r>
      <w:r>
        <w:rPr>
          <w:rFonts w:hint="eastAsia" w:ascii="宋体" w:hAnsi="宋体" w:eastAsia="宋体" w:cs="Times New Roman"/>
          <w:sz w:val="21"/>
          <w:szCs w:val="21"/>
          <w:u w:val="single"/>
          <w:lang w:val="en-US" w:eastAsia="zh-CN"/>
        </w:rPr>
        <w:t xml:space="preserve"> </w:t>
      </w:r>
      <w:r>
        <w:rPr>
          <w:rFonts w:hint="eastAsia" w:ascii="宋体" w:hAnsi="宋体" w:cs="Times New Roman"/>
          <w:sz w:val="21"/>
          <w:szCs w:val="21"/>
          <w:u w:val="single"/>
          <w:lang w:val="en-US" w:eastAsia="zh-CN"/>
        </w:rPr>
        <w:t xml:space="preserve"> </w:t>
      </w:r>
      <w:r>
        <w:rPr>
          <w:rFonts w:hint="eastAsia" w:ascii="宋体" w:hAnsi="宋体" w:eastAsia="宋体" w:cs="Times New Roman"/>
          <w:sz w:val="21"/>
          <w:szCs w:val="21"/>
          <w:u w:val="single"/>
          <w:lang w:val="en-US" w:eastAsia="zh-CN"/>
        </w:rPr>
        <w:t xml:space="preserve">  </w:t>
      </w:r>
      <w:r>
        <w:rPr>
          <w:rFonts w:hint="eastAsia" w:ascii="宋体" w:hAnsi="宋体" w:cs="Times New Roman"/>
          <w:sz w:val="21"/>
          <w:szCs w:val="21"/>
          <w:u w:val="single"/>
          <w:lang w:val="en-US" w:eastAsia="zh-CN"/>
        </w:rPr>
        <w:t xml:space="preserve">                      </w:t>
      </w:r>
      <w:r>
        <w:rPr>
          <w:rFonts w:hint="eastAsia" w:ascii="宋体" w:hAnsi="宋体" w:cs="Times New Roman"/>
          <w:sz w:val="21"/>
          <w:szCs w:val="21"/>
          <w:u w:val="none"/>
          <w:lang w:val="en-US" w:eastAsia="zh-CN"/>
        </w:rPr>
        <w:t xml:space="preserve"> </w:t>
      </w:r>
      <w:r>
        <w:rPr>
          <w:rFonts w:hint="eastAsia" w:ascii="宋体" w:hAnsi="宋体" w:eastAsia="宋体" w:cs="Times New Roman"/>
          <w:sz w:val="21"/>
          <w:szCs w:val="21"/>
          <w:u w:val="none"/>
        </w:rPr>
        <w:t>项目名称编号</w:t>
      </w:r>
      <w:r>
        <w:rPr>
          <w:rFonts w:hint="eastAsia" w:ascii="宋体" w:hAnsi="宋体" w:cs="Times New Roman"/>
          <w:sz w:val="21"/>
          <w:szCs w:val="21"/>
          <w:u w:val="none"/>
          <w:lang w:eastAsia="zh-CN"/>
        </w:rPr>
        <w:t>：</w:t>
      </w:r>
      <w:r>
        <w:rPr>
          <w:rFonts w:hint="eastAsia" w:ascii="宋体" w:hAnsi="宋体" w:cs="Times New Roman"/>
          <w:sz w:val="21"/>
          <w:szCs w:val="21"/>
          <w:lang w:val="en-US" w:eastAsia="zh-CN"/>
        </w:rPr>
        <w:t xml:space="preserve"> </w:t>
      </w:r>
    </w:p>
    <w:p w14:paraId="6EC8AE51">
      <w:pPr>
        <w:spacing w:line="360" w:lineRule="auto"/>
        <w:rPr>
          <w:rFonts w:hint="eastAsia" w:ascii="宋体" w:hAnsi="宋体" w:eastAsia="宋体" w:cs="Times New Roman"/>
          <w:sz w:val="21"/>
          <w:szCs w:val="21"/>
          <w:u w:val="single"/>
        </w:rPr>
      </w:pPr>
      <w:r>
        <w:rPr>
          <w:rFonts w:hint="eastAsia" w:ascii="宋体" w:hAnsi="宋体" w:eastAsia="宋体" w:cs="Times New Roman"/>
          <w:sz w:val="21"/>
          <w:szCs w:val="21"/>
        </w:rPr>
        <w:t xml:space="preserve">签  订  地  点  </w:t>
      </w:r>
      <w:r>
        <w:rPr>
          <w:rFonts w:hint="eastAsia" w:ascii="宋体" w:hAnsi="宋体" w:eastAsia="宋体" w:cs="Times New Roman"/>
          <w:sz w:val="21"/>
          <w:szCs w:val="21"/>
          <w:u w:val="single"/>
        </w:rPr>
        <w:t xml:space="preserve">                          </w:t>
      </w:r>
      <w:r>
        <w:rPr>
          <w:rFonts w:hint="eastAsia" w:ascii="宋体" w:hAnsi="宋体" w:eastAsia="宋体" w:cs="Times New Roman"/>
          <w:sz w:val="21"/>
          <w:szCs w:val="21"/>
        </w:rPr>
        <w:t xml:space="preserve">  签 订 时 间</w:t>
      </w:r>
      <w:r>
        <w:rPr>
          <w:rFonts w:hint="eastAsia" w:ascii="宋体" w:hAnsi="宋体" w:cs="Times New Roman"/>
          <w:sz w:val="21"/>
          <w:szCs w:val="21"/>
          <w:lang w:eastAsia="zh-CN"/>
        </w:rPr>
        <w:t>：</w:t>
      </w:r>
      <w:r>
        <w:rPr>
          <w:rFonts w:hint="eastAsia" w:ascii="宋体" w:hAnsi="宋体" w:eastAsia="宋体" w:cs="Times New Roman"/>
          <w:sz w:val="21"/>
          <w:szCs w:val="21"/>
          <w:u w:val="single"/>
        </w:rPr>
        <w:t xml:space="preserve">                       </w:t>
      </w:r>
    </w:p>
    <w:p w14:paraId="331E6B99">
      <w:pPr>
        <w:spacing w:line="360" w:lineRule="auto"/>
        <w:ind w:firstLine="420"/>
        <w:rPr>
          <w:rFonts w:hint="eastAsia" w:ascii="宋体" w:hAnsi="宋体" w:eastAsia="宋体" w:cs="Times New Roman"/>
          <w:sz w:val="21"/>
          <w:szCs w:val="21"/>
        </w:rPr>
      </w:pPr>
    </w:p>
    <w:p w14:paraId="552E3B03">
      <w:pPr>
        <w:widowControl w:val="0"/>
        <w:spacing w:line="360" w:lineRule="auto"/>
        <w:ind w:firstLine="420"/>
        <w:jc w:val="both"/>
        <w:rPr>
          <w:rFonts w:hint="eastAsia" w:ascii="宋体" w:hAnsi="Times New Roman" w:eastAsia="宋体" w:cs="Courier New"/>
          <w:sz w:val="21"/>
          <w:szCs w:val="21"/>
          <w:lang w:val="en-US" w:eastAsia="zh-CN" w:bidi="ar-SA"/>
        </w:rPr>
      </w:pPr>
      <w:r>
        <w:rPr>
          <w:rFonts w:hint="eastAsia" w:ascii="宋体" w:hAnsi="Times New Roman" w:eastAsia="宋体" w:cs="Courier New"/>
          <w:sz w:val="21"/>
          <w:szCs w:val="21"/>
          <w:lang w:val="en-US" w:eastAsia="zh-CN" w:bidi="ar-SA"/>
        </w:rPr>
        <w:t>根据《中华人民共和国政府采购法》、《中华人民共和国民法典》等法律、法规规定，按照采购文件规定条款和成交供应商响应文件及其承诺，甲乙双方签订本合同。</w:t>
      </w:r>
    </w:p>
    <w:p w14:paraId="09272B44">
      <w:pPr>
        <w:numPr>
          <w:ilvl w:val="0"/>
          <w:numId w:val="4"/>
        </w:numPr>
        <w:spacing w:line="360" w:lineRule="auto"/>
        <w:ind w:left="1262" w:hanging="840"/>
        <w:outlineLvl w:val="0"/>
        <w:rPr>
          <w:rFonts w:hint="eastAsia" w:ascii="宋体" w:hAnsi="宋体" w:eastAsia="宋体" w:cs="Times New Roman"/>
          <w:b/>
          <w:sz w:val="21"/>
          <w:szCs w:val="21"/>
        </w:rPr>
      </w:pPr>
      <w:bookmarkStart w:id="169" w:name="_Toc9462"/>
      <w:r>
        <w:rPr>
          <w:rFonts w:hint="eastAsia" w:ascii="宋体" w:hAnsi="宋体" w:eastAsia="宋体" w:cs="Times New Roman"/>
          <w:b/>
          <w:sz w:val="21"/>
          <w:szCs w:val="21"/>
        </w:rPr>
        <w:t>合同标的</w:t>
      </w:r>
      <w:bookmarkEnd w:id="169"/>
    </w:p>
    <w:p w14:paraId="1149E6CF">
      <w:pPr>
        <w:spacing w:line="360" w:lineRule="auto"/>
        <w:ind w:firstLine="422"/>
        <w:outlineLvl w:val="0"/>
        <w:rPr>
          <w:rFonts w:hint="eastAsia" w:ascii="宋体" w:hAnsi="宋体" w:eastAsia="宋体" w:cs="Times New Roman"/>
          <w:b/>
          <w:sz w:val="21"/>
          <w:szCs w:val="21"/>
        </w:rPr>
      </w:pPr>
      <w:bookmarkStart w:id="170" w:name="_Toc17350"/>
      <w:r>
        <w:rPr>
          <w:rFonts w:hint="eastAsia" w:ascii="宋体" w:hAnsi="宋体" w:eastAsia="宋体" w:cs="Times New Roman"/>
          <w:b/>
          <w:sz w:val="21"/>
          <w:szCs w:val="21"/>
        </w:rPr>
        <w:t>1、服务名称:委托外包服务</w:t>
      </w:r>
      <w:bookmarkEnd w:id="170"/>
    </w:p>
    <w:p w14:paraId="7B31A8F9">
      <w:pPr>
        <w:spacing w:line="360" w:lineRule="auto"/>
        <w:ind w:firstLine="422"/>
        <w:outlineLvl w:val="0"/>
        <w:rPr>
          <w:rFonts w:hint="default" w:ascii="宋体" w:hAnsi="宋体" w:eastAsia="宋体" w:cs="Times New Roman"/>
          <w:b/>
          <w:sz w:val="21"/>
          <w:szCs w:val="21"/>
          <w:lang w:val="en-US" w:eastAsia="zh-CN"/>
        </w:rPr>
      </w:pPr>
      <w:bookmarkStart w:id="171" w:name="_Toc30076"/>
      <w:r>
        <w:rPr>
          <w:rFonts w:hint="eastAsia" w:ascii="宋体" w:hAnsi="宋体" w:eastAsia="宋体" w:cs="Times New Roman"/>
          <w:b/>
          <w:sz w:val="21"/>
          <w:szCs w:val="21"/>
        </w:rPr>
        <w:t>2、服务数量:</w:t>
      </w:r>
      <w:r>
        <w:rPr>
          <w:rFonts w:hint="eastAsia" w:ascii="宋体" w:hAnsi="宋体" w:eastAsia="宋体" w:cs="Times New Roman"/>
          <w:b/>
          <w:sz w:val="21"/>
          <w:szCs w:val="21"/>
          <w:lang w:val="en-US" w:eastAsia="zh-CN"/>
        </w:rPr>
        <w:t>1项</w:t>
      </w:r>
      <w:bookmarkEnd w:id="171"/>
    </w:p>
    <w:p w14:paraId="3BB386E0">
      <w:pPr>
        <w:spacing w:line="360" w:lineRule="auto"/>
        <w:ind w:firstLine="422"/>
        <w:outlineLvl w:val="0"/>
        <w:rPr>
          <w:rFonts w:hint="eastAsia" w:ascii="宋体" w:hAnsi="宋体" w:eastAsia="宋体" w:cs="Times New Roman"/>
          <w:b/>
          <w:sz w:val="21"/>
          <w:szCs w:val="21"/>
          <w:lang w:val="en-US" w:eastAsia="zh-CN"/>
        </w:rPr>
      </w:pPr>
      <w:bookmarkStart w:id="172" w:name="_Toc14613"/>
      <w:r>
        <w:rPr>
          <w:rFonts w:hint="eastAsia" w:ascii="宋体" w:hAnsi="宋体" w:eastAsia="宋体" w:cs="Times New Roman"/>
          <w:b/>
          <w:sz w:val="21"/>
          <w:szCs w:val="21"/>
        </w:rPr>
        <w:t>3、服务内容:</w:t>
      </w:r>
      <w:r>
        <w:rPr>
          <w:rFonts w:hint="eastAsia" w:ascii="宋体" w:hAnsi="宋体" w:eastAsia="宋体" w:cs="Times New Roman"/>
          <w:b/>
          <w:sz w:val="21"/>
          <w:szCs w:val="21"/>
          <w:lang w:val="en-US" w:eastAsia="zh-CN"/>
        </w:rPr>
        <w:t>详见《采购项目技术规格、参数及要求》</w:t>
      </w:r>
      <w:bookmarkEnd w:id="172"/>
    </w:p>
    <w:p w14:paraId="22EEC6D5">
      <w:pPr>
        <w:spacing w:line="360" w:lineRule="auto"/>
        <w:ind w:firstLine="422"/>
        <w:outlineLvl w:val="0"/>
        <w:rPr>
          <w:rFonts w:hint="eastAsia" w:ascii="宋体" w:hAnsi="宋体" w:eastAsia="宋体" w:cs="Times New Roman"/>
          <w:b/>
          <w:sz w:val="21"/>
          <w:szCs w:val="21"/>
        </w:rPr>
      </w:pPr>
      <w:bookmarkStart w:id="173" w:name="_Toc6793"/>
      <w:r>
        <w:rPr>
          <w:rFonts w:hint="eastAsia" w:ascii="宋体" w:hAnsi="宋体" w:eastAsia="宋体" w:cs="Times New Roman"/>
          <w:b/>
          <w:sz w:val="21"/>
          <w:szCs w:val="21"/>
        </w:rPr>
        <w:t>第二条　合同金额</w:t>
      </w:r>
      <w:bookmarkEnd w:id="173"/>
    </w:p>
    <w:p w14:paraId="46F5DE82">
      <w:pPr>
        <w:spacing w:line="360" w:lineRule="auto"/>
        <w:ind w:left="727"/>
        <w:rPr>
          <w:rFonts w:hint="eastAsia" w:ascii="宋体" w:hAnsi="宋体" w:eastAsia="宋体" w:cs="Times New Roman"/>
          <w:b/>
          <w:sz w:val="21"/>
          <w:szCs w:val="21"/>
        </w:rPr>
      </w:pPr>
      <w:r>
        <w:rPr>
          <w:rFonts w:hint="eastAsia" w:ascii="宋体" w:hAnsi="宋体" w:eastAsia="宋体" w:cs="Times New Roman"/>
          <w:b/>
          <w:sz w:val="21"/>
          <w:szCs w:val="21"/>
        </w:rPr>
        <w:t>本项目合同金额(大写)</w:t>
      </w:r>
      <w:r>
        <w:rPr>
          <w:rFonts w:hint="eastAsia" w:ascii="宋体" w:hAnsi="宋体" w:cs="Times New Roman"/>
          <w:b/>
          <w:sz w:val="21"/>
          <w:szCs w:val="21"/>
          <w:lang w:val="en-US" w:eastAsia="zh-CN"/>
        </w:rPr>
        <w:t xml:space="preserve">  </w:t>
      </w:r>
      <w:r>
        <w:rPr>
          <w:rFonts w:hint="eastAsia" w:ascii="宋体" w:hAnsi="宋体" w:cs="Times New Roman"/>
          <w:b/>
          <w:sz w:val="21"/>
          <w:szCs w:val="21"/>
          <w:u w:val="single"/>
          <w:lang w:val="en-US" w:eastAsia="zh-CN"/>
        </w:rPr>
        <w:t xml:space="preserve">                </w:t>
      </w:r>
      <w:r>
        <w:rPr>
          <w:rFonts w:hint="eastAsia" w:ascii="宋体" w:hAnsi="宋体" w:cs="Times New Roman"/>
          <w:b/>
          <w:sz w:val="21"/>
          <w:szCs w:val="21"/>
          <w:lang w:val="en-US" w:eastAsia="zh-CN"/>
        </w:rPr>
        <w:t xml:space="preserve"> </w:t>
      </w:r>
      <w:r>
        <w:rPr>
          <w:rFonts w:hint="eastAsia" w:ascii="宋体" w:hAnsi="宋体" w:eastAsia="宋体" w:cs="Times New Roman"/>
          <w:b/>
          <w:sz w:val="21"/>
          <w:szCs w:val="21"/>
        </w:rPr>
        <w:t>（¥</w:t>
      </w:r>
      <w:r>
        <w:rPr>
          <w:rFonts w:hint="eastAsia" w:ascii="宋体" w:hAnsi="宋体" w:cs="Times New Roman"/>
          <w:b/>
          <w:sz w:val="21"/>
          <w:szCs w:val="21"/>
          <w:u w:val="single"/>
          <w:lang w:val="en-US" w:eastAsia="zh-CN"/>
        </w:rPr>
        <w:t xml:space="preserve">         </w:t>
      </w:r>
      <w:r>
        <w:rPr>
          <w:rFonts w:hint="eastAsia" w:ascii="宋体" w:hAnsi="宋体" w:eastAsia="宋体" w:cs="Times New Roman"/>
          <w:b/>
          <w:sz w:val="21"/>
          <w:szCs w:val="21"/>
          <w:lang w:val="en-US" w:eastAsia="zh-CN"/>
        </w:rPr>
        <w:t>元</w:t>
      </w:r>
      <w:r>
        <w:rPr>
          <w:rFonts w:hint="eastAsia" w:ascii="宋体" w:hAnsi="宋体" w:eastAsia="宋体" w:cs="Times New Roman"/>
          <w:b/>
          <w:sz w:val="21"/>
          <w:szCs w:val="21"/>
        </w:rPr>
        <w:t>）</w:t>
      </w:r>
      <w:r>
        <w:rPr>
          <w:rFonts w:hint="eastAsia" w:ascii="宋体" w:hAnsi="宋体" w:eastAsia="宋体" w:cs="Times New Roman"/>
          <w:sz w:val="21"/>
          <w:szCs w:val="21"/>
        </w:rPr>
        <w:t>。</w:t>
      </w:r>
    </w:p>
    <w:p w14:paraId="4967DB25">
      <w:pPr>
        <w:spacing w:line="360" w:lineRule="auto"/>
        <w:ind w:firstLine="422"/>
        <w:outlineLvl w:val="0"/>
        <w:rPr>
          <w:rFonts w:hint="eastAsia" w:ascii="宋体" w:hAnsi="宋体" w:eastAsia="宋体" w:cs="Times New Roman"/>
          <w:b/>
          <w:sz w:val="21"/>
          <w:szCs w:val="21"/>
        </w:rPr>
      </w:pPr>
      <w:bookmarkStart w:id="174" w:name="_Toc3616"/>
      <w:r>
        <w:rPr>
          <w:rFonts w:hint="eastAsia" w:ascii="宋体" w:hAnsi="宋体" w:eastAsia="宋体" w:cs="Times New Roman"/>
          <w:b/>
          <w:sz w:val="21"/>
          <w:szCs w:val="21"/>
        </w:rPr>
        <w:t>第三条　服务时间及地点</w:t>
      </w:r>
      <w:bookmarkEnd w:id="174"/>
    </w:p>
    <w:p w14:paraId="2E2138AC">
      <w:pPr>
        <w:spacing w:line="360" w:lineRule="auto"/>
        <w:ind w:firstLine="422"/>
        <w:outlineLvl w:val="0"/>
        <w:rPr>
          <w:rFonts w:hint="eastAsia" w:ascii="宋体" w:hAnsi="宋体" w:eastAsia="宋体" w:cs="Times New Roman"/>
          <w:b/>
          <w:sz w:val="21"/>
          <w:szCs w:val="21"/>
          <w:highlight w:val="none"/>
          <w:lang w:eastAsia="zh-CN"/>
        </w:rPr>
      </w:pPr>
      <w:bookmarkStart w:id="175" w:name="_Toc21877"/>
      <w:r>
        <w:rPr>
          <w:rFonts w:hint="eastAsia" w:ascii="宋体" w:hAnsi="宋体" w:eastAsia="宋体" w:cs="Times New Roman"/>
          <w:b/>
          <w:sz w:val="21"/>
          <w:szCs w:val="21"/>
          <w:highlight w:val="none"/>
        </w:rPr>
        <w:t>1、服务时间:</w:t>
      </w:r>
      <w:r>
        <w:rPr>
          <w:rFonts w:hint="eastAsia" w:ascii="宋体" w:hAnsi="宋体" w:cs="Times New Roman"/>
          <w:b/>
          <w:sz w:val="21"/>
          <w:szCs w:val="21"/>
          <w:highlight w:val="none"/>
          <w:lang w:val="en-US" w:eastAsia="zh-CN"/>
        </w:rPr>
        <w:t xml:space="preserve"> 2026年2月-2027年1月</w:t>
      </w:r>
      <w:r>
        <w:rPr>
          <w:rFonts w:hint="eastAsia" w:ascii="宋体" w:hAnsi="宋体" w:eastAsia="宋体" w:cs="Times New Roman"/>
          <w:b/>
          <w:sz w:val="21"/>
          <w:szCs w:val="21"/>
          <w:highlight w:val="none"/>
          <w:lang w:eastAsia="zh-CN"/>
        </w:rPr>
        <w:t>。</w:t>
      </w:r>
      <w:bookmarkEnd w:id="175"/>
    </w:p>
    <w:p w14:paraId="22C9CE96">
      <w:pPr>
        <w:spacing w:line="360" w:lineRule="auto"/>
        <w:ind w:firstLine="422"/>
        <w:outlineLvl w:val="0"/>
        <w:rPr>
          <w:rFonts w:hint="eastAsia" w:ascii="宋体" w:hAnsi="宋体" w:eastAsia="宋体" w:cs="Times New Roman"/>
          <w:sz w:val="21"/>
          <w:szCs w:val="21"/>
          <w:lang w:eastAsia="zh-CN"/>
        </w:rPr>
      </w:pPr>
      <w:bookmarkStart w:id="176" w:name="_Toc6998"/>
      <w:r>
        <w:rPr>
          <w:rFonts w:hint="eastAsia" w:ascii="宋体" w:hAnsi="宋体" w:eastAsia="宋体" w:cs="Times New Roman"/>
          <w:b/>
          <w:sz w:val="21"/>
          <w:szCs w:val="21"/>
        </w:rPr>
        <w:t>2、服务地点:广西壮族自治区卫生健康委员会项目资金监管服务中心（南宁市青秀区桃源路4-2号</w:t>
      </w:r>
      <w:r>
        <w:rPr>
          <w:rFonts w:hint="eastAsia" w:ascii="宋体" w:hAnsi="宋体" w:eastAsia="宋体" w:cs="Times New Roman"/>
          <w:b/>
          <w:sz w:val="21"/>
          <w:szCs w:val="21"/>
          <w:lang w:eastAsia="zh-CN"/>
        </w:rPr>
        <w:t>）。</w:t>
      </w:r>
      <w:bookmarkEnd w:id="176"/>
    </w:p>
    <w:p w14:paraId="14ABD9D5">
      <w:pPr>
        <w:spacing w:line="360" w:lineRule="auto"/>
        <w:ind w:firstLine="422"/>
        <w:outlineLvl w:val="0"/>
        <w:rPr>
          <w:rFonts w:hint="eastAsia" w:ascii="宋体" w:hAnsi="宋体" w:eastAsia="宋体" w:cs="Times New Roman"/>
          <w:color w:val="auto"/>
          <w:sz w:val="21"/>
          <w:szCs w:val="21"/>
        </w:rPr>
      </w:pPr>
      <w:bookmarkStart w:id="177" w:name="_Toc12164"/>
      <w:r>
        <w:rPr>
          <w:rFonts w:hint="eastAsia" w:ascii="宋体" w:hAnsi="宋体" w:eastAsia="宋体" w:cs="Times New Roman"/>
          <w:b/>
          <w:color w:val="auto"/>
          <w:sz w:val="21"/>
          <w:szCs w:val="21"/>
        </w:rPr>
        <w:t>第四条　付款方式</w:t>
      </w:r>
      <w:bookmarkEnd w:id="177"/>
    </w:p>
    <w:p w14:paraId="7759B07F">
      <w:pPr>
        <w:spacing w:line="360" w:lineRule="auto"/>
        <w:ind w:left="-61" w:firstLine="514"/>
        <w:outlineLvl w:val="0"/>
        <w:rPr>
          <w:rFonts w:hint="eastAsia" w:ascii="宋体" w:hAnsi="宋体" w:eastAsia="宋体" w:cs="Times New Roman"/>
          <w:b w:val="0"/>
          <w:bCs/>
          <w:sz w:val="21"/>
          <w:szCs w:val="21"/>
        </w:rPr>
      </w:pPr>
      <w:bookmarkStart w:id="178" w:name="_Toc21815"/>
      <w:r>
        <w:rPr>
          <w:rFonts w:hint="eastAsia" w:ascii="宋体" w:hAnsi="宋体" w:eastAsia="宋体" w:cs="Times New Roman"/>
          <w:b w:val="0"/>
          <w:bCs/>
          <w:sz w:val="21"/>
          <w:szCs w:val="21"/>
        </w:rPr>
        <w:t>签订合同后30个工作日内预付一个季度费用，自次季度起按季度实际结算。由成交人提供结算表，经采购人审核确认无误后再提交请款函，自请款函提交次日起，采购人10个工作日内付款，如遇节假日提前安排付款</w:t>
      </w:r>
      <w:r>
        <w:rPr>
          <w:rFonts w:hint="eastAsia" w:ascii="宋体" w:hAnsi="宋体" w:cs="Times New Roman"/>
          <w:b w:val="0"/>
          <w:bCs/>
          <w:sz w:val="21"/>
          <w:szCs w:val="21"/>
          <w:lang w:eastAsia="zh-CN"/>
        </w:rPr>
        <w:t>。</w:t>
      </w:r>
    </w:p>
    <w:p w14:paraId="150BB8B9">
      <w:pPr>
        <w:spacing w:line="360" w:lineRule="auto"/>
        <w:ind w:left="-61" w:firstLine="517"/>
        <w:outlineLvl w:val="0"/>
        <w:rPr>
          <w:rFonts w:hint="eastAsia" w:ascii="宋体" w:hAnsi="宋体" w:eastAsia="宋体" w:cs="Times New Roman"/>
          <w:b/>
          <w:sz w:val="21"/>
          <w:szCs w:val="21"/>
        </w:rPr>
      </w:pPr>
      <w:r>
        <w:rPr>
          <w:rFonts w:hint="eastAsia" w:ascii="宋体" w:hAnsi="宋体" w:eastAsia="宋体" w:cs="Times New Roman"/>
          <w:b/>
          <w:sz w:val="21"/>
          <w:szCs w:val="21"/>
        </w:rPr>
        <w:t>第五条  税费  本合同执行中相关的一切税费均由乙方负担。</w:t>
      </w:r>
      <w:bookmarkEnd w:id="178"/>
    </w:p>
    <w:p w14:paraId="01525BA9">
      <w:pPr>
        <w:widowControl w:val="0"/>
        <w:spacing w:before="120" w:after="120" w:line="360" w:lineRule="auto"/>
        <w:ind w:firstLine="413"/>
        <w:jc w:val="both"/>
        <w:outlineLvl w:val="0"/>
        <w:rPr>
          <w:rFonts w:hint="eastAsia" w:ascii="宋体" w:hAnsi="Times New Roman" w:eastAsia="宋体" w:cs="Courier New"/>
          <w:b/>
          <w:color w:val="auto"/>
          <w:sz w:val="21"/>
          <w:szCs w:val="21"/>
          <w:lang w:val="en-US" w:eastAsia="zh-CN" w:bidi="ar-SA"/>
        </w:rPr>
      </w:pPr>
      <w:bookmarkStart w:id="179" w:name="_Toc16986"/>
      <w:r>
        <w:rPr>
          <w:rFonts w:hint="eastAsia" w:ascii="宋体" w:hAnsi="Times New Roman" w:eastAsia="宋体" w:cs="Courier New"/>
          <w:b/>
          <w:color w:val="auto"/>
          <w:sz w:val="21"/>
          <w:szCs w:val="21"/>
          <w:lang w:val="en-US" w:eastAsia="zh-CN" w:bidi="ar-SA"/>
        </w:rPr>
        <w:t>第六条  验收</w:t>
      </w:r>
      <w:bookmarkEnd w:id="179"/>
    </w:p>
    <w:p w14:paraId="31E54F2F">
      <w:pPr>
        <w:spacing w:line="360" w:lineRule="auto"/>
        <w:ind w:firstLine="525"/>
        <w:rPr>
          <w:rFonts w:hint="eastAsia" w:ascii="Arial" w:hAnsi="Arial" w:eastAsia="宋体" w:cs="Arial"/>
          <w:i w:val="0"/>
          <w:iCs w:val="0"/>
          <w:caps w:val="0"/>
          <w:color w:val="auto"/>
          <w:spacing w:val="0"/>
          <w:sz w:val="21"/>
          <w:szCs w:val="21"/>
          <w:highlight w:val="none"/>
          <w:shd w:val="clear" w:color="auto" w:fill="FFFFFF"/>
          <w:lang w:val="en-US" w:eastAsia="zh-CN"/>
        </w:rPr>
      </w:pPr>
      <w:r>
        <w:rPr>
          <w:rFonts w:hint="eastAsia" w:ascii="Arial" w:hAnsi="Arial" w:eastAsia="宋体" w:cs="Arial"/>
          <w:i w:val="0"/>
          <w:iCs w:val="0"/>
          <w:caps w:val="0"/>
          <w:color w:val="auto"/>
          <w:spacing w:val="0"/>
          <w:sz w:val="21"/>
          <w:szCs w:val="21"/>
          <w:highlight w:val="none"/>
          <w:shd w:val="clear" w:color="auto" w:fill="FFFFFF"/>
          <w:lang w:val="en-US" w:eastAsia="zh-CN"/>
        </w:rPr>
        <w:t>1.按竞争性磋商文件、响应文件以及合同的相关条款进行验收，验收过程中所产生的一切费用均由成交供应商承担。</w:t>
      </w:r>
    </w:p>
    <w:p w14:paraId="5A8C39C2">
      <w:pPr>
        <w:spacing w:line="360" w:lineRule="auto"/>
        <w:ind w:firstLine="525"/>
        <w:rPr>
          <w:rFonts w:hint="eastAsia" w:ascii="Arial" w:hAnsi="Arial" w:eastAsia="宋体" w:cs="Arial"/>
          <w:i w:val="0"/>
          <w:iCs w:val="0"/>
          <w:caps w:val="0"/>
          <w:color w:val="auto"/>
          <w:spacing w:val="0"/>
          <w:sz w:val="21"/>
          <w:szCs w:val="21"/>
          <w:highlight w:val="none"/>
          <w:shd w:val="clear" w:color="auto" w:fill="FFFFFF"/>
          <w:lang w:val="en-US" w:eastAsia="zh-CN"/>
        </w:rPr>
      </w:pPr>
      <w:r>
        <w:rPr>
          <w:rFonts w:hint="eastAsia" w:ascii="Arial" w:hAnsi="Arial" w:eastAsia="宋体" w:cs="Arial"/>
          <w:i w:val="0"/>
          <w:iCs w:val="0"/>
          <w:caps w:val="0"/>
          <w:color w:val="auto"/>
          <w:spacing w:val="0"/>
          <w:sz w:val="21"/>
          <w:szCs w:val="21"/>
          <w:highlight w:val="none"/>
          <w:shd w:val="clear" w:color="auto" w:fill="FFFFFF"/>
          <w:lang w:val="en-US" w:eastAsia="zh-CN"/>
        </w:rPr>
        <w:t>2.提供的服务与响应文件中承诺的服务内容不一致的，由此导致的所有损失由成交供应商承担。</w:t>
      </w:r>
    </w:p>
    <w:p w14:paraId="2847AB09">
      <w:pPr>
        <w:spacing w:line="360" w:lineRule="auto"/>
        <w:ind w:firstLine="525"/>
        <w:rPr>
          <w:rFonts w:hint="eastAsia" w:ascii="Arial" w:hAnsi="Arial" w:eastAsia="宋体" w:cs="Arial"/>
          <w:i w:val="0"/>
          <w:iCs w:val="0"/>
          <w:caps w:val="0"/>
          <w:color w:val="auto"/>
          <w:spacing w:val="0"/>
          <w:sz w:val="21"/>
          <w:szCs w:val="21"/>
          <w:highlight w:val="none"/>
          <w:shd w:val="clear" w:color="auto" w:fill="FFFFFF"/>
          <w:lang w:val="en-US" w:eastAsia="zh-CN"/>
        </w:rPr>
      </w:pPr>
      <w:r>
        <w:rPr>
          <w:rFonts w:hint="eastAsia" w:ascii="Arial" w:hAnsi="Arial" w:eastAsia="宋体" w:cs="Arial"/>
          <w:i w:val="0"/>
          <w:iCs w:val="0"/>
          <w:caps w:val="0"/>
          <w:color w:val="auto"/>
          <w:spacing w:val="0"/>
          <w:sz w:val="21"/>
          <w:szCs w:val="21"/>
          <w:highlight w:val="none"/>
          <w:shd w:val="clear" w:color="auto" w:fill="FFFFFF"/>
          <w:lang w:val="en-US" w:eastAsia="zh-CN"/>
        </w:rPr>
        <w:t>3.合同条款有其他规定的按其规定。</w:t>
      </w:r>
    </w:p>
    <w:p w14:paraId="1B5D8762">
      <w:pPr>
        <w:spacing w:line="360" w:lineRule="auto"/>
        <w:ind w:firstLine="525"/>
        <w:rPr>
          <w:rFonts w:ascii="宋体" w:hAnsi="宋体" w:eastAsia="宋体" w:cs="Times New Roman"/>
          <w:color w:val="auto"/>
          <w:sz w:val="21"/>
          <w:szCs w:val="21"/>
          <w:highlight w:val="none"/>
        </w:rPr>
      </w:pPr>
      <w:r>
        <w:rPr>
          <w:rFonts w:hint="eastAsia" w:ascii="Arial" w:hAnsi="Arial" w:eastAsia="宋体" w:cs="Arial"/>
          <w:i w:val="0"/>
          <w:iCs w:val="0"/>
          <w:caps w:val="0"/>
          <w:color w:val="auto"/>
          <w:spacing w:val="0"/>
          <w:sz w:val="21"/>
          <w:szCs w:val="21"/>
          <w:highlight w:val="none"/>
          <w:shd w:val="clear" w:color="auto" w:fill="FFFFFF"/>
          <w:lang w:val="en-US" w:eastAsia="zh-CN"/>
        </w:rPr>
        <w:t>4.其他验收要求按本项目采购合同执行，未尽事宜参照《关于印发广西壮族自治区政府采购项目履约验收管理办法的通知》[桂财采〔2015〕22号]以及《财政部关于进一步加强政府采购需求和履约验收管理的指导意见》[财库〔2016〕205号]规定执行。</w:t>
      </w:r>
    </w:p>
    <w:p w14:paraId="21A44316">
      <w:pPr>
        <w:spacing w:line="360" w:lineRule="auto"/>
        <w:ind w:firstLine="422"/>
        <w:outlineLvl w:val="0"/>
        <w:rPr>
          <w:rFonts w:hint="eastAsia" w:ascii="宋体" w:hAnsi="宋体" w:eastAsia="宋体" w:cs="Times New Roman"/>
          <w:b/>
          <w:sz w:val="21"/>
          <w:szCs w:val="21"/>
        </w:rPr>
      </w:pPr>
      <w:bookmarkStart w:id="180" w:name="_Toc4464"/>
      <w:r>
        <w:rPr>
          <w:rFonts w:hint="eastAsia" w:ascii="宋体" w:hAnsi="宋体" w:eastAsia="宋体" w:cs="Times New Roman"/>
          <w:b/>
          <w:sz w:val="21"/>
          <w:szCs w:val="21"/>
        </w:rPr>
        <w:t>第七条　违约责任</w:t>
      </w:r>
      <w:bookmarkEnd w:id="180"/>
    </w:p>
    <w:p w14:paraId="21846A77">
      <w:pPr>
        <w:spacing w:line="360" w:lineRule="auto"/>
        <w:ind w:firstLine="525"/>
        <w:rPr>
          <w:rFonts w:hint="eastAsia" w:ascii="宋体" w:hAnsi="宋体" w:eastAsia="宋体" w:cs="Times New Roman"/>
          <w:sz w:val="21"/>
          <w:szCs w:val="21"/>
        </w:rPr>
      </w:pPr>
      <w:r>
        <w:rPr>
          <w:rFonts w:hint="eastAsia" w:ascii="宋体" w:hAnsi="宋体" w:eastAsia="宋体" w:cs="Times New Roman"/>
          <w:sz w:val="21"/>
          <w:szCs w:val="21"/>
        </w:rPr>
        <w:t xml:space="preserve">1、乙方所提供的服务成果质量不合格的，应及时更换，更换不及时的按逾期提交服务成果处罚；因质量问题甲方不同意接收的或特殊情况甲方同意接收的，乙方应向甲方支付违约服务成果款额5%违约金并赔偿甲方经济损失。                                       </w:t>
      </w:r>
    </w:p>
    <w:p w14:paraId="675E2042">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2、甲方无故延期接收服务成果、乙方逾期提交服务成果的，每天向对方偿付违约服务成果款额3‰违约金，超过</w:t>
      </w:r>
      <w:r>
        <w:rPr>
          <w:rFonts w:hint="eastAsia" w:ascii="宋体" w:hAnsi="宋体" w:eastAsia="宋体" w:cs="Times New Roman"/>
          <w:sz w:val="21"/>
          <w:szCs w:val="21"/>
          <w:u w:val="single"/>
        </w:rPr>
        <w:t xml:space="preserve"> 30 </w:t>
      </w:r>
      <w:r>
        <w:rPr>
          <w:rFonts w:hint="eastAsia" w:ascii="宋体" w:hAnsi="宋体" w:eastAsia="宋体" w:cs="Times New Roman"/>
          <w:sz w:val="21"/>
          <w:szCs w:val="21"/>
        </w:rPr>
        <w:t>天对方有权解除合同，违约方承担因此给对方造成经济损失；甲方逾期付服务成果款的，每天向乙方偿付逾期服务成果款额</w:t>
      </w:r>
      <w:r>
        <w:rPr>
          <w:rFonts w:hint="eastAsia" w:ascii="宋体" w:hAnsi="宋体" w:eastAsia="宋体" w:cs="Times New Roman"/>
          <w:sz w:val="21"/>
          <w:szCs w:val="21"/>
          <w:u w:val="single"/>
        </w:rPr>
        <w:t xml:space="preserve">3‰ </w:t>
      </w:r>
      <w:r>
        <w:rPr>
          <w:rFonts w:hint="eastAsia" w:ascii="宋体" w:hAnsi="宋体" w:eastAsia="宋体" w:cs="Times New Roman"/>
          <w:sz w:val="21"/>
          <w:szCs w:val="21"/>
        </w:rPr>
        <w:t>滞纳金。</w:t>
      </w:r>
    </w:p>
    <w:p w14:paraId="01F5E2AF">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3、乙方未按本合同和投标文件中规定的服务承诺提供售后服务的，乙方应按本合同合计金额</w:t>
      </w:r>
      <w:r>
        <w:rPr>
          <w:rFonts w:hint="eastAsia" w:ascii="宋体" w:hAnsi="宋体" w:eastAsia="宋体" w:cs="Times New Roman"/>
          <w:sz w:val="21"/>
          <w:szCs w:val="21"/>
          <w:u w:val="single"/>
        </w:rPr>
        <w:t xml:space="preserve"> 5%</w:t>
      </w:r>
      <w:r>
        <w:rPr>
          <w:rFonts w:hint="eastAsia" w:ascii="宋体" w:hAnsi="宋体" w:eastAsia="宋体" w:cs="Times New Roman"/>
          <w:sz w:val="21"/>
          <w:szCs w:val="21"/>
        </w:rPr>
        <w:t>向甲方支付违约金。</w:t>
      </w:r>
    </w:p>
    <w:p w14:paraId="3BA39244">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4、乙方提供的服务成果在质量保证期内，因乙方和其它质量原因造成的问题，由乙方负责。</w:t>
      </w:r>
    </w:p>
    <w:p w14:paraId="2B945377">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5、其它违约行为按违约服务成果款额5%收取违约金。</w:t>
      </w:r>
    </w:p>
    <w:p w14:paraId="46319CD1">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6、乙方支付的违约金不足以弥补甲方损失的，还应承担赔偿责任。</w:t>
      </w:r>
    </w:p>
    <w:p w14:paraId="6E67D079">
      <w:pPr>
        <w:widowControl w:val="0"/>
        <w:spacing w:before="120" w:after="120" w:line="360" w:lineRule="auto"/>
        <w:ind w:firstLine="413"/>
        <w:jc w:val="both"/>
        <w:outlineLvl w:val="0"/>
        <w:rPr>
          <w:rFonts w:hint="eastAsia" w:ascii="宋体" w:hAnsi="Times New Roman" w:eastAsia="宋体" w:cs="Courier New"/>
          <w:b/>
          <w:sz w:val="21"/>
          <w:szCs w:val="21"/>
          <w:lang w:val="en-US" w:eastAsia="zh-CN" w:bidi="ar-SA"/>
        </w:rPr>
      </w:pPr>
      <w:bookmarkStart w:id="181" w:name="_Toc3358"/>
      <w:r>
        <w:rPr>
          <w:rFonts w:hint="eastAsia" w:ascii="宋体" w:hAnsi="Times New Roman" w:eastAsia="宋体" w:cs="Courier New"/>
          <w:b/>
          <w:sz w:val="21"/>
          <w:szCs w:val="21"/>
          <w:lang w:val="en-US" w:eastAsia="zh-CN" w:bidi="ar-SA"/>
        </w:rPr>
        <w:t>第八条 不可抗力事件处理</w:t>
      </w:r>
      <w:bookmarkEnd w:id="181"/>
    </w:p>
    <w:p w14:paraId="3671731A">
      <w:pPr>
        <w:widowControl w:val="0"/>
        <w:spacing w:before="120" w:after="120" w:line="360" w:lineRule="auto"/>
        <w:ind w:firstLine="420"/>
        <w:jc w:val="both"/>
        <w:rPr>
          <w:rFonts w:hint="eastAsia" w:ascii="宋体" w:hAnsi="Times New Roman" w:eastAsia="宋体" w:cs="Courier New"/>
          <w:sz w:val="21"/>
          <w:szCs w:val="21"/>
          <w:lang w:val="en-US" w:eastAsia="zh-CN" w:bidi="ar-SA"/>
        </w:rPr>
      </w:pPr>
      <w:r>
        <w:rPr>
          <w:rFonts w:hint="eastAsia" w:ascii="宋体" w:hAnsi="Times New Roman" w:eastAsia="宋体" w:cs="Courier New"/>
          <w:sz w:val="21"/>
          <w:szCs w:val="21"/>
          <w:lang w:val="en-US" w:eastAsia="zh-CN" w:bidi="ar-SA"/>
        </w:rPr>
        <w:t>1. 在合同有效期内，任何一方因不可抗力事件导致不能履行合同，则合同履行期可延长，其延长期与不可抗力影响期相同。</w:t>
      </w:r>
    </w:p>
    <w:p w14:paraId="707AE5BE">
      <w:pPr>
        <w:widowControl w:val="0"/>
        <w:spacing w:before="120" w:after="120" w:line="360" w:lineRule="auto"/>
        <w:ind w:firstLine="420"/>
        <w:jc w:val="both"/>
        <w:rPr>
          <w:rFonts w:hint="eastAsia" w:ascii="宋体" w:hAnsi="Times New Roman" w:eastAsia="宋体" w:cs="Courier New"/>
          <w:sz w:val="21"/>
          <w:szCs w:val="21"/>
          <w:lang w:val="en-US" w:eastAsia="zh-CN" w:bidi="ar-SA"/>
        </w:rPr>
      </w:pPr>
      <w:r>
        <w:rPr>
          <w:rFonts w:hint="eastAsia" w:ascii="宋体" w:hAnsi="Times New Roman" w:eastAsia="宋体" w:cs="Courier New"/>
          <w:sz w:val="21"/>
          <w:szCs w:val="21"/>
          <w:lang w:val="en-US" w:eastAsia="zh-CN" w:bidi="ar-SA"/>
        </w:rPr>
        <w:t>2. 不可抗力事件发生后，应立即通知对方，并寄送有关权威机构出具的证明。</w:t>
      </w:r>
    </w:p>
    <w:p w14:paraId="701D2DBD">
      <w:pPr>
        <w:widowControl w:val="0"/>
        <w:spacing w:before="120" w:after="120" w:line="360" w:lineRule="auto"/>
        <w:ind w:firstLine="420"/>
        <w:jc w:val="both"/>
        <w:rPr>
          <w:rFonts w:hint="eastAsia" w:ascii="宋体" w:hAnsi="Times New Roman" w:eastAsia="宋体" w:cs="Courier New"/>
          <w:sz w:val="21"/>
          <w:szCs w:val="21"/>
          <w:lang w:val="en-US" w:eastAsia="zh-CN" w:bidi="ar-SA"/>
        </w:rPr>
      </w:pPr>
      <w:r>
        <w:rPr>
          <w:rFonts w:hint="eastAsia" w:ascii="宋体" w:hAnsi="Times New Roman" w:eastAsia="宋体" w:cs="Courier New"/>
          <w:sz w:val="21"/>
          <w:szCs w:val="21"/>
          <w:lang w:val="en-US" w:eastAsia="zh-CN" w:bidi="ar-SA"/>
        </w:rPr>
        <w:t>3. 不可抗力事件延续一百二十天以上，双方应通过友好协商，确定是否继续履行合同。</w:t>
      </w:r>
    </w:p>
    <w:p w14:paraId="483A7954">
      <w:pPr>
        <w:spacing w:line="360" w:lineRule="auto"/>
        <w:ind w:firstLine="422"/>
        <w:outlineLvl w:val="0"/>
        <w:rPr>
          <w:rFonts w:hint="eastAsia" w:ascii="宋体" w:hAnsi="宋体" w:eastAsia="宋体" w:cs="Times New Roman"/>
          <w:sz w:val="21"/>
          <w:szCs w:val="21"/>
        </w:rPr>
      </w:pPr>
      <w:bookmarkStart w:id="182" w:name="_Toc6647"/>
      <w:r>
        <w:rPr>
          <w:rFonts w:hint="eastAsia" w:ascii="宋体" w:hAnsi="宋体" w:eastAsia="宋体" w:cs="Times New Roman"/>
          <w:b/>
          <w:sz w:val="21"/>
          <w:szCs w:val="21"/>
        </w:rPr>
        <w:t>第九条  合同争议解决</w:t>
      </w:r>
      <w:bookmarkEnd w:id="182"/>
    </w:p>
    <w:p w14:paraId="7D527E15">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1、因服务成果质量问题发生争议的，应邀请国家认可的质量检测机构对服务成果质量进行鉴定。服务成果符合标准的，鉴定费由甲方承担；服务成果不符合标准的，鉴定费由乙方承担。</w:t>
      </w:r>
    </w:p>
    <w:p w14:paraId="0C0EA704">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2、因履行本合同引起的或与本合同有关的争议，甲乙双方应首先通过友好协商解决，如果协商不能解决，向甲方所在地人民法院提起诉讼。</w:t>
      </w:r>
    </w:p>
    <w:p w14:paraId="69D94D6A">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3、诉讼期间，本合同继续履行。</w:t>
      </w:r>
    </w:p>
    <w:p w14:paraId="766A9F9D">
      <w:pPr>
        <w:widowControl w:val="0"/>
        <w:spacing w:before="120" w:after="120" w:line="360" w:lineRule="auto"/>
        <w:ind w:left="561"/>
        <w:jc w:val="both"/>
        <w:outlineLvl w:val="0"/>
        <w:rPr>
          <w:rFonts w:hint="eastAsia" w:ascii="宋体" w:hAnsi="Times New Roman" w:eastAsia="宋体" w:cs="Courier New"/>
          <w:b/>
          <w:sz w:val="21"/>
          <w:szCs w:val="21"/>
          <w:lang w:val="en-US" w:eastAsia="zh-CN" w:bidi="ar-SA"/>
        </w:rPr>
      </w:pPr>
      <w:bookmarkStart w:id="183" w:name="_Toc944"/>
      <w:r>
        <w:rPr>
          <w:rFonts w:hint="eastAsia" w:ascii="宋体" w:hAnsi="Times New Roman" w:eastAsia="宋体" w:cs="Courier New"/>
          <w:b/>
          <w:sz w:val="21"/>
          <w:szCs w:val="21"/>
          <w:lang w:val="en-US" w:eastAsia="zh-CN" w:bidi="ar-SA"/>
        </w:rPr>
        <w:t>第十条 合同生效及其它</w:t>
      </w:r>
      <w:bookmarkEnd w:id="183"/>
    </w:p>
    <w:p w14:paraId="4DEBC3E5">
      <w:pPr>
        <w:widowControl w:val="0"/>
        <w:spacing w:before="120" w:after="120" w:line="360" w:lineRule="auto"/>
        <w:ind w:firstLine="413"/>
        <w:jc w:val="both"/>
        <w:rPr>
          <w:rFonts w:hint="eastAsia" w:ascii="宋体" w:hAnsi="Times New Roman" w:eastAsia="宋体" w:cs="Courier New"/>
          <w:b/>
          <w:sz w:val="21"/>
          <w:szCs w:val="21"/>
          <w:lang w:val="en-US" w:eastAsia="zh-CN" w:bidi="ar-SA"/>
        </w:rPr>
      </w:pPr>
      <w:r>
        <w:rPr>
          <w:rFonts w:hint="eastAsia" w:ascii="宋体" w:hAnsi="Times New Roman" w:eastAsia="宋体" w:cs="Courier New"/>
          <w:b/>
          <w:sz w:val="21"/>
          <w:szCs w:val="21"/>
          <w:lang w:val="en-US" w:eastAsia="zh-CN" w:bidi="ar-SA"/>
        </w:rPr>
        <w:t>1．合同经双方法定代表人(负责人)或授权代表签字并加盖单位公章后生效。</w:t>
      </w:r>
    </w:p>
    <w:p w14:paraId="14B84A49">
      <w:pPr>
        <w:widowControl w:val="0"/>
        <w:spacing w:before="120" w:after="120" w:line="360" w:lineRule="auto"/>
        <w:ind w:firstLine="413"/>
        <w:jc w:val="both"/>
        <w:rPr>
          <w:rFonts w:hint="eastAsia" w:ascii="宋体" w:hAnsi="Times New Roman" w:eastAsia="宋体" w:cs="Courier New"/>
          <w:b/>
          <w:sz w:val="21"/>
          <w:szCs w:val="21"/>
          <w:lang w:val="en-US" w:eastAsia="zh-CN" w:bidi="ar-SA"/>
        </w:rPr>
      </w:pPr>
      <w:r>
        <w:rPr>
          <w:rFonts w:hint="eastAsia" w:ascii="宋体" w:hAnsi="Times New Roman" w:eastAsia="宋体" w:cs="Courier New"/>
          <w:b/>
          <w:sz w:val="21"/>
          <w:szCs w:val="21"/>
          <w:lang w:val="en-US" w:eastAsia="zh-CN" w:bidi="ar-SA"/>
        </w:rPr>
        <w:t>2．合同执行中涉及采购资金和采购内容修改或补充的，须签书面补充协议方可作为主合同不可分割的一部分。</w:t>
      </w:r>
    </w:p>
    <w:p w14:paraId="6CC36591">
      <w:pPr>
        <w:widowControl w:val="0"/>
        <w:spacing w:before="120" w:after="120" w:line="360" w:lineRule="auto"/>
        <w:ind w:firstLine="413"/>
        <w:jc w:val="both"/>
        <w:rPr>
          <w:rFonts w:hint="eastAsia" w:ascii="宋体" w:hAnsi="Times New Roman" w:eastAsia="宋体" w:cs="Courier New"/>
          <w:b/>
          <w:sz w:val="21"/>
          <w:szCs w:val="21"/>
          <w:lang w:val="en-US" w:eastAsia="zh-CN" w:bidi="ar-SA"/>
        </w:rPr>
      </w:pPr>
      <w:r>
        <w:rPr>
          <w:rFonts w:hint="eastAsia" w:ascii="宋体" w:hAnsi="Times New Roman" w:eastAsia="宋体" w:cs="Courier New"/>
          <w:b/>
          <w:sz w:val="21"/>
          <w:szCs w:val="21"/>
          <w:lang w:val="en-US" w:eastAsia="zh-CN" w:bidi="ar-SA"/>
        </w:rPr>
        <w:t>3．本合同未尽事宜，遵照《中华人民共和国民法典》有关条文执行。</w:t>
      </w:r>
    </w:p>
    <w:p w14:paraId="1CA0A134">
      <w:pPr>
        <w:spacing w:line="360" w:lineRule="auto"/>
        <w:ind w:firstLine="525"/>
        <w:outlineLvl w:val="0"/>
        <w:rPr>
          <w:rFonts w:hint="eastAsia" w:ascii="宋体" w:hAnsi="宋体" w:eastAsia="宋体" w:cs="Times New Roman"/>
          <w:b/>
          <w:sz w:val="21"/>
          <w:szCs w:val="21"/>
        </w:rPr>
      </w:pPr>
      <w:bookmarkStart w:id="184" w:name="_Toc9699"/>
      <w:r>
        <w:rPr>
          <w:rFonts w:hint="eastAsia" w:ascii="宋体" w:hAnsi="宋体" w:eastAsia="宋体" w:cs="Times New Roman"/>
          <w:b/>
          <w:sz w:val="21"/>
          <w:szCs w:val="21"/>
        </w:rPr>
        <w:t>第十一条　合同的变更、终止与转让</w:t>
      </w:r>
      <w:bookmarkEnd w:id="184"/>
    </w:p>
    <w:p w14:paraId="0209BFC8">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1、本合同一经签订，甲乙双方不得擅自变更、中止或终止。</w:t>
      </w:r>
    </w:p>
    <w:p w14:paraId="44D852FA">
      <w:pPr>
        <w:widowControl w:val="0"/>
        <w:spacing w:before="120" w:after="120" w:line="360" w:lineRule="auto"/>
        <w:ind w:firstLine="411"/>
        <w:jc w:val="both"/>
        <w:rPr>
          <w:rFonts w:hint="eastAsia" w:ascii="宋体" w:hAnsi="Times New Roman" w:eastAsia="宋体" w:cs="Courier New"/>
          <w:sz w:val="21"/>
          <w:szCs w:val="21"/>
          <w:lang w:val="en-US" w:eastAsia="zh-CN" w:bidi="ar-SA"/>
        </w:rPr>
      </w:pPr>
      <w:r>
        <w:rPr>
          <w:rFonts w:hint="eastAsia" w:ascii="宋体" w:hAnsi="Times New Roman" w:eastAsia="宋体" w:cs="Courier New"/>
          <w:sz w:val="21"/>
          <w:szCs w:val="21"/>
          <w:lang w:val="en-US" w:eastAsia="zh-CN" w:bidi="ar-SA"/>
        </w:rPr>
        <w:t>2、乙方不得擅自转让其应履行的合同义务。</w:t>
      </w:r>
    </w:p>
    <w:p w14:paraId="49BEA1C2">
      <w:pPr>
        <w:widowControl w:val="0"/>
        <w:spacing w:before="120" w:after="120" w:line="360" w:lineRule="auto"/>
        <w:ind w:firstLine="411"/>
        <w:jc w:val="both"/>
        <w:rPr>
          <w:rFonts w:ascii="宋体" w:hAnsi="Times New Roman" w:eastAsia="宋体" w:cs="Courier New"/>
          <w:sz w:val="21"/>
          <w:szCs w:val="21"/>
          <w:lang w:val="en-US" w:eastAsia="zh-CN" w:bidi="ar-SA"/>
        </w:rPr>
      </w:pPr>
      <w:r>
        <w:rPr>
          <w:rFonts w:hint="eastAsia" w:ascii="宋体" w:hAnsi="Times New Roman" w:eastAsia="宋体" w:cs="Courier New"/>
          <w:sz w:val="21"/>
          <w:szCs w:val="21"/>
          <w:lang w:val="en-US" w:eastAsia="zh-CN" w:bidi="ar-SA"/>
        </w:rPr>
        <w:t>3、经双方协商一致，可以对合同有关条款进行变更。</w:t>
      </w:r>
    </w:p>
    <w:p w14:paraId="7930CF36">
      <w:pPr>
        <w:spacing w:line="360" w:lineRule="auto"/>
        <w:ind w:firstLine="422"/>
        <w:outlineLvl w:val="0"/>
        <w:rPr>
          <w:rFonts w:hint="eastAsia" w:ascii="宋体" w:hAnsi="宋体" w:eastAsia="宋体" w:cs="Times New Roman"/>
          <w:b/>
          <w:sz w:val="21"/>
          <w:szCs w:val="21"/>
        </w:rPr>
      </w:pPr>
      <w:bookmarkStart w:id="185" w:name="_Toc12450"/>
      <w:r>
        <w:rPr>
          <w:rFonts w:hint="eastAsia" w:ascii="宋体" w:hAnsi="宋体" w:eastAsia="宋体" w:cs="Times New Roman"/>
          <w:b/>
          <w:sz w:val="21"/>
          <w:szCs w:val="21"/>
        </w:rPr>
        <w:t>第十二条　签订本合同依据</w:t>
      </w:r>
      <w:bookmarkEnd w:id="185"/>
    </w:p>
    <w:p w14:paraId="186F7F78">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1、采购文件；</w:t>
      </w:r>
    </w:p>
    <w:p w14:paraId="386F5D10">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2、乙方提供的响应文件；</w:t>
      </w:r>
    </w:p>
    <w:p w14:paraId="7EB9C777">
      <w:pPr>
        <w:spacing w:line="360" w:lineRule="auto"/>
        <w:ind w:firstLine="420"/>
        <w:rPr>
          <w:rFonts w:hint="eastAsia" w:ascii="宋体" w:hAnsi="宋体" w:eastAsia="宋体" w:cs="Times New Roman"/>
          <w:sz w:val="21"/>
          <w:szCs w:val="21"/>
        </w:rPr>
      </w:pPr>
      <w:r>
        <w:rPr>
          <w:rFonts w:hint="eastAsia" w:ascii="宋体" w:hAnsi="宋体" w:eastAsia="宋体" w:cs="Times New Roman"/>
          <w:sz w:val="21"/>
          <w:szCs w:val="21"/>
        </w:rPr>
        <w:t>3、成交通知书。</w:t>
      </w:r>
    </w:p>
    <w:p w14:paraId="179409DB">
      <w:pPr>
        <w:spacing w:line="360" w:lineRule="auto"/>
        <w:ind w:firstLine="422"/>
        <w:rPr>
          <w:rFonts w:hint="eastAsia" w:ascii="宋体" w:hAnsi="宋体" w:eastAsia="宋体" w:cs="Times New Roman"/>
          <w:sz w:val="21"/>
          <w:szCs w:val="21"/>
        </w:rPr>
      </w:pPr>
      <w:r>
        <w:rPr>
          <w:rFonts w:hint="eastAsia" w:ascii="宋体" w:hAnsi="宋体" w:eastAsia="宋体" w:cs="Times New Roman"/>
          <w:b/>
          <w:sz w:val="21"/>
          <w:szCs w:val="21"/>
        </w:rPr>
        <w:t>第十三条　</w:t>
      </w:r>
      <w:r>
        <w:rPr>
          <w:rFonts w:hint="eastAsia" w:ascii="宋体" w:hAnsi="宋体" w:eastAsia="宋体" w:cs="Times New Roman"/>
          <w:sz w:val="21"/>
          <w:szCs w:val="21"/>
        </w:rPr>
        <w:t>本合同一式</w:t>
      </w:r>
      <w:r>
        <w:rPr>
          <w:rFonts w:hint="eastAsia" w:ascii="宋体" w:hAnsi="宋体" w:cs="Times New Roman"/>
          <w:sz w:val="21"/>
          <w:szCs w:val="21"/>
          <w:lang w:val="en-US" w:eastAsia="zh-CN"/>
        </w:rPr>
        <w:t>伍</w:t>
      </w:r>
      <w:r>
        <w:rPr>
          <w:rFonts w:hint="eastAsia" w:ascii="宋体" w:hAnsi="宋体" w:eastAsia="宋体" w:cs="Times New Roman"/>
          <w:sz w:val="21"/>
          <w:szCs w:val="21"/>
        </w:rPr>
        <w:t>份，具有同等法律效力，</w:t>
      </w:r>
      <w:r>
        <w:rPr>
          <w:rFonts w:hint="eastAsia" w:ascii="宋体" w:hAnsi="宋体" w:eastAsia="宋体" w:cs="Times New Roman"/>
          <w:spacing w:val="4"/>
          <w:sz w:val="21"/>
          <w:szCs w:val="21"/>
        </w:rPr>
        <w:t>采购代理机构</w:t>
      </w:r>
      <w:r>
        <w:rPr>
          <w:rFonts w:hint="eastAsia" w:ascii="宋体" w:hAnsi="宋体" w:cs="Times New Roman"/>
          <w:sz w:val="21"/>
          <w:szCs w:val="21"/>
          <w:lang w:val="en-US" w:eastAsia="zh-CN"/>
        </w:rPr>
        <w:t>壹</w:t>
      </w:r>
      <w:r>
        <w:rPr>
          <w:rFonts w:hint="eastAsia" w:ascii="宋体" w:hAnsi="宋体" w:eastAsia="宋体" w:cs="Times New Roman"/>
          <w:sz w:val="21"/>
          <w:szCs w:val="21"/>
        </w:rPr>
        <w:t>份，甲方</w:t>
      </w:r>
      <w:r>
        <w:rPr>
          <w:rFonts w:hint="eastAsia" w:ascii="宋体" w:hAnsi="宋体" w:cs="Times New Roman"/>
          <w:sz w:val="21"/>
          <w:szCs w:val="21"/>
          <w:lang w:val="en-US" w:eastAsia="zh-CN"/>
        </w:rPr>
        <w:t>贰</w:t>
      </w:r>
      <w:r>
        <w:rPr>
          <w:rFonts w:hint="eastAsia" w:ascii="宋体" w:hAnsi="宋体" w:eastAsia="宋体" w:cs="Times New Roman"/>
          <w:sz w:val="21"/>
          <w:szCs w:val="21"/>
        </w:rPr>
        <w:t>份、乙方</w:t>
      </w:r>
      <w:r>
        <w:rPr>
          <w:rFonts w:hint="eastAsia" w:ascii="宋体" w:hAnsi="宋体" w:cs="Times New Roman"/>
          <w:sz w:val="21"/>
          <w:szCs w:val="21"/>
          <w:lang w:val="en-US" w:eastAsia="zh-CN"/>
        </w:rPr>
        <w:t>贰</w:t>
      </w:r>
      <w:r>
        <w:rPr>
          <w:rFonts w:hint="eastAsia" w:ascii="宋体" w:hAnsi="宋体" w:eastAsia="宋体" w:cs="Times New Roman"/>
          <w:sz w:val="21"/>
          <w:szCs w:val="21"/>
        </w:rPr>
        <w:t>份，本合同甲乙双方签字盖章后生效。</w:t>
      </w:r>
    </w:p>
    <w:p w14:paraId="5CE16D7C">
      <w:pPr>
        <w:spacing w:line="360" w:lineRule="auto"/>
        <w:ind w:firstLine="420"/>
        <w:rPr>
          <w:rFonts w:hint="eastAsia" w:ascii="宋体" w:hAnsi="Times New Roman" w:eastAsia="宋体" w:cs="Times New Roman"/>
          <w:sz w:val="21"/>
          <w:szCs w:val="21"/>
        </w:rPr>
      </w:pP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1EF0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434C0533">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 xml:space="preserve">甲方（章）广西壮族自治区卫生健康委员会项目资金监管服务中心           </w:t>
            </w:r>
          </w:p>
          <w:p w14:paraId="3A3A9F3B">
            <w:pPr>
              <w:spacing w:line="360" w:lineRule="exact"/>
              <w:rPr>
                <w:rFonts w:hint="eastAsia" w:ascii="宋体" w:hAnsi="Times New Roman" w:eastAsia="宋体" w:cs="Times New Roman"/>
                <w:sz w:val="21"/>
                <w:szCs w:val="21"/>
              </w:rPr>
            </w:pPr>
          </w:p>
          <w:p w14:paraId="1C9501AE">
            <w:pPr>
              <w:spacing w:line="360" w:lineRule="exact"/>
              <w:rPr>
                <w:rFonts w:hint="eastAsia" w:ascii="宋体" w:hAnsi="Times New Roman" w:eastAsia="宋体" w:cs="Times New Roman"/>
                <w:sz w:val="21"/>
                <w:szCs w:val="21"/>
              </w:rPr>
            </w:pPr>
          </w:p>
          <w:p w14:paraId="542208EA">
            <w:pPr>
              <w:spacing w:line="360" w:lineRule="exact"/>
              <w:ind w:firstLine="945"/>
              <w:rPr>
                <w:rFonts w:hint="eastAsia" w:ascii="宋体" w:hAnsi="Times New Roman" w:eastAsia="宋体" w:cs="Times New Roman"/>
                <w:sz w:val="21"/>
                <w:szCs w:val="21"/>
              </w:rPr>
            </w:pPr>
            <w:r>
              <w:rPr>
                <w:rFonts w:hint="eastAsia" w:ascii="宋体" w:hAnsi="Times New Roman" w:eastAsia="宋体" w:cs="Times New Roman"/>
                <w:sz w:val="21"/>
                <w:szCs w:val="21"/>
              </w:rPr>
              <w:t xml:space="preserve">                 年   月   日</w:t>
            </w:r>
          </w:p>
        </w:tc>
        <w:tc>
          <w:tcPr>
            <w:tcW w:w="4826" w:type="dxa"/>
            <w:noWrap w:val="0"/>
            <w:vAlign w:val="top"/>
          </w:tcPr>
          <w:p w14:paraId="6507E14B">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 xml:space="preserve">乙方（章）              </w:t>
            </w:r>
          </w:p>
          <w:p w14:paraId="42E3FD03">
            <w:pPr>
              <w:spacing w:line="360" w:lineRule="exact"/>
              <w:rPr>
                <w:rFonts w:hint="eastAsia" w:ascii="宋体" w:hAnsi="Times New Roman" w:eastAsia="宋体" w:cs="Times New Roman"/>
                <w:sz w:val="21"/>
                <w:szCs w:val="21"/>
              </w:rPr>
            </w:pPr>
          </w:p>
          <w:p w14:paraId="63047789">
            <w:pPr>
              <w:spacing w:line="360" w:lineRule="exact"/>
              <w:rPr>
                <w:rFonts w:hint="eastAsia" w:ascii="宋体" w:hAnsi="Times New Roman" w:eastAsia="宋体" w:cs="Times New Roman"/>
                <w:sz w:val="21"/>
                <w:szCs w:val="21"/>
              </w:rPr>
            </w:pPr>
          </w:p>
          <w:p w14:paraId="2D5E1876">
            <w:pPr>
              <w:spacing w:line="360" w:lineRule="exact"/>
              <w:rPr>
                <w:rFonts w:hint="eastAsia" w:ascii="宋体" w:hAnsi="Times New Roman" w:eastAsia="宋体" w:cs="Times New Roman"/>
                <w:sz w:val="21"/>
                <w:szCs w:val="21"/>
              </w:rPr>
            </w:pPr>
          </w:p>
          <w:p w14:paraId="2030CD8D">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 xml:space="preserve">                             年   月   日</w:t>
            </w:r>
          </w:p>
        </w:tc>
      </w:tr>
      <w:tr w14:paraId="0D9A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568" w:type="dxa"/>
            <w:noWrap w:val="0"/>
            <w:vAlign w:val="top"/>
          </w:tcPr>
          <w:p w14:paraId="5ACAB0C3">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单位地址：南宁市青秀区桃源路4-2号</w:t>
            </w:r>
          </w:p>
        </w:tc>
        <w:tc>
          <w:tcPr>
            <w:tcW w:w="4826" w:type="dxa"/>
            <w:noWrap w:val="0"/>
            <w:vAlign w:val="top"/>
          </w:tcPr>
          <w:p w14:paraId="7170E792">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单位地址：</w:t>
            </w:r>
          </w:p>
        </w:tc>
      </w:tr>
      <w:tr w14:paraId="6032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568" w:type="dxa"/>
            <w:noWrap w:val="0"/>
            <w:vAlign w:val="top"/>
          </w:tcPr>
          <w:p w14:paraId="581C4024">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法定代表人(负责人)：</w:t>
            </w:r>
          </w:p>
        </w:tc>
        <w:tc>
          <w:tcPr>
            <w:tcW w:w="4826" w:type="dxa"/>
            <w:noWrap w:val="0"/>
            <w:vAlign w:val="top"/>
          </w:tcPr>
          <w:p w14:paraId="73B07B9D">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法定代表人(负责人)：</w:t>
            </w:r>
          </w:p>
        </w:tc>
      </w:tr>
      <w:tr w14:paraId="09DA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568" w:type="dxa"/>
            <w:noWrap w:val="0"/>
            <w:vAlign w:val="top"/>
          </w:tcPr>
          <w:p w14:paraId="3492F01C">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委托代理人：</w:t>
            </w:r>
          </w:p>
        </w:tc>
        <w:tc>
          <w:tcPr>
            <w:tcW w:w="4826" w:type="dxa"/>
            <w:noWrap w:val="0"/>
            <w:vAlign w:val="top"/>
          </w:tcPr>
          <w:p w14:paraId="5F787EE8">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委托代理人：</w:t>
            </w:r>
          </w:p>
        </w:tc>
      </w:tr>
      <w:tr w14:paraId="3642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568" w:type="dxa"/>
            <w:noWrap w:val="0"/>
            <w:vAlign w:val="top"/>
          </w:tcPr>
          <w:p w14:paraId="7ABA77AB">
            <w:pPr>
              <w:spacing w:line="360" w:lineRule="exact"/>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rPr>
              <w:t>电话：</w:t>
            </w:r>
            <w:r>
              <w:rPr>
                <w:rFonts w:hint="eastAsia" w:ascii="宋体" w:cs="Times New Roman"/>
                <w:sz w:val="21"/>
                <w:szCs w:val="21"/>
                <w:lang w:val="en-US" w:eastAsia="zh-CN"/>
              </w:rPr>
              <w:t>0771-2829161</w:t>
            </w:r>
          </w:p>
        </w:tc>
        <w:tc>
          <w:tcPr>
            <w:tcW w:w="4826" w:type="dxa"/>
            <w:noWrap w:val="0"/>
            <w:vAlign w:val="top"/>
          </w:tcPr>
          <w:p w14:paraId="249118F5">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电话：</w:t>
            </w:r>
          </w:p>
        </w:tc>
      </w:tr>
      <w:tr w14:paraId="56E1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568" w:type="dxa"/>
            <w:noWrap w:val="0"/>
            <w:vAlign w:val="top"/>
          </w:tcPr>
          <w:p w14:paraId="2667FA11">
            <w:pPr>
              <w:spacing w:line="360" w:lineRule="exact"/>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rPr>
              <w:t>电子邮箱：gxwstxmb</w:t>
            </w:r>
            <w:r>
              <w:rPr>
                <w:rFonts w:hint="eastAsia" w:ascii="宋体" w:cs="Times New Roman"/>
                <w:sz w:val="21"/>
                <w:szCs w:val="21"/>
                <w:lang w:val="en-US" w:eastAsia="zh-CN"/>
              </w:rPr>
              <w:t>@163.Com</w:t>
            </w:r>
          </w:p>
        </w:tc>
        <w:tc>
          <w:tcPr>
            <w:tcW w:w="4826" w:type="dxa"/>
            <w:noWrap w:val="0"/>
            <w:vAlign w:val="top"/>
          </w:tcPr>
          <w:p w14:paraId="6AE7B45A">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电子邮箱：</w:t>
            </w:r>
          </w:p>
        </w:tc>
      </w:tr>
      <w:tr w14:paraId="7BE1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568" w:type="dxa"/>
            <w:noWrap w:val="0"/>
            <w:vAlign w:val="top"/>
          </w:tcPr>
          <w:p w14:paraId="0AA4420B">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开户银行：</w:t>
            </w:r>
          </w:p>
        </w:tc>
        <w:tc>
          <w:tcPr>
            <w:tcW w:w="4826" w:type="dxa"/>
            <w:noWrap w:val="0"/>
            <w:vAlign w:val="top"/>
          </w:tcPr>
          <w:p w14:paraId="4D0954EC">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开户银行：</w:t>
            </w:r>
          </w:p>
        </w:tc>
      </w:tr>
      <w:tr w14:paraId="3AE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568" w:type="dxa"/>
            <w:noWrap w:val="0"/>
            <w:vAlign w:val="top"/>
          </w:tcPr>
          <w:p w14:paraId="4E59E5E1">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账号：</w:t>
            </w:r>
          </w:p>
        </w:tc>
        <w:tc>
          <w:tcPr>
            <w:tcW w:w="4826" w:type="dxa"/>
            <w:noWrap w:val="0"/>
            <w:vAlign w:val="top"/>
          </w:tcPr>
          <w:p w14:paraId="56F7CAE8">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账号：</w:t>
            </w:r>
          </w:p>
        </w:tc>
      </w:tr>
      <w:tr w14:paraId="0FA9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568" w:type="dxa"/>
            <w:noWrap w:val="0"/>
            <w:vAlign w:val="top"/>
          </w:tcPr>
          <w:p w14:paraId="3DC19736">
            <w:pPr>
              <w:spacing w:line="360" w:lineRule="exact"/>
              <w:rPr>
                <w:rFonts w:hint="default" w:ascii="宋体" w:hAnsi="Times New Roman" w:eastAsia="宋体" w:cs="Times New Roman"/>
                <w:sz w:val="21"/>
                <w:szCs w:val="21"/>
                <w:lang w:val="en-US" w:eastAsia="zh-CN"/>
              </w:rPr>
            </w:pPr>
            <w:r>
              <w:rPr>
                <w:rFonts w:hint="eastAsia" w:ascii="宋体" w:hAnsi="Times New Roman" w:eastAsia="宋体" w:cs="Times New Roman"/>
                <w:sz w:val="21"/>
                <w:szCs w:val="21"/>
              </w:rPr>
              <w:t>邮政编码：</w:t>
            </w:r>
            <w:r>
              <w:rPr>
                <w:rFonts w:hint="eastAsia" w:ascii="宋体" w:cs="Times New Roman"/>
                <w:sz w:val="21"/>
                <w:szCs w:val="21"/>
                <w:lang w:val="en-US" w:eastAsia="zh-CN"/>
              </w:rPr>
              <w:t>530000</w:t>
            </w:r>
          </w:p>
        </w:tc>
        <w:tc>
          <w:tcPr>
            <w:tcW w:w="4826" w:type="dxa"/>
            <w:noWrap w:val="0"/>
            <w:vAlign w:val="top"/>
          </w:tcPr>
          <w:p w14:paraId="1ED0A598">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邮政编码：</w:t>
            </w:r>
          </w:p>
        </w:tc>
      </w:tr>
      <w:tr w14:paraId="74A8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394" w:type="dxa"/>
            <w:gridSpan w:val="2"/>
            <w:noWrap w:val="0"/>
            <w:vAlign w:val="top"/>
          </w:tcPr>
          <w:p w14:paraId="21C1E7D5">
            <w:pPr>
              <w:spacing w:line="360" w:lineRule="exact"/>
              <w:rPr>
                <w:rFonts w:hint="eastAsia" w:ascii="宋体" w:hAnsi="Times New Roman" w:eastAsia="宋体" w:cs="Times New Roman"/>
                <w:sz w:val="21"/>
                <w:szCs w:val="21"/>
              </w:rPr>
            </w:pPr>
            <w:r>
              <w:rPr>
                <w:rFonts w:hint="eastAsia" w:ascii="宋体" w:hAnsi="Times New Roman" w:eastAsia="宋体" w:cs="Times New Roman"/>
                <w:sz w:val="21"/>
                <w:szCs w:val="21"/>
              </w:rPr>
              <w:t>经办人：</w:t>
            </w:r>
          </w:p>
          <w:p w14:paraId="6123B91D">
            <w:pPr>
              <w:spacing w:line="360" w:lineRule="exact"/>
              <w:ind w:firstLine="630"/>
              <w:jc w:val="right"/>
              <w:rPr>
                <w:rFonts w:hint="eastAsia" w:ascii="宋体" w:hAnsi="Times New Roman" w:eastAsia="宋体" w:cs="Times New Roman"/>
                <w:sz w:val="21"/>
                <w:szCs w:val="21"/>
              </w:rPr>
            </w:pPr>
            <w:r>
              <w:rPr>
                <w:rFonts w:hint="eastAsia" w:ascii="宋体" w:hAnsi="Times New Roman" w:eastAsia="宋体" w:cs="Times New Roman"/>
                <w:sz w:val="21"/>
                <w:szCs w:val="21"/>
              </w:rPr>
              <w:t>年    月    日</w:t>
            </w:r>
          </w:p>
        </w:tc>
      </w:tr>
    </w:tbl>
    <w:p w14:paraId="6DDBDD98">
      <w:pPr>
        <w:spacing w:line="480" w:lineRule="auto"/>
        <w:jc w:val="center"/>
        <w:rPr>
          <w:rFonts w:ascii="Times New Roman" w:hAnsi="Times New Roman" w:eastAsia="宋体" w:cs="Times New Roman"/>
          <w:bCs/>
          <w:sz w:val="28"/>
          <w:szCs w:val="28"/>
        </w:rPr>
      </w:pPr>
      <w:r>
        <w:rPr>
          <w:rFonts w:ascii="Times New Roman" w:hAnsi="Times New Roman" w:eastAsia="宋体" w:cs="Times New Roman"/>
          <w:b/>
          <w:sz w:val="28"/>
          <w:szCs w:val="28"/>
        </w:rPr>
        <w:br w:type="page"/>
      </w:r>
      <w:r>
        <w:rPr>
          <w:rFonts w:ascii="Times New Roman" w:hAnsi="Times New Roman" w:eastAsia="宋体" w:cs="Times New Roman"/>
          <w:b/>
          <w:sz w:val="28"/>
          <w:szCs w:val="28"/>
        </w:rPr>
        <w:t>合 同 附 件</w:t>
      </w:r>
    </w:p>
    <w:tbl>
      <w:tblPr>
        <w:tblStyle w:val="44"/>
        <w:tblW w:w="0" w:type="auto"/>
        <w:jc w:val="center"/>
        <w:tblLayout w:type="fixed"/>
        <w:tblCellMar>
          <w:top w:w="0" w:type="dxa"/>
          <w:left w:w="108" w:type="dxa"/>
          <w:bottom w:w="0" w:type="dxa"/>
          <w:right w:w="108" w:type="dxa"/>
        </w:tblCellMar>
      </w:tblPr>
      <w:tblGrid>
        <w:gridCol w:w="4742"/>
        <w:gridCol w:w="4634"/>
      </w:tblGrid>
      <w:tr w14:paraId="3C952A22">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0F3B5F3F">
            <w:pPr>
              <w:spacing w:line="360" w:lineRule="exact"/>
              <w:rPr>
                <w:rFonts w:ascii="Times New Roman" w:hAnsi="Times New Roman" w:eastAsia="宋体" w:cs="宋体"/>
                <w:bCs/>
                <w:sz w:val="21"/>
                <w:szCs w:val="21"/>
              </w:rPr>
            </w:pP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《服务费</w:t>
            </w:r>
            <w:r>
              <w:rPr>
                <w:rFonts w:hint="eastAsia" w:ascii="宋体" w:hAnsi="宋体" w:eastAsia="宋体" w:cs="Times New Roman"/>
                <w:color w:val="auto"/>
                <w:sz w:val="21"/>
                <w:szCs w:val="21"/>
                <w:highlight w:val="none"/>
              </w:rPr>
              <w:t>结算</w:t>
            </w:r>
            <w:r>
              <w:rPr>
                <w:rFonts w:hint="eastAsia" w:ascii="宋体" w:hAnsi="宋体" w:eastAsia="宋体" w:cs="Times New Roman"/>
                <w:color w:val="auto"/>
                <w:sz w:val="21"/>
                <w:szCs w:val="21"/>
                <w:highlight w:val="none"/>
                <w:lang w:eastAsia="zh-CN"/>
              </w:rPr>
              <w:t>申请</w:t>
            </w:r>
            <w:r>
              <w:rPr>
                <w:rFonts w:hint="eastAsia" w:ascii="宋体" w:hAnsi="宋体" w:eastAsia="宋体" w:cs="Times New Roman"/>
                <w:color w:val="auto"/>
                <w:sz w:val="21"/>
                <w:szCs w:val="21"/>
                <w:highlight w:val="none"/>
              </w:rPr>
              <w:t>表</w:t>
            </w:r>
            <w:r>
              <w:rPr>
                <w:rFonts w:hint="eastAsia" w:ascii="宋体" w:hAnsi="宋体" w:eastAsia="宋体" w:cs="Times New Roman"/>
                <w:color w:val="auto"/>
                <w:sz w:val="21"/>
                <w:szCs w:val="21"/>
                <w:highlight w:val="none"/>
                <w:lang w:eastAsia="zh-CN"/>
              </w:rPr>
              <w:t>》</w:t>
            </w:r>
          </w:p>
        </w:tc>
      </w:tr>
      <w:tr w14:paraId="31001962">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E2B26B7">
            <w:pPr>
              <w:spacing w:line="360" w:lineRule="exact"/>
              <w:rPr>
                <w:rFonts w:ascii="Times New Roman" w:hAnsi="Times New Roman" w:eastAsia="宋体" w:cs="宋体"/>
                <w:bCs/>
                <w:sz w:val="21"/>
                <w:szCs w:val="21"/>
              </w:rPr>
            </w:pPr>
            <w:r>
              <w:rPr>
                <w:rFonts w:hint="eastAsia" w:ascii="Times New Roman" w:hAnsi="Times New Roman" w:eastAsia="宋体" w:cs="宋体"/>
                <w:bCs/>
                <w:sz w:val="21"/>
                <w:szCs w:val="21"/>
                <w:lang w:val="en-US" w:eastAsia="zh-CN"/>
              </w:rPr>
              <w:t>2.</w:t>
            </w:r>
            <w:r>
              <w:rPr>
                <w:rFonts w:ascii="Times New Roman" w:hAnsi="Times New Roman" w:eastAsia="宋体" w:cs="宋体"/>
                <w:bCs/>
                <w:sz w:val="21"/>
                <w:szCs w:val="21"/>
              </w:rPr>
              <w:t>供应商承诺具体事项：</w:t>
            </w:r>
            <w:r>
              <w:rPr>
                <w:rFonts w:hint="eastAsia" w:ascii="宋体" w:hAnsi="宋体" w:eastAsia="宋体" w:cs="Times New Roman"/>
                <w:bCs/>
                <w:sz w:val="21"/>
                <w:szCs w:val="21"/>
              </w:rPr>
              <w:t>详见响应文件。</w:t>
            </w:r>
          </w:p>
        </w:tc>
      </w:tr>
      <w:tr w14:paraId="1BE1BA37">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405E6A16">
            <w:pPr>
              <w:spacing w:line="360" w:lineRule="exact"/>
              <w:rPr>
                <w:rFonts w:ascii="Times New Roman" w:hAnsi="Times New Roman" w:eastAsia="宋体" w:cs="宋体"/>
                <w:bCs/>
                <w:sz w:val="21"/>
                <w:szCs w:val="21"/>
              </w:rPr>
            </w:pPr>
            <w:r>
              <w:rPr>
                <w:rFonts w:hint="eastAsia" w:ascii="Times New Roman" w:hAnsi="Times New Roman" w:eastAsia="宋体" w:cs="宋体"/>
                <w:bCs/>
                <w:sz w:val="21"/>
                <w:szCs w:val="21"/>
                <w:lang w:val="en-US" w:eastAsia="zh-CN"/>
              </w:rPr>
              <w:t>3、</w:t>
            </w:r>
            <w:r>
              <w:rPr>
                <w:rFonts w:ascii="Times New Roman" w:hAnsi="Times New Roman" w:eastAsia="宋体" w:cs="宋体"/>
                <w:bCs/>
                <w:sz w:val="21"/>
                <w:szCs w:val="21"/>
              </w:rPr>
              <w:t>售后服务具体事项：</w:t>
            </w:r>
            <w:r>
              <w:rPr>
                <w:rFonts w:hint="eastAsia" w:ascii="宋体" w:hAnsi="宋体" w:eastAsia="宋体" w:cs="Times New Roman"/>
                <w:bCs/>
                <w:sz w:val="21"/>
                <w:szCs w:val="21"/>
              </w:rPr>
              <w:t>详见响应文件。</w:t>
            </w:r>
          </w:p>
        </w:tc>
      </w:tr>
      <w:tr w14:paraId="21622E10">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3FB3CDF">
            <w:pPr>
              <w:spacing w:line="360" w:lineRule="exact"/>
              <w:rPr>
                <w:rFonts w:ascii="Times New Roman" w:hAnsi="Times New Roman" w:eastAsia="宋体" w:cs="宋体"/>
                <w:bCs/>
                <w:sz w:val="21"/>
                <w:szCs w:val="21"/>
              </w:rPr>
            </w:pPr>
            <w:r>
              <w:rPr>
                <w:rFonts w:hint="eastAsia" w:ascii="Times New Roman" w:hAnsi="Times New Roman" w:eastAsia="宋体" w:cs="宋体"/>
                <w:bCs/>
                <w:sz w:val="21"/>
                <w:szCs w:val="21"/>
                <w:lang w:val="en-US" w:eastAsia="zh-CN"/>
              </w:rPr>
              <w:t>4、</w:t>
            </w:r>
            <w:r>
              <w:rPr>
                <w:rFonts w:hint="eastAsia" w:ascii="Times New Roman" w:hAnsi="Times New Roman" w:eastAsia="宋体" w:cs="宋体"/>
                <w:bCs/>
                <w:sz w:val="21"/>
                <w:szCs w:val="21"/>
              </w:rPr>
              <w:t>服务</w:t>
            </w:r>
            <w:r>
              <w:rPr>
                <w:rFonts w:ascii="Times New Roman" w:hAnsi="Times New Roman" w:eastAsia="宋体" w:cs="宋体"/>
                <w:bCs/>
                <w:sz w:val="21"/>
                <w:szCs w:val="21"/>
              </w:rPr>
              <w:t>期责任：</w:t>
            </w:r>
            <w:r>
              <w:rPr>
                <w:rFonts w:hint="eastAsia" w:ascii="宋体" w:hAnsi="宋体" w:eastAsia="宋体" w:cs="Times New Roman"/>
                <w:bCs/>
                <w:sz w:val="21"/>
                <w:szCs w:val="21"/>
              </w:rPr>
              <w:t>详见响应文件。</w:t>
            </w:r>
          </w:p>
        </w:tc>
      </w:tr>
      <w:tr w14:paraId="01B2EEE2">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D078555">
            <w:pPr>
              <w:spacing w:line="360" w:lineRule="exact"/>
              <w:rPr>
                <w:rFonts w:ascii="Times New Roman" w:hAnsi="Times New Roman" w:eastAsia="宋体" w:cs="宋体"/>
                <w:bCs/>
                <w:sz w:val="21"/>
                <w:szCs w:val="21"/>
              </w:rPr>
            </w:pPr>
            <w:r>
              <w:rPr>
                <w:rFonts w:hint="eastAsia" w:ascii="Times New Roman" w:hAnsi="Times New Roman" w:eastAsia="宋体" w:cs="宋体"/>
                <w:bCs/>
                <w:sz w:val="21"/>
                <w:szCs w:val="21"/>
                <w:lang w:val="en-US" w:eastAsia="zh-CN"/>
              </w:rPr>
              <w:t>5、</w:t>
            </w:r>
            <w:r>
              <w:rPr>
                <w:rFonts w:ascii="Times New Roman" w:hAnsi="Times New Roman" w:eastAsia="宋体" w:cs="宋体"/>
                <w:bCs/>
                <w:sz w:val="21"/>
                <w:szCs w:val="21"/>
              </w:rPr>
              <w:t>其他具体事项：</w:t>
            </w:r>
            <w:r>
              <w:rPr>
                <w:rFonts w:hint="eastAsia" w:ascii="宋体" w:hAnsi="宋体" w:eastAsia="宋体" w:cs="Times New Roman"/>
                <w:bCs/>
                <w:sz w:val="21"/>
                <w:szCs w:val="21"/>
              </w:rPr>
              <w:t>详见响应文件。</w:t>
            </w:r>
          </w:p>
        </w:tc>
      </w:tr>
      <w:tr w14:paraId="27A60B36">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2BA6179F">
            <w:pPr>
              <w:spacing w:line="360" w:lineRule="exact"/>
              <w:rPr>
                <w:rFonts w:ascii="Times New Roman" w:hAnsi="Times New Roman" w:eastAsia="宋体" w:cs="宋体"/>
                <w:sz w:val="21"/>
                <w:szCs w:val="21"/>
              </w:rPr>
            </w:pPr>
            <w:r>
              <w:rPr>
                <w:rFonts w:ascii="Times New Roman" w:hAnsi="Times New Roman" w:eastAsia="宋体" w:cs="宋体"/>
                <w:sz w:val="21"/>
                <w:szCs w:val="21"/>
              </w:rPr>
              <w:t>甲方（章）</w:t>
            </w:r>
            <w:r>
              <w:rPr>
                <w:rFonts w:hint="eastAsia" w:ascii="Times New Roman" w:hAnsi="Times New Roman" w:eastAsia="宋体" w:cs="宋体"/>
                <w:sz w:val="21"/>
                <w:szCs w:val="21"/>
              </w:rPr>
              <w:t xml:space="preserve">广西壮族自治区卫生健康委员会项目资金监管服务中心    </w:t>
            </w:r>
          </w:p>
          <w:p w14:paraId="4987627B">
            <w:pPr>
              <w:spacing w:line="360" w:lineRule="exact"/>
              <w:ind w:firstLine="422"/>
              <w:rPr>
                <w:rFonts w:ascii="Times New Roman" w:hAnsi="Times New Roman" w:eastAsia="宋体" w:cs="宋体"/>
                <w:sz w:val="21"/>
                <w:szCs w:val="21"/>
              </w:rPr>
            </w:pPr>
          </w:p>
          <w:p w14:paraId="6902AB30">
            <w:pPr>
              <w:spacing w:line="360" w:lineRule="exact"/>
              <w:ind w:firstLine="422"/>
              <w:rPr>
                <w:rFonts w:ascii="Times New Roman" w:hAnsi="Times New Roman" w:eastAsia="宋体" w:cs="宋体"/>
                <w:sz w:val="21"/>
                <w:szCs w:val="21"/>
              </w:rPr>
            </w:pPr>
          </w:p>
          <w:p w14:paraId="293799B1">
            <w:pPr>
              <w:spacing w:line="360" w:lineRule="exact"/>
              <w:ind w:firstLine="422"/>
              <w:rPr>
                <w:rFonts w:ascii="Times New Roman" w:hAnsi="Times New Roman" w:eastAsia="宋体" w:cs="宋体"/>
                <w:sz w:val="21"/>
                <w:szCs w:val="21"/>
              </w:rPr>
            </w:pPr>
          </w:p>
          <w:p w14:paraId="111B0487">
            <w:pPr>
              <w:spacing w:line="360" w:lineRule="exact"/>
              <w:ind w:firstLine="422"/>
              <w:rPr>
                <w:rFonts w:ascii="Times New Roman" w:hAnsi="Times New Roman" w:eastAsia="宋体" w:cs="宋体"/>
                <w:sz w:val="21"/>
                <w:szCs w:val="21"/>
              </w:rPr>
            </w:pPr>
            <w:r>
              <w:rPr>
                <w:rFonts w:ascii="Times New Roman" w:hAnsi="Times New Roman" w:eastAsia="宋体" w:cs="宋体"/>
                <w:sz w:val="21"/>
                <w:szCs w:val="21"/>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54ABFFA4">
            <w:pPr>
              <w:spacing w:line="360" w:lineRule="exact"/>
              <w:rPr>
                <w:rFonts w:ascii="Times New Roman" w:hAnsi="Times New Roman" w:eastAsia="宋体" w:cs="宋体"/>
                <w:sz w:val="21"/>
                <w:szCs w:val="21"/>
              </w:rPr>
            </w:pPr>
            <w:r>
              <w:rPr>
                <w:rFonts w:ascii="Times New Roman" w:hAnsi="Times New Roman" w:eastAsia="宋体" w:cs="宋体"/>
                <w:sz w:val="21"/>
                <w:szCs w:val="21"/>
              </w:rPr>
              <w:t>乙方（章）</w:t>
            </w:r>
          </w:p>
          <w:p w14:paraId="4C77A67C">
            <w:pPr>
              <w:spacing w:line="360" w:lineRule="exact"/>
              <w:ind w:firstLine="422"/>
              <w:rPr>
                <w:rFonts w:ascii="Times New Roman" w:hAnsi="Times New Roman" w:eastAsia="宋体" w:cs="宋体"/>
                <w:sz w:val="21"/>
                <w:szCs w:val="21"/>
              </w:rPr>
            </w:pPr>
          </w:p>
          <w:p w14:paraId="783E8FF0">
            <w:pPr>
              <w:spacing w:line="360" w:lineRule="exact"/>
              <w:ind w:firstLine="422"/>
              <w:rPr>
                <w:rFonts w:ascii="Times New Roman" w:hAnsi="Times New Roman" w:eastAsia="宋体" w:cs="宋体"/>
                <w:sz w:val="21"/>
                <w:szCs w:val="21"/>
              </w:rPr>
            </w:pPr>
          </w:p>
          <w:p w14:paraId="6C27883D">
            <w:pPr>
              <w:spacing w:line="360" w:lineRule="exact"/>
              <w:ind w:firstLine="422"/>
              <w:rPr>
                <w:rFonts w:ascii="Times New Roman" w:hAnsi="Times New Roman" w:eastAsia="宋体" w:cs="宋体"/>
                <w:sz w:val="21"/>
                <w:szCs w:val="21"/>
              </w:rPr>
            </w:pPr>
          </w:p>
          <w:p w14:paraId="0B12BEB6">
            <w:pPr>
              <w:spacing w:line="360" w:lineRule="exact"/>
              <w:ind w:firstLine="422"/>
              <w:rPr>
                <w:rFonts w:ascii="Times New Roman" w:hAnsi="Times New Roman" w:eastAsia="宋体" w:cs="宋体"/>
                <w:sz w:val="21"/>
                <w:szCs w:val="21"/>
              </w:rPr>
            </w:pPr>
          </w:p>
          <w:p w14:paraId="03A3409C">
            <w:pPr>
              <w:spacing w:line="360" w:lineRule="exact"/>
              <w:ind w:firstLine="422"/>
              <w:rPr>
                <w:rFonts w:ascii="Times New Roman" w:hAnsi="Times New Roman" w:eastAsia="宋体" w:cs="宋体"/>
                <w:sz w:val="21"/>
                <w:szCs w:val="21"/>
              </w:rPr>
            </w:pPr>
            <w:r>
              <w:rPr>
                <w:rFonts w:ascii="Times New Roman" w:hAnsi="Times New Roman" w:eastAsia="宋体" w:cs="宋体"/>
                <w:sz w:val="21"/>
                <w:szCs w:val="21"/>
              </w:rPr>
              <w:t xml:space="preserve">                       年   月   日</w:t>
            </w:r>
          </w:p>
        </w:tc>
      </w:tr>
    </w:tbl>
    <w:p w14:paraId="12DE253D">
      <w:pPr>
        <w:spacing w:line="360" w:lineRule="exact"/>
        <w:rPr>
          <w:rFonts w:hint="eastAsia" w:ascii="宋体" w:hAnsi="Times New Roman" w:eastAsia="宋体" w:cs="宋体"/>
          <w:sz w:val="21"/>
          <w:szCs w:val="21"/>
        </w:rPr>
      </w:pPr>
      <w:r>
        <w:rPr>
          <w:rFonts w:hint="eastAsia" w:ascii="宋体" w:hAnsi="Times New Roman" w:eastAsia="宋体" w:cs="宋体"/>
          <w:sz w:val="21"/>
          <w:szCs w:val="21"/>
        </w:rPr>
        <w:t xml:space="preserve">  注：售后服务事项填不下时可另加附页。</w:t>
      </w:r>
    </w:p>
    <w:p w14:paraId="45A98DE1">
      <w:pPr>
        <w:spacing w:line="430" w:lineRule="exact"/>
        <w:ind w:firstLine="482"/>
        <w:rPr>
          <w:rFonts w:hint="eastAsia" w:ascii="宋体" w:hAnsi="宋体" w:cs="宋体"/>
          <w:b/>
          <w:color w:val="auto"/>
          <w:sz w:val="24"/>
          <w:highlight w:val="none"/>
        </w:rPr>
      </w:pPr>
    </w:p>
    <w:sectPr>
      <w:pgSz w:w="11906" w:h="16838"/>
      <w:pgMar w:top="1440" w:right="1587" w:bottom="1440" w:left="158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1BE4">
    <w:pPr>
      <w:pStyle w:val="28"/>
      <w:jc w:val="center"/>
    </w:pPr>
    <w:r>
      <w:fldChar w:fldCharType="begin"/>
    </w:r>
    <w:r>
      <w:instrText xml:space="preserve">PAGE \* MERGEFORMAT</w:instrText>
    </w:r>
    <w:r>
      <w:fldChar w:fldCharType="separate"/>
    </w:r>
    <w:r>
      <w:t>1</w:t>
    </w:r>
    <w:r>
      <w:fldChar w:fldCharType="end"/>
    </w:r>
  </w:p>
  <w:p w14:paraId="0549BD0A">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87A0C">
    <w:pPr>
      <w:pStyle w:val="28"/>
      <w:jc w:val="center"/>
    </w:pPr>
    <w:r>
      <w:fldChar w:fldCharType="begin"/>
    </w:r>
    <w:r>
      <w:instrText xml:space="preserve">PAGE \* MERGEFORMAT</w:instrText>
    </w:r>
    <w:r>
      <w:fldChar w:fldCharType="separate"/>
    </w:r>
    <w:r>
      <w:t>1</w:t>
    </w:r>
    <w:r>
      <w:fldChar w:fldCharType="end"/>
    </w:r>
  </w:p>
  <w:p w14:paraId="2277716F">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DD10">
    <w:pPr>
      <w:pStyle w:val="28"/>
      <w:jc w:val="center"/>
    </w:pPr>
    <w:r>
      <w:fldChar w:fldCharType="begin"/>
    </w:r>
    <w:r>
      <w:instrText xml:space="preserve">PAGE \* MERGEFORMAT</w:instrText>
    </w:r>
    <w:r>
      <w:fldChar w:fldCharType="separate"/>
    </w:r>
    <w:r>
      <w:t>1</w:t>
    </w:r>
    <w:r>
      <w:fldChar w:fldCharType="end"/>
    </w:r>
  </w:p>
  <w:p w14:paraId="2399EBC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9D8A">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第%1条"/>
      <w:lvlJc w:val="left"/>
      <w:pPr>
        <w:tabs>
          <w:tab w:val="left" w:pos="1262"/>
        </w:tabs>
        <w:ind w:left="1262" w:hanging="84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
    <w:nsid w:val="CF092B84"/>
    <w:multiLevelType w:val="multilevel"/>
    <w:tmpl w:val="CF092B84"/>
    <w:lvl w:ilvl="0" w:tentative="0">
      <w:start w:val="7"/>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59ADCABA"/>
    <w:multiLevelType w:val="multilevel"/>
    <w:tmpl w:val="59ADCABA"/>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NmM1MjhjZmQ1YzNjOTBmYjAxMjA0NTE0Y2I4ZTcifQ=="/>
  </w:docVars>
  <w:rsids>
    <w:rsidRoot w:val="00000000"/>
    <w:rsid w:val="1C0950B0"/>
    <w:rsid w:val="22DE13BD"/>
    <w:rsid w:val="27737932"/>
    <w:rsid w:val="359D353D"/>
    <w:rsid w:val="404E0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9" w:semiHidden="0" w:name="heading 4"/>
    <w:lsdException w:qFormat="1" w:unhideWhenUsed="0" w:uiPriority="9" w:semiHidden="0" w:name="heading 5"/>
    <w:lsdException w:qFormat="1" w:uiPriority="9" w:semiHidden="0" w:name="heading 6"/>
    <w:lsdException w:qFormat="1" w:uiPriority="9" w:semiHidden="0" w:name="heading 7"/>
    <w:lsdException w:qFormat="1" w:unhideWhenUsed="0" w:uiPriority="9" w:semiHidden="0" w:name="heading 8"/>
    <w:lsdException w:qFormat="1"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98"/>
    <w:qFormat/>
    <w:uiPriority w:val="9"/>
    <w:pPr>
      <w:keepNext/>
      <w:keepLines/>
      <w:spacing w:before="340" w:after="330" w:line="578" w:lineRule="auto"/>
      <w:outlineLvl w:val="0"/>
    </w:pPr>
    <w:rPr>
      <w:b/>
      <w:bCs/>
      <w:sz w:val="44"/>
      <w:szCs w:val="44"/>
    </w:rPr>
  </w:style>
  <w:style w:type="paragraph" w:styleId="3">
    <w:name w:val="heading 2"/>
    <w:basedOn w:val="1"/>
    <w:next w:val="1"/>
    <w:link w:val="19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line="416" w:lineRule="auto"/>
      <w:outlineLvl w:val="2"/>
    </w:pPr>
    <w:rPr>
      <w:rFonts w:eastAsia="黑体"/>
      <w:b/>
      <w:bCs/>
      <w:sz w:val="28"/>
      <w:szCs w:val="32"/>
    </w:rPr>
  </w:style>
  <w:style w:type="paragraph" w:styleId="5">
    <w:name w:val="heading 4"/>
    <w:basedOn w:val="1"/>
    <w:next w:val="1"/>
    <w:qFormat/>
    <w:uiPriority w:val="99"/>
    <w:pPr>
      <w:tabs>
        <w:tab w:val="left" w:pos="2155"/>
      </w:tabs>
      <w:spacing w:before="120" w:line="360" w:lineRule="auto"/>
      <w:ind w:left="2155" w:hanging="1078"/>
      <w:outlineLvl w:val="3"/>
    </w:pPr>
    <w:rPr>
      <w:rFonts w:ascii="Arial" w:eastAsia="黑体"/>
      <w:sz w:val="28"/>
      <w:szCs w:val="20"/>
    </w:rPr>
  </w:style>
  <w:style w:type="paragraph" w:styleId="6">
    <w:name w:val="heading 5"/>
    <w:basedOn w:val="1"/>
    <w:next w:val="7"/>
    <w:link w:val="200"/>
    <w:qFormat/>
    <w:uiPriority w:val="9"/>
    <w:pPr>
      <w:keepNext/>
      <w:keepLines/>
      <w:spacing w:before="280" w:after="290" w:line="376" w:lineRule="auto"/>
      <w:outlineLvl w:val="4"/>
    </w:pPr>
    <w:rPr>
      <w:b/>
      <w:bCs/>
      <w:sz w:val="28"/>
      <w:szCs w:val="28"/>
    </w:rPr>
  </w:style>
  <w:style w:type="paragraph" w:styleId="8">
    <w:name w:val="heading 6"/>
    <w:basedOn w:val="1"/>
    <w:next w:val="1"/>
    <w:link w:val="57"/>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8"/>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201"/>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60"/>
    <w:unhideWhenUsed/>
    <w:qFormat/>
    <w:uiPriority w:val="9"/>
    <w:pPr>
      <w:keepNext/>
      <w:keepLines/>
      <w:spacing w:before="320" w:after="200"/>
      <w:outlineLvl w:val="8"/>
    </w:pPr>
    <w:rPr>
      <w:rFonts w:ascii="Arial" w:hAnsi="Arial" w:eastAsia="Arial" w:cs="Arial"/>
      <w:i/>
      <w:iCs/>
      <w:sz w:val="21"/>
      <w:szCs w:val="21"/>
    </w:rPr>
  </w:style>
  <w:style w:type="character" w:default="1" w:styleId="46">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 w:val="20"/>
      <w:szCs w:val="20"/>
    </w:rPr>
  </w:style>
  <w:style w:type="paragraph" w:styleId="12">
    <w:name w:val="toc 7"/>
    <w:basedOn w:val="1"/>
    <w:next w:val="1"/>
    <w:unhideWhenUsed/>
    <w:qFormat/>
    <w:uiPriority w:val="39"/>
    <w:pPr>
      <w:spacing w:after="57"/>
      <w:ind w:left="1701" w:right="0" w:firstLine="0"/>
    </w:pPr>
  </w:style>
  <w:style w:type="paragraph" w:styleId="13">
    <w:name w:val="index 8"/>
    <w:basedOn w:val="1"/>
    <w:next w:val="1"/>
    <w:unhideWhenUsed/>
    <w:qFormat/>
    <w:uiPriority w:val="99"/>
    <w:pPr>
      <w:ind w:left="1400"/>
    </w:pPr>
  </w:style>
  <w:style w:type="paragraph" w:styleId="14">
    <w:name w:val="List Number"/>
    <w:basedOn w:val="1"/>
    <w:qFormat/>
    <w:uiPriority w:val="0"/>
    <w:pPr>
      <w:widowControl/>
      <w:tabs>
        <w:tab w:val="left" w:pos="454"/>
        <w:tab w:val="left" w:pos="720"/>
        <w:tab w:val="left" w:pos="840"/>
      </w:tabs>
      <w:spacing w:after="50"/>
      <w:ind w:left="454" w:hanging="284"/>
      <w:jc w:val="left"/>
    </w:pPr>
    <w:rPr>
      <w:sz w:val="24"/>
      <w:szCs w:val="20"/>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annotation text"/>
    <w:basedOn w:val="1"/>
    <w:link w:val="202"/>
    <w:qFormat/>
    <w:uiPriority w:val="0"/>
    <w:pPr>
      <w:jc w:val="left"/>
    </w:pPr>
  </w:style>
  <w:style w:type="paragraph" w:styleId="17">
    <w:name w:val="Body Text 3"/>
    <w:basedOn w:val="1"/>
    <w:link w:val="203"/>
    <w:unhideWhenUsed/>
    <w:qFormat/>
    <w:uiPriority w:val="99"/>
    <w:pPr>
      <w:spacing w:after="120"/>
    </w:pPr>
    <w:rPr>
      <w:sz w:val="16"/>
      <w:szCs w:val="16"/>
    </w:rPr>
  </w:style>
  <w:style w:type="paragraph" w:styleId="18">
    <w:name w:val="Body Text"/>
    <w:basedOn w:val="1"/>
    <w:link w:val="204"/>
    <w:unhideWhenUsed/>
    <w:qFormat/>
    <w:uiPriority w:val="0"/>
    <w:pPr>
      <w:spacing w:after="120"/>
    </w:pPr>
  </w:style>
  <w:style w:type="paragraph" w:styleId="19">
    <w:name w:val="Body Text Indent"/>
    <w:basedOn w:val="1"/>
    <w:link w:val="205"/>
    <w:qFormat/>
    <w:uiPriority w:val="0"/>
    <w:pPr>
      <w:ind w:firstLine="830"/>
    </w:pPr>
    <w:rPr>
      <w:rFonts w:ascii="仿宋_GB2312" w:eastAsia="仿宋_GB2312"/>
      <w:sz w:val="32"/>
      <w:szCs w:val="20"/>
    </w:rPr>
  </w:style>
  <w:style w:type="paragraph" w:styleId="20">
    <w:name w:val="List 2"/>
    <w:basedOn w:val="1"/>
    <w:unhideWhenUsed/>
    <w:qFormat/>
    <w:uiPriority w:val="99"/>
    <w:pPr>
      <w:ind w:left="100" w:hanging="200"/>
      <w:contextualSpacing/>
    </w:p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spacing w:after="57"/>
      <w:ind w:left="567" w:right="0" w:firstLine="0"/>
    </w:pPr>
  </w:style>
  <w:style w:type="paragraph" w:styleId="23">
    <w:name w:val="Plain Text"/>
    <w:basedOn w:val="1"/>
    <w:next w:val="5"/>
    <w:link w:val="206"/>
    <w:qFormat/>
    <w:uiPriority w:val="0"/>
    <w:rPr>
      <w:rFonts w:ascii="宋体" w:hAnsi="Courier New"/>
      <w:sz w:val="20"/>
      <w:szCs w:val="21"/>
    </w:rPr>
  </w:style>
  <w:style w:type="paragraph" w:styleId="24">
    <w:name w:val="toc 8"/>
    <w:basedOn w:val="1"/>
    <w:next w:val="1"/>
    <w:unhideWhenUsed/>
    <w:qFormat/>
    <w:uiPriority w:val="39"/>
    <w:pPr>
      <w:spacing w:after="57"/>
      <w:ind w:left="1984" w:right="0" w:firstLine="0"/>
    </w:pPr>
  </w:style>
  <w:style w:type="paragraph" w:styleId="25">
    <w:name w:val="Date"/>
    <w:basedOn w:val="1"/>
    <w:next w:val="1"/>
    <w:link w:val="207"/>
    <w:unhideWhenUsed/>
    <w:qFormat/>
    <w:uiPriority w:val="99"/>
    <w:pPr>
      <w:ind w:left="100"/>
    </w:pPr>
  </w:style>
  <w:style w:type="paragraph" w:styleId="26">
    <w:name w:val="endnote text"/>
    <w:basedOn w:val="1"/>
    <w:link w:val="196"/>
    <w:semiHidden/>
    <w:unhideWhenUsed/>
    <w:qFormat/>
    <w:uiPriority w:val="99"/>
    <w:pPr>
      <w:spacing w:after="0" w:line="240" w:lineRule="auto"/>
    </w:pPr>
    <w:rPr>
      <w:sz w:val="20"/>
    </w:rPr>
  </w:style>
  <w:style w:type="paragraph" w:styleId="27">
    <w:name w:val="Balloon Text"/>
    <w:basedOn w:val="1"/>
    <w:semiHidden/>
    <w:qFormat/>
    <w:uiPriority w:val="0"/>
    <w:rPr>
      <w:sz w:val="18"/>
      <w:szCs w:val="18"/>
    </w:rPr>
  </w:style>
  <w:style w:type="paragraph" w:styleId="28">
    <w:name w:val="footer"/>
    <w:basedOn w:val="1"/>
    <w:next w:val="1"/>
    <w:link w:val="208"/>
    <w:unhideWhenUsed/>
    <w:qFormat/>
    <w:uiPriority w:val="99"/>
    <w:pPr>
      <w:tabs>
        <w:tab w:val="center" w:pos="4153"/>
        <w:tab w:val="right" w:pos="8306"/>
      </w:tabs>
      <w:jc w:val="left"/>
    </w:pPr>
    <w:rPr>
      <w:sz w:val="18"/>
      <w:szCs w:val="18"/>
    </w:rPr>
  </w:style>
  <w:style w:type="paragraph" w:styleId="29">
    <w:name w:val="header"/>
    <w:basedOn w:val="1"/>
    <w:link w:val="209"/>
    <w:unhideWhenUsed/>
    <w:qFormat/>
    <w:uiPriority w:val="99"/>
    <w:pPr>
      <w:pBdr>
        <w:bottom w:val="single" w:color="auto" w:sz="6" w:space="1"/>
      </w:pBdr>
      <w:tabs>
        <w:tab w:val="center" w:pos="4153"/>
        <w:tab w:val="right" w:pos="8306"/>
      </w:tabs>
      <w:jc w:val="center"/>
    </w:pPr>
    <w:rPr>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spacing w:after="57"/>
      <w:ind w:left="850" w:right="0" w:firstLine="0"/>
    </w:pPr>
  </w:style>
  <w:style w:type="paragraph" w:styleId="32">
    <w:name w:val="Subtitle"/>
    <w:basedOn w:val="1"/>
    <w:next w:val="1"/>
    <w:link w:val="62"/>
    <w:qFormat/>
    <w:uiPriority w:val="11"/>
    <w:pPr>
      <w:spacing w:before="200" w:after="200"/>
    </w:pPr>
    <w:rPr>
      <w:sz w:val="24"/>
      <w:szCs w:val="24"/>
    </w:rPr>
  </w:style>
  <w:style w:type="paragraph" w:styleId="33">
    <w:name w:val="footnote text"/>
    <w:basedOn w:val="1"/>
    <w:link w:val="195"/>
    <w:semiHidden/>
    <w:unhideWhenUsed/>
    <w:qFormat/>
    <w:uiPriority w:val="99"/>
    <w:pPr>
      <w:spacing w:after="40" w:line="240" w:lineRule="auto"/>
    </w:pPr>
    <w:rPr>
      <w:sz w:val="18"/>
    </w:rPr>
  </w:style>
  <w:style w:type="paragraph" w:styleId="34">
    <w:name w:val="toc 6"/>
    <w:basedOn w:val="1"/>
    <w:next w:val="1"/>
    <w:unhideWhenUsed/>
    <w:qFormat/>
    <w:uiPriority w:val="39"/>
    <w:pPr>
      <w:ind w:left="2100"/>
    </w:pPr>
  </w:style>
  <w:style w:type="paragraph" w:styleId="35">
    <w:name w:val="table of figures"/>
    <w:basedOn w:val="1"/>
    <w:next w:val="1"/>
    <w:unhideWhenUsed/>
    <w:qFormat/>
    <w:uiPriority w:val="0"/>
    <w:pPr>
      <w:ind w:left="200" w:hanging="200"/>
    </w:pPr>
    <w:rPr>
      <w:sz w:val="28"/>
    </w:rPr>
  </w:style>
  <w:style w:type="paragraph" w:styleId="36">
    <w:name w:val="toc 2"/>
    <w:basedOn w:val="1"/>
    <w:next w:val="1"/>
    <w:unhideWhenUsed/>
    <w:qFormat/>
    <w:uiPriority w:val="39"/>
    <w:pPr>
      <w:tabs>
        <w:tab w:val="right" w:leader="dot" w:pos="8296"/>
      </w:tabs>
      <w:ind w:left="420"/>
    </w:pPr>
  </w:style>
  <w:style w:type="paragraph" w:styleId="37">
    <w:name w:val="toc 9"/>
    <w:basedOn w:val="1"/>
    <w:next w:val="1"/>
    <w:unhideWhenUsed/>
    <w:qFormat/>
    <w:uiPriority w:val="39"/>
    <w:pPr>
      <w:spacing w:after="57"/>
      <w:ind w:left="2268" w:right="0" w:firstLine="0"/>
    </w:pPr>
  </w:style>
  <w:style w:type="paragraph" w:styleId="38">
    <w:name w:val="Normal (Web)"/>
    <w:basedOn w:val="1"/>
    <w:unhideWhenUsed/>
    <w:qFormat/>
    <w:uiPriority w:val="99"/>
    <w:pPr>
      <w:spacing w:before="0" w:beforeAutospacing="0" w:after="0" w:afterAutospacing="0"/>
      <w:ind w:left="0" w:right="0"/>
      <w:jc w:val="both"/>
    </w:pPr>
    <w:rPr>
      <w:rFonts w:hint="default" w:ascii="Calibri" w:hAnsi="Calibri" w:cs="Calibri"/>
      <w:sz w:val="24"/>
      <w:szCs w:val="24"/>
      <w:lang w:val="en-US" w:eastAsia="zh-CN" w:bidi="ar"/>
    </w:rPr>
  </w:style>
  <w:style w:type="paragraph" w:styleId="39">
    <w:name w:val="index 1"/>
    <w:basedOn w:val="1"/>
    <w:next w:val="1"/>
    <w:qFormat/>
    <w:uiPriority w:val="0"/>
    <w:pPr>
      <w:spacing w:line="400" w:lineRule="exact"/>
      <w:ind w:firstLine="420"/>
    </w:pPr>
    <w:rPr>
      <w:rFonts w:ascii="宋体" w:hAnsi="Courier New" w:eastAsia="宋体" w:cs="Times New Roman"/>
      <w:b/>
      <w:sz w:val="20"/>
      <w:szCs w:val="20"/>
    </w:rPr>
  </w:style>
  <w:style w:type="paragraph" w:styleId="40">
    <w:name w:val="Title"/>
    <w:basedOn w:val="1"/>
    <w:next w:val="1"/>
    <w:link w:val="61"/>
    <w:qFormat/>
    <w:uiPriority w:val="10"/>
    <w:pPr>
      <w:spacing w:before="300" w:after="200"/>
      <w:contextualSpacing/>
    </w:pPr>
    <w:rPr>
      <w:sz w:val="48"/>
      <w:szCs w:val="48"/>
    </w:rPr>
  </w:style>
  <w:style w:type="paragraph" w:styleId="41">
    <w:name w:val="annotation subject"/>
    <w:basedOn w:val="16"/>
    <w:next w:val="16"/>
    <w:link w:val="210"/>
    <w:qFormat/>
    <w:uiPriority w:val="99"/>
    <w:rPr>
      <w:b/>
      <w:bCs/>
    </w:rPr>
  </w:style>
  <w:style w:type="paragraph" w:styleId="42">
    <w:name w:val="Body Text First Indent"/>
    <w:basedOn w:val="18"/>
    <w:qFormat/>
    <w:uiPriority w:val="0"/>
    <w:pPr>
      <w:spacing w:line="600" w:lineRule="exact"/>
      <w:ind w:firstLine="880"/>
    </w:pPr>
    <w:rPr>
      <w:rFonts w:ascii="Times New Roman" w:hAnsi="Times New Roman" w:cs="Times New Roman"/>
    </w:rPr>
  </w:style>
  <w:style w:type="paragraph" w:styleId="43">
    <w:name w:val="Body Text First Indent 2"/>
    <w:basedOn w:val="1"/>
    <w:next w:val="42"/>
    <w:qFormat/>
    <w:uiPriority w:val="0"/>
    <w:pPr>
      <w:spacing w:after="120"/>
      <w:ind w:left="420" w:firstLine="420"/>
    </w:pPr>
    <w:rPr>
      <w:rFonts w:ascii="Times New Roman" w:hAnsi="Times New Roman" w:eastAsia="宋体" w:cs="Times New Roman"/>
      <w:sz w:val="21"/>
      <w:szCs w:val="21"/>
    </w:rPr>
  </w:style>
  <w:style w:type="table" w:styleId="45">
    <w:name w:val="Table Grid"/>
    <w:basedOn w:val="4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endnote reference"/>
    <w:unhideWhenUsed/>
    <w:qFormat/>
    <w:uiPriority w:val="99"/>
    <w:rPr>
      <w:vertAlign w:val="superscript"/>
    </w:rPr>
  </w:style>
  <w:style w:type="character" w:styleId="48">
    <w:name w:val="Hyperlink"/>
    <w:unhideWhenUsed/>
    <w:qFormat/>
    <w:uiPriority w:val="99"/>
    <w:rPr>
      <w:color w:val="0000FF"/>
      <w:u w:val="single"/>
    </w:rPr>
  </w:style>
  <w:style w:type="character" w:styleId="49">
    <w:name w:val="annotation reference"/>
    <w:qFormat/>
    <w:uiPriority w:val="0"/>
    <w:rPr>
      <w:sz w:val="21"/>
      <w:szCs w:val="21"/>
    </w:rPr>
  </w:style>
  <w:style w:type="character" w:styleId="50">
    <w:name w:val="footnote reference"/>
    <w:basedOn w:val="46"/>
    <w:unhideWhenUsed/>
    <w:qFormat/>
    <w:uiPriority w:val="99"/>
    <w:rPr>
      <w:vertAlign w:val="superscript"/>
    </w:rPr>
  </w:style>
  <w:style w:type="paragraph" w:customStyle="1" w:styleId="51">
    <w:name w:val="无间隔1"/>
    <w:basedOn w:val="1"/>
    <w:qFormat/>
    <w:uiPriority w:val="99"/>
    <w:pPr>
      <w:spacing w:line="400" w:lineRule="exact"/>
    </w:pPr>
    <w:rPr>
      <w:sz w:val="24"/>
    </w:rPr>
  </w:style>
  <w:style w:type="character" w:customStyle="1" w:styleId="52">
    <w:name w:val="Heading 1 Char"/>
    <w:basedOn w:val="46"/>
    <w:qFormat/>
    <w:uiPriority w:val="9"/>
    <w:rPr>
      <w:rFonts w:ascii="Arial" w:hAnsi="Arial" w:eastAsia="Arial" w:cs="Arial"/>
      <w:sz w:val="40"/>
      <w:szCs w:val="40"/>
    </w:rPr>
  </w:style>
  <w:style w:type="character" w:customStyle="1" w:styleId="53">
    <w:name w:val="Heading 2 Char"/>
    <w:basedOn w:val="46"/>
    <w:qFormat/>
    <w:uiPriority w:val="9"/>
    <w:rPr>
      <w:rFonts w:ascii="Arial" w:hAnsi="Arial" w:eastAsia="Arial" w:cs="Arial"/>
      <w:sz w:val="34"/>
    </w:rPr>
  </w:style>
  <w:style w:type="character" w:customStyle="1" w:styleId="54">
    <w:name w:val="Heading 3 Char"/>
    <w:basedOn w:val="46"/>
    <w:qFormat/>
    <w:uiPriority w:val="9"/>
    <w:rPr>
      <w:rFonts w:ascii="Arial" w:hAnsi="Arial" w:eastAsia="Arial" w:cs="Arial"/>
      <w:sz w:val="30"/>
      <w:szCs w:val="30"/>
    </w:rPr>
  </w:style>
  <w:style w:type="character" w:customStyle="1" w:styleId="55">
    <w:name w:val="Heading 4 Char"/>
    <w:basedOn w:val="46"/>
    <w:qFormat/>
    <w:uiPriority w:val="9"/>
    <w:rPr>
      <w:rFonts w:ascii="Arial" w:hAnsi="Arial" w:eastAsia="Arial" w:cs="Arial"/>
      <w:b/>
      <w:bCs/>
      <w:sz w:val="26"/>
      <w:szCs w:val="26"/>
    </w:rPr>
  </w:style>
  <w:style w:type="character" w:customStyle="1" w:styleId="56">
    <w:name w:val="Heading 5 Char"/>
    <w:basedOn w:val="46"/>
    <w:qFormat/>
    <w:uiPriority w:val="9"/>
    <w:rPr>
      <w:rFonts w:ascii="Arial" w:hAnsi="Arial" w:eastAsia="Arial" w:cs="Arial"/>
      <w:b/>
      <w:bCs/>
      <w:sz w:val="24"/>
      <w:szCs w:val="24"/>
    </w:rPr>
  </w:style>
  <w:style w:type="character" w:customStyle="1" w:styleId="57">
    <w:name w:val="Heading 6 Char"/>
    <w:basedOn w:val="46"/>
    <w:link w:val="8"/>
    <w:qFormat/>
    <w:uiPriority w:val="9"/>
    <w:rPr>
      <w:rFonts w:ascii="Arial" w:hAnsi="Arial" w:eastAsia="Arial" w:cs="Arial"/>
      <w:b/>
      <w:bCs/>
      <w:sz w:val="22"/>
      <w:szCs w:val="22"/>
    </w:rPr>
  </w:style>
  <w:style w:type="character" w:customStyle="1" w:styleId="58">
    <w:name w:val="Heading 7 Char"/>
    <w:basedOn w:val="46"/>
    <w:link w:val="9"/>
    <w:qFormat/>
    <w:uiPriority w:val="9"/>
    <w:rPr>
      <w:rFonts w:ascii="Arial" w:hAnsi="Arial" w:eastAsia="Arial" w:cs="Arial"/>
      <w:b/>
      <w:bCs/>
      <w:i/>
      <w:iCs/>
      <w:sz w:val="22"/>
      <w:szCs w:val="22"/>
    </w:rPr>
  </w:style>
  <w:style w:type="character" w:customStyle="1" w:styleId="59">
    <w:name w:val="Heading 8 Char"/>
    <w:basedOn w:val="46"/>
    <w:qFormat/>
    <w:uiPriority w:val="9"/>
    <w:rPr>
      <w:rFonts w:ascii="Arial" w:hAnsi="Arial" w:eastAsia="Arial" w:cs="Arial"/>
      <w:i/>
      <w:iCs/>
      <w:sz w:val="22"/>
      <w:szCs w:val="22"/>
    </w:rPr>
  </w:style>
  <w:style w:type="character" w:customStyle="1" w:styleId="60">
    <w:name w:val="Heading 9 Char"/>
    <w:basedOn w:val="46"/>
    <w:link w:val="11"/>
    <w:qFormat/>
    <w:uiPriority w:val="9"/>
    <w:rPr>
      <w:rFonts w:ascii="Arial" w:hAnsi="Arial" w:eastAsia="Arial" w:cs="Arial"/>
      <w:i/>
      <w:iCs/>
      <w:sz w:val="21"/>
      <w:szCs w:val="21"/>
    </w:rPr>
  </w:style>
  <w:style w:type="character" w:customStyle="1" w:styleId="61">
    <w:name w:val="Title Char"/>
    <w:basedOn w:val="46"/>
    <w:link w:val="40"/>
    <w:qFormat/>
    <w:uiPriority w:val="10"/>
    <w:rPr>
      <w:sz w:val="48"/>
      <w:szCs w:val="48"/>
    </w:rPr>
  </w:style>
  <w:style w:type="character" w:customStyle="1" w:styleId="62">
    <w:name w:val="Subtitle Char"/>
    <w:basedOn w:val="46"/>
    <w:link w:val="32"/>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Quote Char"/>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6">
    <w:name w:val="Intense Quote Char"/>
    <w:link w:val="65"/>
    <w:qFormat/>
    <w:uiPriority w:val="30"/>
    <w:rPr>
      <w:i/>
    </w:rPr>
  </w:style>
  <w:style w:type="character" w:customStyle="1" w:styleId="67">
    <w:name w:val="Header Char"/>
    <w:basedOn w:val="46"/>
    <w:qFormat/>
    <w:uiPriority w:val="99"/>
  </w:style>
  <w:style w:type="character" w:customStyle="1" w:styleId="68">
    <w:name w:val="Footer Char"/>
    <w:basedOn w:val="46"/>
    <w:qFormat/>
    <w:uiPriority w:val="99"/>
  </w:style>
  <w:style w:type="character" w:customStyle="1" w:styleId="69">
    <w:name w:val="Caption Char"/>
    <w:qFormat/>
    <w:uiPriority w:val="99"/>
  </w:style>
  <w:style w:type="table" w:customStyle="1" w:styleId="70">
    <w:name w:val="Table Grid Light"/>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1">
    <w:name w:val="Plain Table 1"/>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Plain Table 2"/>
    <w:basedOn w:val="4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Grid Table 1 Light"/>
    <w:basedOn w:val="4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8">
    <w:name w:val="Grid Table 1 Light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9">
    <w:name w:val="Grid Table 1 Light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0">
    <w:name w:val="Grid Table 1 Light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1">
    <w:name w:val="Grid Table 1 Light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2">
    <w:name w:val="Grid Table 1 Light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3">
    <w:name w:val="Grid Table 2"/>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2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2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2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2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2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3"/>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3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3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3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3 - Accent 5"/>
    <w:basedOn w:val="44"/>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3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4"/>
    <w:basedOn w:val="4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basedOn w:val="44"/>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9">
    <w:name w:val="Grid Table 4 - Accent 2"/>
    <w:basedOn w:val="44"/>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4 - Accent 3"/>
    <w:basedOn w:val="44"/>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4 - Accent 4"/>
    <w:basedOn w:val="4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4 - Accent 5"/>
    <w:basedOn w:val="44"/>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4 - Accent 6"/>
    <w:basedOn w:val="44"/>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Grid Table 5 Dark"/>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6">
    <w:name w:val="Grid Table 5 Dark - Accent 2"/>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7">
    <w:name w:val="Grid Table 5 Dark - Accent 3"/>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8">
    <w:name w:val="Grid Table 5 Dark- Accent 4"/>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9">
    <w:name w:val="Grid Table 5 Dark - Accent 5"/>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0">
    <w:name w:val="Grid Table 5 Dark - Accent 6"/>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1">
    <w:name w:val="Grid Table 6 Colorful"/>
    <w:basedOn w:val="4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basedOn w:val="44"/>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basedOn w:val="44"/>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6 Colorful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basedOn w:val="44"/>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6 Colorful - Accent 6"/>
    <w:basedOn w:val="44"/>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8">
    <w:name w:val="Grid Table 7 Colorful"/>
    <w:basedOn w:val="4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basedOn w:val="44"/>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basedOn w:val="44"/>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basedOn w:val="44"/>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7 Colorful - Accent 4"/>
    <w:basedOn w:val="4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basedOn w:val="44"/>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7 Colorful - Accent 6"/>
    <w:basedOn w:val="44"/>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5">
    <w:name w:val="List Table 1 Light"/>
    <w:basedOn w:val="4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basedOn w:val="44"/>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7">
    <w:name w:val="List Table 1 Light - Accent 2"/>
    <w:basedOn w:val="44"/>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8">
    <w:name w:val="List Table 1 Light - Accent 3"/>
    <w:basedOn w:val="44"/>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9">
    <w:name w:val="List Table 1 Light - Accent 4"/>
    <w:basedOn w:val="4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0">
    <w:name w:val="List Table 1 Light - Accent 5"/>
    <w:basedOn w:val="44"/>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1">
    <w:name w:val="List Table 1 Light - Accent 6"/>
    <w:basedOn w:val="44"/>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2">
    <w:name w:val="List Table 2"/>
    <w:basedOn w:val="4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basedOn w:val="44"/>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2 - Accent 2"/>
    <w:basedOn w:val="44"/>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2 - Accent 3"/>
    <w:basedOn w:val="44"/>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2 - Accent 4"/>
    <w:basedOn w:val="4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2 - Accent 5"/>
    <w:basedOn w:val="44"/>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2 - Accent 6"/>
    <w:basedOn w:val="44"/>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3"/>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basedOn w:val="44"/>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1">
    <w:name w:val="List Table 3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2">
    <w:name w:val="List Table 3 - Accent 3"/>
    <w:basedOn w:val="44"/>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3">
    <w:name w:val="List Table 3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4">
    <w:name w:val="List Table 3 - Accent 5"/>
    <w:basedOn w:val="44"/>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5">
    <w:name w:val="List Table 3 - Accent 6"/>
    <w:basedOn w:val="44"/>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6">
    <w:name w:val="List Table 4"/>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basedOn w:val="44"/>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8">
    <w:name w:val="List Table 4 - Accent 2"/>
    <w:basedOn w:val="44"/>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9">
    <w:name w:val="List Table 4 - Accent 3"/>
    <w:basedOn w:val="44"/>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0">
    <w:name w:val="List Table 4 - Accent 4"/>
    <w:basedOn w:val="4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1">
    <w:name w:val="List Table 4 - Accent 5"/>
    <w:basedOn w:val="44"/>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2">
    <w:name w:val="List Table 4 - Accent 6"/>
    <w:basedOn w:val="44"/>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3">
    <w:name w:val="List Table 5 Dark"/>
    <w:basedOn w:val="4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basedOn w:val="44"/>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5">
    <w:name w:val="List Table 5 Dark - Accent 2"/>
    <w:basedOn w:val="44"/>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6">
    <w:name w:val="List Table 5 Dark - Accent 3"/>
    <w:basedOn w:val="44"/>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7">
    <w:name w:val="List Table 5 Dark - Accent 4"/>
    <w:basedOn w:val="4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8">
    <w:name w:val="List Table 5 Dark - Accent 5"/>
    <w:basedOn w:val="44"/>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9">
    <w:name w:val="List Table 5 Dark - Accent 6"/>
    <w:basedOn w:val="44"/>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0">
    <w:name w:val="List Table 6 Colorful"/>
    <w:basedOn w:val="4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basedOn w:val="44"/>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6 Colorful - Accent 2"/>
    <w:basedOn w:val="44"/>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basedOn w:val="44"/>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basedOn w:val="4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basedOn w:val="44"/>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basedOn w:val="44"/>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st Table 7 Colorful"/>
    <w:basedOn w:val="4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basedOn w:val="44"/>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7 Colorful - Accent 2"/>
    <w:basedOn w:val="44"/>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basedOn w:val="44"/>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basedOn w:val="4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basedOn w:val="44"/>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basedOn w:val="44"/>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ned - Accent"/>
    <w:basedOn w:val="4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basedOn w:val="44"/>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Lined - Accent 2"/>
    <w:basedOn w:val="44"/>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Lined - Accent 3"/>
    <w:basedOn w:val="44"/>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Lined - Accent 4"/>
    <w:basedOn w:val="4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Lined - Accent 5"/>
    <w:basedOn w:val="44"/>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Lined - Accent 6"/>
    <w:basedOn w:val="44"/>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amp; Lined - Accent"/>
    <w:basedOn w:val="4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basedOn w:val="44"/>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Bordered &amp; Lined - Accent 2"/>
    <w:basedOn w:val="44"/>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Bordered &amp; Lined - Accent 3"/>
    <w:basedOn w:val="44"/>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Bordered &amp; Lined - Accent 4"/>
    <w:basedOn w:val="4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Bordered &amp; Lined - Accent 5"/>
    <w:basedOn w:val="44"/>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Bordered &amp; Lined - Accent 6"/>
    <w:basedOn w:val="44"/>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w:basedOn w:val="4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0">
    <w:name w:val="Bordered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1">
    <w:name w:val="Bordered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2">
    <w:name w:val="Bordered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3">
    <w:name w:val="Bordered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4">
    <w:name w:val="Bordered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5">
    <w:name w:val="Footnote Text Char"/>
    <w:link w:val="33"/>
    <w:qFormat/>
    <w:uiPriority w:val="99"/>
    <w:rPr>
      <w:sz w:val="18"/>
    </w:rPr>
  </w:style>
  <w:style w:type="character" w:customStyle="1" w:styleId="196">
    <w:name w:val="Endnote Text Char"/>
    <w:link w:val="26"/>
    <w:qFormat/>
    <w:uiPriority w:val="99"/>
    <w:rPr>
      <w:sz w:val="20"/>
    </w:rPr>
  </w:style>
  <w:style w:type="paragraph" w:customStyle="1" w:styleId="197">
    <w:name w:val="TOC Heading"/>
    <w:unhideWhenUsed/>
    <w:qFormat/>
    <w:uiPriority w:val="39"/>
    <w:rPr>
      <w:rFonts w:hint="default" w:ascii="Times New Roman" w:hAnsi="Times New Roman" w:eastAsia="宋体" w:cs="Times New Roman"/>
    </w:rPr>
  </w:style>
  <w:style w:type="character" w:customStyle="1" w:styleId="198">
    <w:name w:val="标题 1 字符"/>
    <w:link w:val="2"/>
    <w:qFormat/>
    <w:uiPriority w:val="9"/>
    <w:rPr>
      <w:b/>
      <w:bCs/>
      <w:sz w:val="44"/>
      <w:szCs w:val="44"/>
    </w:rPr>
  </w:style>
  <w:style w:type="character" w:customStyle="1" w:styleId="199">
    <w:name w:val="标题 2 字符"/>
    <w:link w:val="3"/>
    <w:qFormat/>
    <w:uiPriority w:val="9"/>
    <w:rPr>
      <w:rFonts w:ascii="Cambria" w:hAnsi="Cambria" w:eastAsia="宋体" w:cs="Times New Roman"/>
      <w:b/>
      <w:bCs/>
      <w:sz w:val="32"/>
      <w:szCs w:val="32"/>
    </w:rPr>
  </w:style>
  <w:style w:type="character" w:customStyle="1" w:styleId="200">
    <w:name w:val="标题 5 字符"/>
    <w:link w:val="6"/>
    <w:semiHidden/>
    <w:qFormat/>
    <w:uiPriority w:val="9"/>
    <w:rPr>
      <w:rFonts w:ascii="Times New Roman" w:hAnsi="Times New Roman"/>
      <w:b/>
      <w:bCs/>
      <w:sz w:val="28"/>
      <w:szCs w:val="28"/>
    </w:rPr>
  </w:style>
  <w:style w:type="character" w:customStyle="1" w:styleId="201">
    <w:name w:val="标题 8 字符"/>
    <w:link w:val="10"/>
    <w:semiHidden/>
    <w:qFormat/>
    <w:uiPriority w:val="9"/>
    <w:rPr>
      <w:rFonts w:ascii="等线 Light" w:hAnsi="等线 Light" w:eastAsia="等线 Light" w:cs="Times New Roman"/>
      <w:sz w:val="24"/>
      <w:szCs w:val="24"/>
    </w:rPr>
  </w:style>
  <w:style w:type="character" w:customStyle="1" w:styleId="202">
    <w:name w:val="批注文字 字符"/>
    <w:link w:val="16"/>
    <w:qFormat/>
    <w:uiPriority w:val="0"/>
    <w:rPr>
      <w:rFonts w:ascii="Times New Roman" w:hAnsi="Times New Roman"/>
      <w:sz w:val="21"/>
      <w:szCs w:val="24"/>
    </w:rPr>
  </w:style>
  <w:style w:type="character" w:customStyle="1" w:styleId="203">
    <w:name w:val="正文文本 3 字符"/>
    <w:link w:val="17"/>
    <w:semiHidden/>
    <w:qFormat/>
    <w:uiPriority w:val="99"/>
    <w:rPr>
      <w:sz w:val="16"/>
      <w:szCs w:val="16"/>
    </w:rPr>
  </w:style>
  <w:style w:type="character" w:customStyle="1" w:styleId="204">
    <w:name w:val="正文文本 字符"/>
    <w:link w:val="18"/>
    <w:qFormat/>
    <w:uiPriority w:val="0"/>
    <w:rPr>
      <w:rFonts w:ascii="Times New Roman" w:hAnsi="Times New Roman"/>
      <w:sz w:val="21"/>
      <w:szCs w:val="24"/>
    </w:rPr>
  </w:style>
  <w:style w:type="character" w:customStyle="1" w:styleId="205">
    <w:name w:val="正文文本缩进 字符"/>
    <w:link w:val="19"/>
    <w:qFormat/>
    <w:uiPriority w:val="0"/>
    <w:rPr>
      <w:rFonts w:ascii="仿宋_GB2312" w:hAnsi="Times New Roman" w:eastAsia="仿宋_GB2312" w:cs="Times New Roman"/>
      <w:sz w:val="32"/>
      <w:szCs w:val="20"/>
    </w:rPr>
  </w:style>
  <w:style w:type="character" w:customStyle="1" w:styleId="206">
    <w:name w:val="纯文本 字符"/>
    <w:link w:val="23"/>
    <w:qFormat/>
    <w:uiPriority w:val="0"/>
    <w:rPr>
      <w:rFonts w:ascii="宋体" w:hAnsi="Courier New" w:eastAsia="宋体" w:cs="Courier New"/>
      <w:sz w:val="21"/>
      <w:szCs w:val="21"/>
    </w:rPr>
  </w:style>
  <w:style w:type="character" w:customStyle="1" w:styleId="207">
    <w:name w:val="日期 字符"/>
    <w:link w:val="25"/>
    <w:semiHidden/>
    <w:qFormat/>
    <w:uiPriority w:val="99"/>
    <w:rPr>
      <w:rFonts w:ascii="Times New Roman" w:hAnsi="Times New Roman"/>
      <w:sz w:val="21"/>
      <w:szCs w:val="24"/>
    </w:rPr>
  </w:style>
  <w:style w:type="character" w:customStyle="1" w:styleId="208">
    <w:name w:val="页脚 字符"/>
    <w:link w:val="28"/>
    <w:qFormat/>
    <w:uiPriority w:val="99"/>
    <w:rPr>
      <w:sz w:val="18"/>
      <w:szCs w:val="18"/>
    </w:rPr>
  </w:style>
  <w:style w:type="character" w:customStyle="1" w:styleId="209">
    <w:name w:val="页眉 字符"/>
    <w:link w:val="29"/>
    <w:qFormat/>
    <w:uiPriority w:val="99"/>
    <w:rPr>
      <w:sz w:val="18"/>
      <w:szCs w:val="18"/>
    </w:rPr>
  </w:style>
  <w:style w:type="character" w:customStyle="1" w:styleId="210">
    <w:name w:val="批注主题 字符"/>
    <w:link w:val="41"/>
    <w:qFormat/>
    <w:uiPriority w:val="99"/>
    <w:rPr>
      <w:rFonts w:ascii="Times New Roman" w:hAnsi="Times New Roman"/>
      <w:b/>
      <w:bCs/>
      <w:sz w:val="21"/>
      <w:szCs w:val="24"/>
    </w:rPr>
  </w:style>
  <w:style w:type="character" w:customStyle="1" w:styleId="211">
    <w:name w:val="标题 8 Char"/>
    <w:qFormat/>
    <w:uiPriority w:val="0"/>
    <w:rPr>
      <w:rFonts w:ascii="Arial" w:hAnsi="Arial" w:eastAsia="黑体"/>
      <w:sz w:val="24"/>
      <w:szCs w:val="24"/>
    </w:rPr>
  </w:style>
  <w:style w:type="character" w:customStyle="1" w:styleId="212">
    <w:name w:val="批注文字 字符1"/>
    <w:qFormat/>
    <w:uiPriority w:val="0"/>
    <w:rPr>
      <w:rFonts w:ascii="Times New Roman" w:hAnsi="Times New Roman"/>
      <w:sz w:val="21"/>
      <w:szCs w:val="24"/>
    </w:rPr>
  </w:style>
  <w:style w:type="character" w:customStyle="1" w:styleId="213">
    <w:name w:val="纯文本 字符2"/>
    <w:qFormat/>
    <w:uiPriority w:val="0"/>
    <w:rPr>
      <w:rFonts w:ascii="宋体" w:hAnsi="Courier New" w:eastAsia="宋体" w:cs="Courier New"/>
      <w:sz w:val="21"/>
      <w:szCs w:val="21"/>
    </w:rPr>
  </w:style>
  <w:style w:type="character" w:customStyle="1" w:styleId="214">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15">
    <w:name w:val="textcontents"/>
    <w:qFormat/>
    <w:uiPriority w:val="0"/>
  </w:style>
  <w:style w:type="character" w:customStyle="1" w:styleId="216">
    <w:name w:val="font01"/>
    <w:qFormat/>
    <w:uiPriority w:val="0"/>
    <w:rPr>
      <w:rFonts w:hint="eastAsia" w:ascii="宋体" w:hAnsi="宋体" w:eastAsia="宋体" w:cs="宋体"/>
      <w:color w:val="000000"/>
      <w:sz w:val="24"/>
      <w:szCs w:val="24"/>
      <w:u w:val="none"/>
    </w:rPr>
  </w:style>
  <w:style w:type="character" w:customStyle="1" w:styleId="217">
    <w:name w:val="apple-style-span"/>
    <w:qFormat/>
    <w:uiPriority w:val="0"/>
  </w:style>
  <w:style w:type="character" w:customStyle="1" w:styleId="218">
    <w:name w:val="正文文本 Char"/>
    <w:qFormat/>
    <w:uiPriority w:val="0"/>
    <w:rPr>
      <w:rFonts w:ascii="Times New Roman" w:hAnsi="Times New Roman"/>
      <w:sz w:val="21"/>
      <w:szCs w:val="24"/>
    </w:rPr>
  </w:style>
  <w:style w:type="character" w:customStyle="1" w:styleId="219">
    <w:name w:val="标题 2 Char"/>
    <w:qFormat/>
    <w:uiPriority w:val="9"/>
    <w:rPr>
      <w:rFonts w:ascii="Cambria" w:hAnsi="Cambria" w:eastAsia="宋体" w:cs="Times New Roman"/>
      <w:b/>
      <w:bCs/>
      <w:sz w:val="32"/>
      <w:szCs w:val="32"/>
    </w:rPr>
  </w:style>
  <w:style w:type="character" w:customStyle="1" w:styleId="220">
    <w:name w:val="font21"/>
    <w:qFormat/>
    <w:uiPriority w:val="0"/>
    <w:rPr>
      <w:rFonts w:ascii="Calibri" w:hAnsi="Calibri" w:cs="Calibri"/>
      <w:color w:val="000000"/>
      <w:sz w:val="24"/>
      <w:szCs w:val="24"/>
      <w:u w:val="none"/>
    </w:rPr>
  </w:style>
  <w:style w:type="character" w:customStyle="1" w:styleId="221">
    <w:name w:val="批注文字 Char"/>
    <w:qFormat/>
    <w:uiPriority w:val="0"/>
    <w:rPr>
      <w:rFonts w:ascii="Times New Roman" w:hAnsi="Times New Roman"/>
      <w:sz w:val="21"/>
      <w:szCs w:val="24"/>
    </w:rPr>
  </w:style>
  <w:style w:type="character" w:customStyle="1" w:styleId="222">
    <w:name w:val="font11"/>
    <w:qFormat/>
    <w:uiPriority w:val="0"/>
    <w:rPr>
      <w:rFonts w:ascii="Calibri" w:hAnsi="Calibri" w:cs="Calibri"/>
      <w:color w:val="000000"/>
      <w:sz w:val="24"/>
      <w:szCs w:val="24"/>
      <w:u w:val="none"/>
    </w:rPr>
  </w:style>
  <w:style w:type="character" w:customStyle="1" w:styleId="223">
    <w:name w:val="纯文本 Char"/>
    <w:qFormat/>
    <w:uiPriority w:val="0"/>
    <w:rPr>
      <w:rFonts w:ascii="宋体" w:hAnsi="Courier New" w:eastAsia="宋体" w:cs="Courier New"/>
      <w:sz w:val="21"/>
      <w:szCs w:val="21"/>
    </w:rPr>
  </w:style>
  <w:style w:type="character" w:customStyle="1" w:styleId="224">
    <w:name w:val="纯文本 字符1"/>
    <w:qFormat/>
    <w:uiPriority w:val="0"/>
    <w:rPr>
      <w:rFonts w:ascii="宋体" w:hAnsi="Courier New"/>
    </w:rPr>
  </w:style>
  <w:style w:type="character" w:customStyle="1" w:styleId="225">
    <w:name w:val="font31"/>
    <w:qFormat/>
    <w:uiPriority w:val="0"/>
    <w:rPr>
      <w:rFonts w:ascii="Arial" w:hAnsi="Arial" w:cs="Arial"/>
      <w:color w:val="000000"/>
      <w:sz w:val="24"/>
      <w:szCs w:val="24"/>
      <w:u w:val="none"/>
    </w:rPr>
  </w:style>
  <w:style w:type="character" w:customStyle="1" w:styleId="226">
    <w:name w:val="列出段落 字符"/>
    <w:link w:val="227"/>
    <w:qFormat/>
    <w:uiPriority w:val="34"/>
    <w:rPr>
      <w:rFonts w:ascii="Calibri" w:hAnsi="Calibri" w:eastAsia="仿宋" w:cs="Times New Roman"/>
      <w:sz w:val="28"/>
      <w:szCs w:val="22"/>
    </w:rPr>
  </w:style>
  <w:style w:type="paragraph" w:customStyle="1" w:styleId="227">
    <w:name w:val="列出段落1"/>
    <w:basedOn w:val="1"/>
    <w:link w:val="226"/>
    <w:qFormat/>
    <w:uiPriority w:val="34"/>
    <w:pPr>
      <w:ind w:firstLine="420"/>
    </w:pPr>
    <w:rPr>
      <w:rFonts w:ascii="Calibri" w:hAnsi="Calibri" w:eastAsia="仿宋" w:cs="Times New Roman"/>
      <w:sz w:val="28"/>
      <w:szCs w:val="22"/>
    </w:rPr>
  </w:style>
  <w:style w:type="paragraph" w:styleId="228">
    <w:name w:val="List Paragraph"/>
    <w:basedOn w:val="1"/>
    <w:qFormat/>
    <w:uiPriority w:val="34"/>
    <w:pPr>
      <w:ind w:firstLine="420"/>
    </w:p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正文缩进1"/>
    <w:basedOn w:val="1"/>
    <w:next w:val="19"/>
    <w:qFormat/>
    <w:uiPriority w:val="99"/>
    <w:pPr>
      <w:spacing w:after="120" w:line="360" w:lineRule="auto"/>
      <w:ind w:left="420" w:firstLine="480"/>
    </w:pPr>
    <w:rPr>
      <w:sz w:val="24"/>
      <w:szCs w:val="21"/>
    </w:rPr>
  </w:style>
  <w:style w:type="paragraph" w:customStyle="1" w:styleId="231">
    <w:name w:val="表格文字"/>
    <w:basedOn w:val="19"/>
    <w:qFormat/>
    <w:uiPriority w:val="99"/>
    <w:pPr>
      <w:spacing w:line="420" w:lineRule="atLeast"/>
      <w:ind w:firstLine="560"/>
      <w:jc w:val="left"/>
    </w:pPr>
    <w:rPr>
      <w:rFonts w:ascii="Times New Roman" w:hAnsi="Times New Roman" w:eastAsia="宋体" w:cs="Times New Roman"/>
      <w:sz w:val="28"/>
      <w:szCs w:val="28"/>
    </w:rPr>
  </w:style>
  <w:style w:type="paragraph" w:customStyle="1" w:styleId="232">
    <w:name w:val="StGen0"/>
    <w:unhideWhenUsed/>
    <w:qFormat/>
    <w:uiPriority w:val="99"/>
    <w:rPr>
      <w:rFonts w:hint="default" w:ascii="Times New Roman" w:hAnsi="Times New Roman" w:eastAsia="宋体" w:cs="Times New Roman"/>
      <w:sz w:val="21"/>
      <w:szCs w:val="24"/>
      <w:lang w:val="en-US" w:eastAsia="zh-CN" w:bidi="ar-SA"/>
    </w:rPr>
  </w:style>
  <w:style w:type="paragraph" w:customStyle="1" w:styleId="233">
    <w:name w:val="Table Paragraph"/>
    <w:basedOn w:val="1"/>
    <w:qFormat/>
    <w:uiPriority w:val="1"/>
    <w:pPr>
      <w:jc w:val="left"/>
    </w:pPr>
    <w:rPr>
      <w:rFonts w:ascii="宋体" w:hAnsi="宋体" w:cs="宋体"/>
      <w:sz w:val="22"/>
      <w:szCs w:val="22"/>
      <w:lang w:val="zh-CN"/>
    </w:rPr>
  </w:style>
  <w:style w:type="paragraph" w:customStyle="1" w:styleId="234">
    <w:name w:val="_Style 95"/>
    <w:basedOn w:val="1"/>
    <w:next w:val="228"/>
    <w:qFormat/>
    <w:uiPriority w:val="99"/>
    <w:pPr>
      <w:ind w:firstLine="420"/>
    </w:pPr>
    <w:rPr>
      <w:sz w:val="20"/>
      <w:szCs w:val="20"/>
    </w:rPr>
  </w:style>
  <w:style w:type="paragraph" w:styleId="235">
    <w:name w:val="No Spacing"/>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6">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37">
    <w:name w:val="正文-公1"/>
    <w:basedOn w:val="1"/>
    <w:qFormat/>
    <w:uiPriority w:val="0"/>
    <w:pPr>
      <w:ind w:firstLine="200"/>
    </w:pPr>
    <w:rPr>
      <w:rFonts w:cs="Calibri"/>
      <w:color w:val="000000"/>
      <w:sz w:val="21"/>
      <w:szCs w:val="21"/>
    </w:rPr>
  </w:style>
  <w:style w:type="paragraph" w:customStyle="1" w:styleId="238">
    <w:name w:val="p16"/>
    <w:basedOn w:val="1"/>
    <w:qFormat/>
    <w:uiPriority w:val="0"/>
    <w:pPr>
      <w:widowControl/>
    </w:pPr>
    <w:rPr>
      <w:rFonts w:hAnsi="宋体" w:cs="宋体"/>
      <w:sz w:val="21"/>
      <w:szCs w:val="21"/>
    </w:rPr>
  </w:style>
  <w:style w:type="paragraph" w:customStyle="1" w:styleId="239">
    <w:name w:val="Char Char Char3"/>
    <w:basedOn w:val="1"/>
    <w:qFormat/>
    <w:uiPriority w:val="0"/>
    <w:pPr>
      <w:widowControl/>
      <w:spacing w:after="160" w:line="240" w:lineRule="exact"/>
      <w:jc w:val="left"/>
    </w:pPr>
    <w:rPr>
      <w:rFonts w:ascii="Verdana" w:hAnsi="Verdana"/>
      <w:sz w:val="20"/>
      <w:szCs w:val="20"/>
      <w:lang w:eastAsia="en-US"/>
    </w:rPr>
  </w:style>
  <w:style w:type="paragraph" w:customStyle="1" w:styleId="240">
    <w:name w:val="Body text|1"/>
    <w:basedOn w:val="1"/>
    <w:qFormat/>
    <w:uiPriority w:val="0"/>
    <w:pPr>
      <w:spacing w:line="350" w:lineRule="auto"/>
      <w:ind w:firstLine="400"/>
      <w:jc w:val="left"/>
    </w:pPr>
    <w:rPr>
      <w:rFonts w:ascii="宋体" w:hAnsi="宋体" w:cs="宋体"/>
      <w:sz w:val="30"/>
      <w:szCs w:val="30"/>
    </w:rPr>
  </w:style>
  <w:style w:type="paragraph" w:customStyle="1" w:styleId="241">
    <w:name w:val="样式 10 磅"/>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58</Pages>
  <Words>28087</Words>
  <Characters>29589</Characters>
  <TotalTime>24</TotalTime>
  <ScaleCrop>false</ScaleCrop>
  <LinksUpToDate>false</LinksUpToDate>
  <CharactersWithSpaces>31538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2025-06-27T04:59:00Z</dcterms:created>
  <dc:creator>唐冰</dc:creator>
  <cp:lastModifiedBy>梁凉</cp:lastModifiedBy>
  <dcterms:modified xsi:type="dcterms:W3CDTF">2026-01-16T13:16:14Z</dcterms:modified>
  <dc:title>竞争性谈判文件规范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A4AE39D60A38435F887C8C60A3E80F20_13</vt:lpwstr>
  </property>
  <property fmtid="{D5CDD505-2E9C-101B-9397-08002B2CF9AE}" pid="4" name="KSOTemplateDocerSaveRecord">
    <vt:lpwstr>eyJoZGlkIjoiZmNjNGExY2NjYzVkMGY3ZGM0ZTdjYWNkZjY5ZDZiMjQifQ==</vt:lpwstr>
  </property>
</Properties>
</file>