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1CB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附件1</w:t>
      </w:r>
    </w:p>
    <w:p w14:paraId="5F8D17E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tabs>
          <w:tab w:val="left" w:pos="180"/>
          <w:tab w:val="left" w:pos="1621"/>
        </w:tabs>
        <w:kinsoku/>
        <w:wordWrap/>
        <w:overflowPunct/>
        <w:topLinePunct w:val="0"/>
        <w:autoSpaceDE/>
        <w:autoSpaceDN/>
        <w:bidi w:val="0"/>
        <w:adjustRightInd/>
        <w:snapToGrid/>
        <w:spacing w:before="0" w:beforeAutospacing="0" w:after="0" w:afterAutospacing="0" w:line="500" w:lineRule="exact"/>
        <w:ind w:left="420" w:leftChars="0" w:right="0" w:rightChars="0"/>
        <w:jc w:val="both"/>
        <w:textAlignment w:val="auto"/>
        <w:rPr>
          <w:rFonts w:hint="eastAsia" w:ascii="仿宋_GB2312" w:hAnsi="仿宋_GB2312" w:eastAsia="仿宋_GB2312" w:cs="仿宋_GB2312"/>
          <w:kern w:val="2"/>
          <w:sz w:val="32"/>
          <w:szCs w:val="32"/>
          <w:lang w:val="en-US" w:eastAsia="zh-CN" w:bidi="ar-SA"/>
        </w:rPr>
      </w:pPr>
    </w:p>
    <w:p w14:paraId="6D569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2025年全区公立医院内部控制再评价暨</w:t>
      </w:r>
    </w:p>
    <w:p w14:paraId="63CFB6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转移支付专项审计委托服务内容及要求</w:t>
      </w:r>
    </w:p>
    <w:p w14:paraId="6AD9A2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240" w:afterAutospacing="0" w:line="320" w:lineRule="exact"/>
        <w:ind w:left="0" w:right="0" w:firstLine="960" w:firstLineChars="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一、采购项目类别：服务类 </w:t>
      </w:r>
    </w:p>
    <w:p w14:paraId="14B8C2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240" w:afterAutospacing="0" w:line="320" w:lineRule="exact"/>
        <w:ind w:left="0" w:right="0" w:firstLine="960" w:firstLineChars="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二、项目采购预算价：</w:t>
      </w:r>
      <w:r>
        <w:rPr>
          <w:rFonts w:hint="eastAsia" w:ascii="仿宋_GB2312" w:hAnsi="仿宋_GB2312" w:eastAsia="仿宋_GB2312" w:cs="仿宋_GB2312"/>
          <w:kern w:val="2"/>
          <w:sz w:val="32"/>
          <w:szCs w:val="32"/>
          <w:highlight w:val="none"/>
          <w:lang w:val="en-US" w:eastAsia="zh-CN" w:bidi="ar-SA"/>
        </w:rPr>
        <w:t>20</w:t>
      </w:r>
      <w:r>
        <w:rPr>
          <w:rFonts w:hint="eastAsia" w:ascii="仿宋_GB2312" w:hAnsi="仿宋_GB2312" w:eastAsia="仿宋_GB2312" w:cs="仿宋_GB2312"/>
          <w:kern w:val="2"/>
          <w:sz w:val="32"/>
          <w:szCs w:val="32"/>
          <w:lang w:val="en-US" w:eastAsia="zh-CN" w:bidi="ar-SA"/>
        </w:rPr>
        <w:t>万元。</w:t>
      </w:r>
    </w:p>
    <w:p w14:paraId="2960C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240" w:afterAutospacing="0" w:line="320" w:lineRule="exact"/>
        <w:ind w:left="0" w:right="0" w:firstLine="960" w:firstLineChars="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三、采购项目需求一览表：</w:t>
      </w:r>
    </w:p>
    <w:tbl>
      <w:tblPr>
        <w:tblStyle w:val="7"/>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3"/>
        <w:gridCol w:w="1152"/>
        <w:gridCol w:w="7"/>
        <w:gridCol w:w="633"/>
        <w:gridCol w:w="625"/>
        <w:gridCol w:w="5532"/>
      </w:tblGrid>
      <w:tr w14:paraId="1591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1F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b/>
                <w:bCs/>
                <w:color w:val="000000"/>
                <w:sz w:val="21"/>
                <w:szCs w:val="21"/>
              </w:rPr>
              <w:t>序号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9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b/>
                <w:bCs/>
                <w:color w:val="000000"/>
                <w:sz w:val="21"/>
                <w:szCs w:val="21"/>
              </w:rPr>
              <w:t>服务名称</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B4B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b/>
                <w:bCs/>
                <w:color w:val="000000"/>
                <w:sz w:val="21"/>
                <w:szCs w:val="21"/>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8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b/>
                <w:bCs/>
                <w:color w:val="000000"/>
                <w:sz w:val="21"/>
                <w:szCs w:val="21"/>
              </w:rPr>
              <w:t>单位</w:t>
            </w:r>
          </w:p>
        </w:tc>
        <w:tc>
          <w:tcPr>
            <w:tcW w:w="7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18B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b/>
                <w:bCs/>
                <w:color w:val="000000"/>
                <w:sz w:val="21"/>
                <w:szCs w:val="21"/>
              </w:rPr>
              <w:t>服务项目要求(或技术参数需求)</w:t>
            </w:r>
          </w:p>
        </w:tc>
      </w:tr>
      <w:tr w14:paraId="36F8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8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260" w:lineRule="exact"/>
              <w:jc w:val="center"/>
              <w:textAlignment w:val="auto"/>
            </w:pPr>
            <w:r>
              <w:rPr>
                <w:rFonts w:hint="eastAsia" w:ascii="宋体" w:hAnsi="宋体" w:eastAsia="宋体" w:cs="宋体"/>
                <w:color w:val="000000"/>
                <w:sz w:val="21"/>
                <w:szCs w:val="21"/>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1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lang w:val="en-US" w:eastAsia="zh-CN"/>
              </w:rPr>
              <w:t>2025年全区公立医院内部控制重点评价</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CEC1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7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rPr>
              <w:t>项</w:t>
            </w:r>
          </w:p>
        </w:tc>
        <w:tc>
          <w:tcPr>
            <w:tcW w:w="7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9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sz w:val="18"/>
                <w:szCs w:val="18"/>
              </w:rPr>
            </w:pPr>
            <w:r>
              <w:rPr>
                <w:rFonts w:hint="eastAsia" w:ascii="宋体" w:hAnsi="宋体" w:eastAsia="宋体" w:cs="宋体"/>
                <w:b/>
                <w:bCs/>
                <w:color w:val="000000"/>
                <w:sz w:val="18"/>
                <w:szCs w:val="18"/>
              </w:rPr>
              <w:t>一、项目服务内容</w:t>
            </w:r>
          </w:p>
          <w:p w14:paraId="604D9C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lang w:eastAsia="zh-CN"/>
              </w:rPr>
              <w:t>在全区范围内选取</w:t>
            </w:r>
            <w:r>
              <w:rPr>
                <w:rFonts w:hint="eastAsia" w:ascii="宋体" w:hAnsi="宋体" w:eastAsia="宋体" w:cs="宋体"/>
                <w:color w:val="000000"/>
                <w:sz w:val="18"/>
                <w:szCs w:val="18"/>
                <w:lang w:val="en-US" w:eastAsia="zh-CN"/>
              </w:rPr>
              <w:t>6家公立医院，按照内控评价及转移支付审计要求，开展内控再评价暨转移支付专项审计。</w:t>
            </w:r>
          </w:p>
          <w:p w14:paraId="577D06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2、在全区范围内结合2025年度全区各市、县、区基本药物制度补助资金、公立医院改革与高质量发展示范项目补助资金情况各选取6家项目执行单位，通过项目单位开展自查、自治区</w:t>
            </w:r>
            <w:r>
              <w:rPr>
                <w:rFonts w:hint="default" w:ascii="宋体" w:hAnsi="宋体" w:eastAsia="宋体" w:cs="宋体"/>
                <w:color w:val="000000"/>
                <w:sz w:val="18"/>
                <w:szCs w:val="18"/>
                <w:lang w:val="en-US" w:eastAsia="zh-CN"/>
              </w:rPr>
              <w:t>现场抽查核实查阅资料</w:t>
            </w:r>
            <w:r>
              <w:rPr>
                <w:rFonts w:hint="eastAsia" w:ascii="宋体" w:hAnsi="宋体" w:eastAsia="宋体" w:cs="宋体"/>
                <w:color w:val="000000"/>
                <w:sz w:val="18"/>
                <w:szCs w:val="18"/>
                <w:lang w:val="en-US" w:eastAsia="zh-CN"/>
              </w:rPr>
              <w:t>等方式开展。</w:t>
            </w:r>
          </w:p>
          <w:p w14:paraId="6AFC02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★二、项目服务要求</w:t>
            </w:r>
          </w:p>
          <w:p w14:paraId="3473B5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sz w:val="18"/>
                <w:szCs w:val="18"/>
              </w:rPr>
            </w:pPr>
            <w:r>
              <w:rPr>
                <w:rFonts w:hint="eastAsia" w:ascii="宋体" w:hAnsi="宋体" w:eastAsia="宋体" w:cs="宋体"/>
                <w:color w:val="000000"/>
                <w:sz w:val="18"/>
                <w:szCs w:val="18"/>
                <w:lang w:val="en-US" w:eastAsia="zh-CN"/>
              </w:rPr>
              <w:t>1、</w:t>
            </w:r>
            <w:r>
              <w:rPr>
                <w:rFonts w:hint="default" w:ascii="宋体" w:hAnsi="宋体" w:eastAsia="宋体" w:cs="宋体"/>
                <w:color w:val="000000"/>
                <w:sz w:val="18"/>
                <w:szCs w:val="18"/>
                <w:lang w:val="en-US" w:eastAsia="zh-CN"/>
              </w:rPr>
              <w:t>根据《广西壮族自治区公立医院内部控制评价管理暂行办法》（桂卫财务发〔2023〕5号）要求</w:t>
            </w:r>
            <w:r>
              <w:rPr>
                <w:rFonts w:hint="eastAsia" w:ascii="宋体" w:hAnsi="宋体" w:eastAsia="宋体" w:cs="宋体"/>
                <w:color w:val="000000"/>
                <w:sz w:val="18"/>
                <w:szCs w:val="18"/>
                <w:lang w:val="en-US" w:eastAsia="zh-CN"/>
              </w:rPr>
              <w:t>，围绕单位层面内部控制设计有效性、业务层面内部控制设计有效性、内部控制关键业务流程测试情况、内部控制关键业务流程执行情况</w:t>
            </w:r>
            <w:r>
              <w:rPr>
                <w:rFonts w:hint="eastAsia" w:ascii="宋体" w:hAnsi="宋体" w:eastAsia="宋体" w:cs="宋体"/>
                <w:color w:val="000000"/>
                <w:sz w:val="18"/>
                <w:szCs w:val="18"/>
              </w:rPr>
              <w:t>对单位内部控制设计及实际运行情况</w:t>
            </w:r>
            <w:r>
              <w:rPr>
                <w:rFonts w:hint="eastAsia" w:ascii="宋体" w:hAnsi="宋体" w:eastAsia="宋体" w:cs="宋体"/>
                <w:color w:val="000000"/>
                <w:sz w:val="18"/>
                <w:szCs w:val="18"/>
                <w:lang w:val="en-US" w:eastAsia="zh-CN"/>
              </w:rPr>
              <w:t>进行全面评价；</w:t>
            </w:r>
          </w:p>
          <w:p w14:paraId="32E690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是否设立内部控制评价领导小组；</w:t>
            </w:r>
          </w:p>
          <w:p w14:paraId="33506E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是否拟定内部控制评价工作方案；</w:t>
            </w:r>
          </w:p>
          <w:p w14:paraId="3EDA03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val="en-US" w:eastAsia="zh-CN"/>
              </w:rPr>
              <w:t>是否在每年7月31日前完成单位上一年度内部控制评价并报送上级主管部门；</w:t>
            </w:r>
          </w:p>
          <w:p w14:paraId="0D08DE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、对于内部控制评价发现的缺陷是否制定措施进行相应整改。</w:t>
            </w:r>
          </w:p>
          <w:p w14:paraId="42CA9C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highlight w:val="none"/>
                <w:lang w:val="en-US" w:eastAsia="zh-CN"/>
              </w:rPr>
              <w:t>根据中央对地方专项转移支付管理办法及专项资金管理办法，对部分市、县（市、区）的基本药物制度补助资金、公立医院改革与高质量发展示范项目补助资金管理情况开展审计。</w:t>
            </w:r>
          </w:p>
          <w:p w14:paraId="671975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7、全区内控自评情况开展复核包含（区直公立医院及各市卫生健康委）。</w:t>
            </w:r>
          </w:p>
          <w:p w14:paraId="2A1648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8、出具内控再评价总报告1份，6家公立医院分报告各1份。</w:t>
            </w:r>
          </w:p>
          <w:p w14:paraId="10774E1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ind w:left="0" w:firstLine="105"/>
              <w:jc w:val="both"/>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18"/>
                <w:szCs w:val="18"/>
                <w:lang w:val="en-US" w:eastAsia="zh-CN" w:bidi="ar"/>
              </w:rPr>
              <w:t>9、出具专项审计总报告1份，6家项目执行单位分报告各1份。</w:t>
            </w:r>
          </w:p>
        </w:tc>
      </w:tr>
      <w:tr w14:paraId="64AA8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blCellSpacing w:w="0" w:type="dxa"/>
          <w:jc w:val="center"/>
        </w:trPr>
        <w:tc>
          <w:tcPr>
            <w:tcW w:w="103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C983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both"/>
              <w:textAlignment w:val="auto"/>
            </w:pPr>
            <w:r>
              <w:rPr>
                <w:rFonts w:hint="eastAsia" w:ascii="宋体" w:hAnsi="宋体" w:eastAsia="宋体" w:cs="宋体"/>
                <w:b/>
                <w:bCs/>
                <w:color w:val="000000"/>
                <w:sz w:val="21"/>
                <w:szCs w:val="21"/>
              </w:rPr>
              <w:t>商务条款及其他要求：</w:t>
            </w:r>
          </w:p>
        </w:tc>
      </w:tr>
      <w:tr w14:paraId="1025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10E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rPr>
              <w:t>服务期及地点</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0A8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服务期限：合同生效之日</w:t>
            </w:r>
            <w:r>
              <w:rPr>
                <w:rFonts w:hint="eastAsia" w:ascii="宋体" w:hAnsi="宋体" w:eastAsia="宋体" w:cs="宋体"/>
                <w:color w:val="000000"/>
                <w:sz w:val="21"/>
                <w:szCs w:val="21"/>
                <w:highlight w:val="none"/>
                <w:lang w:val="en-US" w:eastAsia="zh-CN"/>
              </w:rPr>
              <w:t>起至提交评价结果。</w:t>
            </w:r>
          </w:p>
          <w:p w14:paraId="0F9E39D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both"/>
              <w:textAlignment w:val="auto"/>
            </w:pPr>
            <w:r>
              <w:rPr>
                <w:rFonts w:hint="eastAsia" w:ascii="宋体" w:hAnsi="宋体" w:eastAsia="宋体" w:cs="宋体"/>
                <w:color w:val="000000"/>
                <w:sz w:val="21"/>
                <w:szCs w:val="21"/>
              </w:rPr>
              <w:t>服务地点：</w:t>
            </w:r>
            <w:r>
              <w:rPr>
                <w:rFonts w:hint="eastAsia" w:ascii="宋体" w:hAnsi="宋体" w:eastAsia="宋体" w:cs="宋体"/>
                <w:color w:val="000000"/>
                <w:sz w:val="21"/>
                <w:szCs w:val="21"/>
                <w:lang w:val="en-US" w:eastAsia="zh-CN"/>
              </w:rPr>
              <w:t>广西区</w:t>
            </w:r>
            <w:r>
              <w:rPr>
                <w:rFonts w:hint="eastAsia" w:ascii="宋体" w:hAnsi="宋体" w:eastAsia="宋体" w:cs="宋体"/>
                <w:color w:val="000000"/>
                <w:sz w:val="21"/>
                <w:szCs w:val="21"/>
              </w:rPr>
              <w:t>内（采购人指定地点）。</w:t>
            </w:r>
          </w:p>
        </w:tc>
      </w:tr>
      <w:tr w14:paraId="26F0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B6D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rPr>
              <w:t>付款方式</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734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454"/>
              </w:tabs>
              <w:kinsoku/>
              <w:wordWrap/>
              <w:overflowPunct/>
              <w:topLinePunct w:val="0"/>
              <w:autoSpaceDE/>
              <w:autoSpaceDN/>
              <w:bidi w:val="0"/>
              <w:adjustRightInd/>
              <w:snapToGrid/>
              <w:spacing w:before="0" w:beforeAutospacing="0" w:after="0" w:afterAutospacing="0" w:line="260" w:lineRule="exact"/>
              <w:jc w:val="both"/>
              <w:textAlignment w:val="auto"/>
              <w:rPr>
                <w:rFonts w:hint="default" w:eastAsia="宋体"/>
                <w:lang w:val="en-US" w:eastAsia="zh-CN"/>
              </w:rPr>
            </w:pPr>
            <w:r>
              <w:rPr>
                <w:rFonts w:hint="eastAsia" w:ascii="宋体" w:hAnsi="宋体" w:eastAsia="宋体" w:cs="宋体"/>
                <w:color w:val="000000"/>
                <w:sz w:val="21"/>
                <w:szCs w:val="21"/>
                <w:lang w:val="en-US" w:eastAsia="zh-CN"/>
              </w:rPr>
              <w:t>合同签订后</w:t>
            </w:r>
            <w:r>
              <w:rPr>
                <w:rFonts w:hint="eastAsia" w:ascii="宋体" w:hAnsi="宋体" w:eastAsia="宋体" w:cs="宋体"/>
                <w:color w:val="000000"/>
                <w:sz w:val="21"/>
                <w:szCs w:val="21"/>
                <w:highlight w:val="none"/>
                <w:lang w:val="en-US" w:eastAsia="zh-CN"/>
              </w:rPr>
              <w:t>支付50%合同款</w:t>
            </w:r>
            <w:r>
              <w:rPr>
                <w:rFonts w:hint="eastAsia" w:ascii="宋体" w:hAnsi="宋体" w:eastAsia="宋体" w:cs="宋体"/>
                <w:color w:val="000000"/>
                <w:sz w:val="21"/>
                <w:szCs w:val="21"/>
                <w:highlight w:val="none"/>
              </w:rPr>
              <w:t>，成交人自收到款之日起五个工作日内向采购人开具等额发票。</w:t>
            </w:r>
          </w:p>
        </w:tc>
      </w:tr>
      <w:tr w14:paraId="5CD0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D60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60" w:lineRule="exact"/>
              <w:jc w:val="center"/>
              <w:textAlignment w:val="auto"/>
            </w:pPr>
            <w:r>
              <w:rPr>
                <w:rFonts w:hint="eastAsia" w:ascii="宋体" w:hAnsi="宋体" w:eastAsia="宋体" w:cs="宋体"/>
                <w:color w:val="000000"/>
                <w:sz w:val="21"/>
                <w:szCs w:val="21"/>
              </w:rPr>
              <w:t>其他要求</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9D9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454"/>
              </w:tabs>
              <w:kinsoku/>
              <w:wordWrap/>
              <w:overflowPunct/>
              <w:topLinePunct w:val="0"/>
              <w:autoSpaceDE/>
              <w:autoSpaceDN/>
              <w:bidi w:val="0"/>
              <w:adjustRightInd/>
              <w:snapToGrid/>
              <w:spacing w:before="0" w:beforeAutospacing="0" w:after="0" w:afterAutospacing="0" w:line="260" w:lineRule="exact"/>
              <w:jc w:val="both"/>
              <w:textAlignment w:val="auto"/>
            </w:pPr>
            <w:r>
              <w:rPr>
                <w:rFonts w:hint="eastAsia" w:ascii="宋体" w:hAnsi="宋体" w:eastAsia="宋体" w:cs="宋体"/>
                <w:color w:val="000000"/>
                <w:sz w:val="21"/>
                <w:szCs w:val="21"/>
                <w:highlight w:val="none"/>
                <w:lang w:val="en-US" w:eastAsia="zh-CN"/>
              </w:rPr>
              <w:t>2025年12</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日前</w:t>
            </w:r>
            <w:r>
              <w:rPr>
                <w:rFonts w:hint="eastAsia" w:ascii="宋体" w:hAnsi="宋体" w:eastAsia="宋体" w:cs="宋体"/>
                <w:color w:val="000000"/>
                <w:sz w:val="21"/>
                <w:szCs w:val="21"/>
                <w:highlight w:val="none"/>
                <w:lang w:val="en-US" w:eastAsia="zh-CN"/>
              </w:rPr>
              <w:t>提交评价及审计报告</w:t>
            </w:r>
            <w:r>
              <w:rPr>
                <w:rFonts w:hint="eastAsia" w:ascii="宋体" w:hAnsi="宋体" w:eastAsia="宋体" w:cs="宋体"/>
                <w:color w:val="000000"/>
                <w:sz w:val="21"/>
                <w:szCs w:val="21"/>
                <w:highlight w:val="none"/>
              </w:rPr>
              <w:t>。</w:t>
            </w:r>
          </w:p>
        </w:tc>
      </w:tr>
    </w:tbl>
    <w:p w14:paraId="142A0DF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黑体" w:hAnsi="宋体" w:eastAsia="黑体" w:cs="黑体"/>
          <w:color w:val="000000"/>
          <w:sz w:val="32"/>
          <w:szCs w:val="32"/>
        </w:rPr>
      </w:pPr>
    </w:p>
    <w:p w14:paraId="276AAD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eastAsia" w:eastAsia="黑体"/>
          <w:lang w:eastAsia="zh-CN"/>
        </w:rPr>
      </w:pPr>
      <w:r>
        <w:rPr>
          <w:rFonts w:ascii="黑体" w:hAnsi="宋体" w:eastAsia="黑体" w:cs="黑体"/>
          <w:color w:val="000000"/>
          <w:sz w:val="32"/>
          <w:szCs w:val="32"/>
        </w:rPr>
        <w:t>附件</w:t>
      </w:r>
      <w:r>
        <w:rPr>
          <w:rFonts w:hint="eastAsia" w:ascii="黑体" w:hAnsi="宋体" w:eastAsia="黑体" w:cs="黑体"/>
          <w:color w:val="000000"/>
          <w:sz w:val="32"/>
          <w:szCs w:val="32"/>
          <w:lang w:val="en-US" w:eastAsia="zh-CN"/>
        </w:rPr>
        <w:t>2</w:t>
      </w:r>
    </w:p>
    <w:p w14:paraId="34058B5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6D444C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7B1C702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43B9F2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项目名称：2025年全区公立医院内部控制再评价暨转移支付专项审计委托服务</w:t>
      </w:r>
    </w:p>
    <w:p w14:paraId="1A61833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center"/>
      </w:pPr>
      <w:r>
        <w:t> </w:t>
      </w:r>
    </w:p>
    <w:p w14:paraId="2336EB1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7F385B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center"/>
      </w:pPr>
      <w:r>
        <w:t> </w:t>
      </w:r>
    </w:p>
    <w:p w14:paraId="49EC7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 价 书</w:t>
      </w:r>
    </w:p>
    <w:p w14:paraId="5D7DA10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0D427A7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0E83270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7CF31B3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297CD4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634585B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ascii="仿宋" w:hAnsi="仿宋" w:eastAsia="仿宋" w:cs="仿宋"/>
          <w:color w:val="000000"/>
          <w:sz w:val="32"/>
          <w:szCs w:val="32"/>
        </w:rPr>
        <w:t>报  价  人（公章）：</w:t>
      </w:r>
    </w:p>
    <w:p w14:paraId="212B290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hint="eastAsia" w:ascii="仿宋" w:hAnsi="仿宋" w:eastAsia="仿宋" w:cs="仿宋"/>
          <w:color w:val="000000"/>
          <w:sz w:val="32"/>
          <w:szCs w:val="32"/>
        </w:rPr>
        <w:t>法定代表人或委托代理人（签字或签章）：</w:t>
      </w:r>
    </w:p>
    <w:p w14:paraId="27A1C23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hint="eastAsia" w:ascii="仿宋" w:hAnsi="仿宋" w:eastAsia="仿宋" w:cs="仿宋"/>
          <w:color w:val="000000"/>
          <w:sz w:val="32"/>
          <w:szCs w:val="32"/>
        </w:rPr>
        <w:t>报 价 日 期：202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  月  日</w:t>
      </w:r>
    </w:p>
    <w:p w14:paraId="3D7A9F9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71AF3F2F"/>
    <w:p w14:paraId="75BC58AA"/>
    <w:p w14:paraId="6A13C15A"/>
    <w:p w14:paraId="552E3A54"/>
    <w:p w14:paraId="5C24CAB5"/>
    <w:p w14:paraId="0D431ECC"/>
    <w:p w14:paraId="2DF1361D"/>
    <w:p w14:paraId="2B7F4323">
      <w:pPr>
        <w:rPr>
          <w:rFonts w:hint="eastAsia" w:ascii="Arial Unicode MS" w:hAnsi="Arial Unicode MS" w:eastAsia="Arial Unicode MS" w:cs="Arial Unicode MS"/>
          <w:color w:val="000000"/>
          <w:sz w:val="44"/>
          <w:szCs w:val="44"/>
        </w:rPr>
      </w:pPr>
      <w:r>
        <w:t> </w:t>
      </w:r>
    </w:p>
    <w:p w14:paraId="31BE2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报价人致函</w:t>
      </w:r>
    </w:p>
    <w:p w14:paraId="64C691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375"/>
        <w:jc w:val="both"/>
        <w:textAlignment w:val="auto"/>
      </w:pPr>
      <w:r>
        <w:t> </w:t>
      </w:r>
    </w:p>
    <w:p w14:paraId="03A920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jc w:val="both"/>
        <w:textAlignment w:val="auto"/>
      </w:pP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w:t>
      </w:r>
      <w:r>
        <w:rPr>
          <w:rFonts w:hint="eastAsia" w:ascii="仿宋_GB2312" w:eastAsia="仿宋_GB2312" w:cs="仿宋_GB2312"/>
          <w:color w:val="000000"/>
          <w:sz w:val="32"/>
          <w:szCs w:val="32"/>
        </w:rPr>
        <w:t>项目监管服务中心</w:t>
      </w:r>
      <w:r>
        <w:rPr>
          <w:rFonts w:ascii="仿宋_GB2312" w:eastAsia="仿宋_GB2312" w:cs="仿宋_GB2312"/>
          <w:color w:val="000000"/>
          <w:sz w:val="32"/>
          <w:szCs w:val="32"/>
        </w:rPr>
        <w:t>：</w:t>
      </w:r>
    </w:p>
    <w:p w14:paraId="224DD5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1"/>
        <w:jc w:val="both"/>
        <w:textAlignment w:val="auto"/>
      </w:pPr>
      <w:r>
        <w:rPr>
          <w:rFonts w:hint="eastAsia" w:ascii="仿宋_GB2312" w:eastAsia="仿宋_GB2312" w:cs="仿宋_GB2312"/>
          <w:color w:val="000000"/>
          <w:sz w:val="32"/>
          <w:szCs w:val="32"/>
        </w:rPr>
        <w:t>1.我们遵照询价文件的要求递交本报价书。我们完全同意询价文件制定的规则，并承诺按照这些规则履行我们的所有义务，包括一旦中选，履行中选人的义务。</w:t>
      </w:r>
    </w:p>
    <w:p w14:paraId="73A182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2.我们确认，我们已经仔细阅读并研究了本项目的询价文件及其相关资料，我们完全知悉其中的要求和条款，我们愿意遵照询价文件的要求承担本合同的实施、完成及其缺陷修复工作。</w:t>
      </w:r>
    </w:p>
    <w:p w14:paraId="66A099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3.如果接受我们的报价，我们将保证在接到中选通知后，按要求开展相关项目服务，并达到询价函规定的质量要求。</w:t>
      </w:r>
    </w:p>
    <w:p w14:paraId="6F0277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4.我们同意严格遵守本报价书的各项承诺。本报价书对我方具有约束力，并随时接受中选。</w:t>
      </w:r>
    </w:p>
    <w:p w14:paraId="35615F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5.在合同协议书正式签署生效之前，本报价书连同你单位的中选通知书将构成我们双方之间共同遵守的文件，对双方具有约束力。</w:t>
      </w:r>
    </w:p>
    <w:p w14:paraId="0E2F40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6.我们理解，你单位不负担我们的任何报价费用。</w:t>
      </w:r>
    </w:p>
    <w:p w14:paraId="184764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7.我们承认，询价人有权根据询价文件的规定并选中其他单位。</w:t>
      </w:r>
    </w:p>
    <w:p w14:paraId="778B56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_GB2312" w:eastAsia="仿宋_GB2312" w:cs="仿宋_GB2312"/>
          <w:color w:val="000000"/>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60D8A1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jc w:val="both"/>
        <w:textAlignment w:val="auto"/>
      </w:pPr>
      <w:r>
        <w:t> </w:t>
      </w:r>
    </w:p>
    <w:p w14:paraId="2ACD78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 w:hAnsi="仿宋" w:eastAsia="仿宋" w:cs="仿宋"/>
          <w:color w:val="000000"/>
          <w:sz w:val="32"/>
          <w:szCs w:val="32"/>
        </w:rPr>
        <w:t>报  价  人（公章）：</w:t>
      </w:r>
    </w:p>
    <w:p w14:paraId="6167E1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640"/>
        <w:jc w:val="both"/>
        <w:textAlignment w:val="auto"/>
      </w:pPr>
      <w:r>
        <w:rPr>
          <w:rFonts w:hint="eastAsia" w:ascii="仿宋" w:hAnsi="仿宋" w:eastAsia="仿宋" w:cs="仿宋"/>
          <w:color w:val="000000"/>
          <w:sz w:val="32"/>
          <w:szCs w:val="32"/>
        </w:rPr>
        <w:t>法定代表人或委托代理人（签字或签章）：</w:t>
      </w:r>
    </w:p>
    <w:p w14:paraId="18318E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firstLine="5440"/>
        <w:jc w:val="both"/>
        <w:textAlignment w:val="auto"/>
        <w:rPr>
          <w:rFonts w:hint="eastAsia" w:ascii="Arial Unicode MS" w:hAnsi="Arial Unicode MS" w:eastAsia="Arial Unicode MS" w:cs="Arial Unicode MS"/>
          <w:color w:val="000000"/>
          <w:sz w:val="44"/>
          <w:szCs w:val="44"/>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  月  日</w:t>
      </w:r>
    </w:p>
    <w:p w14:paraId="3A0A5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w:t>
      </w:r>
    </w:p>
    <w:p w14:paraId="56A885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firstLine="560"/>
        <w:jc w:val="both"/>
        <w:textAlignment w:val="auto"/>
      </w:pPr>
      <w:r>
        <w:t> </w:t>
      </w:r>
    </w:p>
    <w:p w14:paraId="3345F4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rFonts w:hint="eastAsia" w:ascii="仿宋_GB2312" w:eastAsia="仿宋_GB2312" w:cs="仿宋_GB2312"/>
          <w:color w:val="000000"/>
          <w:sz w:val="32"/>
          <w:szCs w:val="32"/>
        </w:rPr>
        <w:t>承诺本报价文件所作的陈述及提供给询价人（</w:t>
      </w: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w:t>
      </w:r>
      <w:r>
        <w:rPr>
          <w:rFonts w:hint="eastAsia" w:ascii="仿宋_GB2312" w:eastAsia="仿宋_GB2312" w:cs="仿宋_GB2312"/>
          <w:color w:val="000000"/>
          <w:sz w:val="32"/>
          <w:szCs w:val="32"/>
        </w:rPr>
        <w:t>项目监管服务中心）所要求的其认为必要的任何有关资料是真实的、准确无误的，如有不真实、不准确和伪造，我们愿意接受询价人及有关部门的处罚，承担由此产生的一切后果。</w:t>
      </w:r>
    </w:p>
    <w:p w14:paraId="5A9336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sz w:val="32"/>
          <w:szCs w:val="32"/>
        </w:rPr>
      </w:pPr>
      <w:r>
        <w:rPr>
          <w:rFonts w:hint="eastAsia" w:ascii="仿宋_GB2312" w:eastAsia="仿宋_GB2312" w:cs="仿宋_GB2312"/>
          <w:color w:val="000000"/>
          <w:sz w:val="32"/>
          <w:szCs w:val="32"/>
        </w:rPr>
        <w:t>报价文件应包括项目工作方案、法人证书复印件和报价书。委托他人参与报价的，还应当提交授权委托书，被授权人身份证明的复印件。报价文件应加盖单位印章，装袋密封。报价文件未按时送达或文件资料不全、字迹模糊辨认不清的，报价无效。</w:t>
      </w:r>
    </w:p>
    <w:p w14:paraId="1F3FCB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rFonts w:hint="eastAsia" w:ascii="仿宋_GB2312" w:eastAsia="仿宋_GB2312" w:cs="仿宋_GB2312"/>
          <w:color w:val="000000"/>
          <w:sz w:val="32"/>
          <w:szCs w:val="32"/>
        </w:rPr>
        <w:t>我们理解并同意按询价人的要求提供更多的资料（包括必要的原件），并按询价人的要求提供类似资料，同时我们作出以下的声明并保证：</w:t>
      </w:r>
    </w:p>
    <w:p w14:paraId="4A6C74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rFonts w:hint="eastAsia" w:ascii="仿宋_GB2312" w:eastAsia="仿宋_GB2312" w:cs="仿宋_GB2312"/>
          <w:color w:val="000000"/>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3FD167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rFonts w:hint="eastAsia" w:ascii="仿宋_GB2312" w:eastAsia="仿宋_GB2312" w:cs="仿宋_GB2312"/>
          <w:color w:val="000000"/>
          <w:sz w:val="32"/>
          <w:szCs w:val="32"/>
        </w:rPr>
        <w:t>报  价  人（公章）：</w:t>
      </w:r>
    </w:p>
    <w:p w14:paraId="011476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rFonts w:hint="eastAsia" w:ascii="仿宋_GB2312" w:eastAsia="仿宋_GB2312" w:cs="仿宋_GB2312"/>
          <w:color w:val="000000"/>
          <w:sz w:val="32"/>
          <w:szCs w:val="32"/>
        </w:rPr>
        <w:t>法定代表人或委托代理人（签字或签章）：</w:t>
      </w:r>
    </w:p>
    <w:p w14:paraId="7A20F2E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sz w:val="32"/>
          <w:szCs w:val="32"/>
        </w:rPr>
      </w:pPr>
      <w:r>
        <w:rPr>
          <w:sz w:val="32"/>
          <w:szCs w:val="32"/>
        </w:rPr>
        <w:t> </w:t>
      </w:r>
    </w:p>
    <w:p w14:paraId="05855B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40"/>
        <w:jc w:val="both"/>
        <w:textAlignment w:val="auto"/>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  月  日</w:t>
      </w:r>
      <w:r>
        <w:rPr>
          <w:rFonts w:hint="eastAsia" w:ascii="仿宋" w:hAnsi="仿宋" w:eastAsia="仿宋" w:cs="仿宋"/>
          <w:color w:val="000000"/>
          <w:sz w:val="32"/>
          <w:szCs w:val="32"/>
        </w:rPr>
        <w:br w:type="page"/>
      </w:r>
    </w:p>
    <w:p w14:paraId="147B5A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14:paraId="7076591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5A780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pP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w:t>
      </w:r>
      <w:r>
        <w:rPr>
          <w:rFonts w:hint="eastAsia" w:ascii="仿宋_GB2312" w:eastAsia="仿宋_GB2312" w:cs="仿宋_GB2312"/>
          <w:color w:val="000000"/>
          <w:sz w:val="32"/>
          <w:szCs w:val="32"/>
        </w:rPr>
        <w:t>项目监管服务中心：</w:t>
      </w:r>
    </w:p>
    <w:p w14:paraId="29A0F4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一、本报价人愿意按询价文件及有关资料的要求承接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2025年全区公立医院内部控制再评价暨转移支付专项审计</w:t>
      </w:r>
      <w:r>
        <w:rPr>
          <w:rFonts w:hint="eastAsia" w:ascii="仿宋_GB2312" w:hAnsi="仿宋_GB2312" w:eastAsia="仿宋_GB2312" w:cs="仿宋_GB2312"/>
          <w:sz w:val="32"/>
          <w:szCs w:val="32"/>
        </w:rPr>
        <w:t>工作</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合同期限至提交委托方验收的报告为止</w:t>
      </w:r>
      <w:r>
        <w:rPr>
          <w:rFonts w:hint="eastAsia" w:ascii="仿宋_GB2312" w:eastAsia="仿宋_GB2312" w:cs="仿宋_GB2312"/>
          <w:color w:val="000000"/>
          <w:sz w:val="32"/>
          <w:szCs w:val="32"/>
          <w:highlight w:val="none"/>
        </w:rPr>
        <w:t>。本报价人针对该项目</w:t>
      </w:r>
      <w:r>
        <w:rPr>
          <w:rFonts w:hint="eastAsia" w:ascii="仿宋_GB2312" w:eastAsia="仿宋_GB2312" w:cs="仿宋_GB2312"/>
          <w:color w:val="000000"/>
          <w:sz w:val="32"/>
          <w:szCs w:val="32"/>
        </w:rPr>
        <w:t>费用的报价为（大写:     ）（小写：     ）</w:t>
      </w:r>
      <w:r>
        <w:rPr>
          <w:rFonts w:hint="eastAsia" w:ascii="仿宋_GB2312" w:eastAsia="仿宋_GB2312" w:cs="仿宋_GB2312"/>
          <w:color w:val="000000"/>
          <w:sz w:val="32"/>
          <w:szCs w:val="32"/>
          <w:lang w:eastAsia="zh-CN"/>
        </w:rPr>
        <w:t>，费用包含完成本次委托服务的差旅费、服务费等全部费用</w:t>
      </w:r>
      <w:r>
        <w:rPr>
          <w:rFonts w:hint="eastAsia" w:ascii="仿宋_GB2312" w:eastAsia="仿宋_GB2312" w:cs="仿宋_GB2312"/>
          <w:color w:val="000000"/>
          <w:sz w:val="32"/>
          <w:szCs w:val="32"/>
        </w:rPr>
        <w:t>。支付方式按本项目询价文件和合同书的规定执行。</w:t>
      </w:r>
    </w:p>
    <w:p w14:paraId="30B356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二、报价人承诺按询价文件及有关资料的要求完成本项目的工作任务。</w:t>
      </w:r>
    </w:p>
    <w:p w14:paraId="4A95BD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三、本报价人所递交的报价文件在询价文件规定的报价有效期限内有效，本报价人如中选，将受询价文件的约束。</w:t>
      </w:r>
    </w:p>
    <w:p w14:paraId="2CF5F0D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t> </w:t>
      </w:r>
    </w:p>
    <w:p w14:paraId="77D3B6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t> </w:t>
      </w:r>
    </w:p>
    <w:p w14:paraId="05E42D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报  价  人（公章）：</w:t>
      </w:r>
    </w:p>
    <w:p w14:paraId="17B277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法定代表人或委托代理人（签字或签章）：</w:t>
      </w:r>
    </w:p>
    <w:p w14:paraId="3C5DCC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566"/>
        </w:tabs>
        <w:kinsoku/>
        <w:wordWrap/>
        <w:overflowPunct/>
        <w:topLinePunct w:val="0"/>
        <w:autoSpaceDE/>
        <w:autoSpaceDN/>
        <w:bidi w:val="0"/>
        <w:adjustRightInd/>
        <w:snapToGrid/>
        <w:spacing w:before="0" w:beforeAutospacing="0" w:after="0" w:afterAutospacing="0" w:line="560" w:lineRule="exact"/>
        <w:ind w:left="0" w:firstLine="4838"/>
        <w:jc w:val="both"/>
        <w:textAlignment w:val="auto"/>
      </w:pPr>
      <w:r>
        <w:t> </w:t>
      </w:r>
    </w:p>
    <w:p w14:paraId="0B8122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566"/>
        </w:tabs>
        <w:kinsoku/>
        <w:wordWrap/>
        <w:overflowPunct/>
        <w:topLinePunct w:val="0"/>
        <w:autoSpaceDE/>
        <w:autoSpaceDN/>
        <w:bidi w:val="0"/>
        <w:adjustRightInd/>
        <w:snapToGrid/>
        <w:spacing w:before="0" w:beforeAutospacing="0" w:after="0" w:afterAutospacing="0" w:line="560" w:lineRule="exact"/>
        <w:ind w:left="0" w:firstLine="4838"/>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   月   日</w:t>
      </w:r>
    </w:p>
    <w:p w14:paraId="0A2572CA">
      <w:pPr>
        <w:rPr>
          <w:rFonts w:hint="eastAsia" w:ascii="Arial Unicode MS" w:hAnsi="Arial Unicode MS" w:eastAsia="Arial Unicode MS" w:cs="Arial Unicode MS"/>
          <w:color w:val="000000"/>
          <w:sz w:val="44"/>
          <w:szCs w:val="44"/>
          <w:lang w:val="en-US" w:eastAsia="zh-CN"/>
        </w:rPr>
      </w:pPr>
      <w:r>
        <w:rPr>
          <w:rFonts w:hint="default" w:ascii="仿宋_GB2312" w:eastAsia="仿宋_GB2312" w:cs="仿宋_GB2312"/>
          <w:color w:val="000000"/>
          <w:sz w:val="32"/>
          <w:szCs w:val="32"/>
          <w:lang w:val="en-US" w:eastAsia="zh-CN"/>
        </w:rPr>
        <w:br w:type="page"/>
      </w:r>
    </w:p>
    <w:p w14:paraId="6106F5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三年内涉及内部控制再评价、转移支付专项审计工作相关的业绩或案例</w:t>
      </w:r>
    </w:p>
    <w:p w14:paraId="63E6E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（须提供合同或协议等相关佐证材料）</w:t>
      </w:r>
    </w:p>
    <w:p w14:paraId="6998BCE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Arial Unicode MS" w:hAnsi="Arial Unicode MS" w:eastAsia="Arial Unicode MS" w:cs="Arial Unicode MS"/>
          <w:color w:val="000000"/>
          <w:sz w:val="44"/>
          <w:szCs w:val="44"/>
          <w:lang w:val="en-US" w:eastAsia="zh-CN"/>
        </w:rPr>
      </w:pPr>
    </w:p>
    <w:tbl>
      <w:tblPr>
        <w:tblStyle w:val="8"/>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534"/>
        <w:gridCol w:w="2616"/>
        <w:gridCol w:w="1617"/>
        <w:gridCol w:w="933"/>
      </w:tblGrid>
      <w:tr w14:paraId="529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52" w:type="dxa"/>
            <w:vAlign w:val="center"/>
          </w:tcPr>
          <w:p w14:paraId="105A7A21">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序号</w:t>
            </w:r>
          </w:p>
        </w:tc>
        <w:tc>
          <w:tcPr>
            <w:tcW w:w="2534" w:type="dxa"/>
            <w:vAlign w:val="center"/>
          </w:tcPr>
          <w:p w14:paraId="2A4B91CE">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业绩或案例名称</w:t>
            </w:r>
          </w:p>
        </w:tc>
        <w:tc>
          <w:tcPr>
            <w:tcW w:w="2616" w:type="dxa"/>
            <w:vAlign w:val="center"/>
          </w:tcPr>
          <w:p w14:paraId="09691E3E">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业绩或案例内容</w:t>
            </w:r>
          </w:p>
        </w:tc>
        <w:tc>
          <w:tcPr>
            <w:tcW w:w="1617" w:type="dxa"/>
            <w:vAlign w:val="center"/>
          </w:tcPr>
          <w:p w14:paraId="77108C9C">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项目金额</w:t>
            </w:r>
          </w:p>
        </w:tc>
        <w:tc>
          <w:tcPr>
            <w:tcW w:w="933" w:type="dxa"/>
            <w:vAlign w:val="center"/>
          </w:tcPr>
          <w:p w14:paraId="4D4F8B68">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备注</w:t>
            </w:r>
          </w:p>
        </w:tc>
      </w:tr>
      <w:tr w14:paraId="01C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F960ABC">
            <w:pPr>
              <w:pStyle w:val="5"/>
              <w:keepNext w:val="0"/>
              <w:keepLines w:val="0"/>
              <w:widowControl w:val="0"/>
              <w:suppressLineNumbers w:val="0"/>
              <w:spacing w:before="0" w:beforeAutospacing="0" w:after="0" w:afterAutospacing="0" w:line="0" w:lineRule="atLeast"/>
              <w:jc w:val="center"/>
              <w:rPr>
                <w:rFonts w:hint="default" w:ascii="Arial Unicode MS" w:hAnsi="Arial Unicode MS" w:eastAsia="Arial Unicode MS" w:cs="Arial Unicode MS"/>
                <w:color w:val="000000"/>
                <w:sz w:val="30"/>
                <w:szCs w:val="30"/>
                <w:vertAlign w:val="baseline"/>
                <w:lang w:val="en-US" w:eastAsia="zh-CN"/>
              </w:rPr>
            </w:pPr>
            <w:r>
              <w:rPr>
                <w:rFonts w:hint="eastAsia" w:ascii="Arial Unicode MS" w:hAnsi="Arial Unicode MS" w:eastAsia="Arial Unicode MS" w:cs="Arial Unicode MS"/>
                <w:color w:val="000000"/>
                <w:sz w:val="30"/>
                <w:szCs w:val="30"/>
                <w:vertAlign w:val="baseline"/>
                <w:lang w:val="en-US" w:eastAsia="zh-CN"/>
              </w:rPr>
              <w:t>1</w:t>
            </w:r>
          </w:p>
        </w:tc>
        <w:tc>
          <w:tcPr>
            <w:tcW w:w="2534" w:type="dxa"/>
          </w:tcPr>
          <w:p w14:paraId="59E0661C">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tcPr>
          <w:p w14:paraId="675D6753">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tcPr>
          <w:p w14:paraId="296AE188">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tcPr>
          <w:p w14:paraId="64F2BCEC">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r w14:paraId="4542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39AFE2D">
            <w:pPr>
              <w:pStyle w:val="5"/>
              <w:keepNext w:val="0"/>
              <w:keepLines w:val="0"/>
              <w:widowControl w:val="0"/>
              <w:suppressLineNumbers w:val="0"/>
              <w:spacing w:before="0" w:beforeAutospacing="0" w:after="0" w:afterAutospacing="0" w:line="0" w:lineRule="atLeast"/>
              <w:jc w:val="center"/>
              <w:rPr>
                <w:rFonts w:hint="default" w:ascii="Arial Unicode MS" w:hAnsi="Arial Unicode MS" w:eastAsia="Arial Unicode MS" w:cs="Arial Unicode MS"/>
                <w:color w:val="000000"/>
                <w:sz w:val="30"/>
                <w:szCs w:val="30"/>
                <w:vertAlign w:val="baseline"/>
                <w:lang w:val="en-US" w:eastAsia="zh-CN"/>
              </w:rPr>
            </w:pPr>
            <w:r>
              <w:rPr>
                <w:rFonts w:hint="eastAsia" w:ascii="Arial Unicode MS" w:hAnsi="Arial Unicode MS" w:eastAsia="Arial Unicode MS" w:cs="Arial Unicode MS"/>
                <w:color w:val="000000"/>
                <w:sz w:val="30"/>
                <w:szCs w:val="30"/>
                <w:vertAlign w:val="baseline"/>
                <w:lang w:val="en-US" w:eastAsia="zh-CN"/>
              </w:rPr>
              <w:t>2</w:t>
            </w:r>
          </w:p>
        </w:tc>
        <w:tc>
          <w:tcPr>
            <w:tcW w:w="2534" w:type="dxa"/>
          </w:tcPr>
          <w:p w14:paraId="69BBF93A">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tcPr>
          <w:p w14:paraId="61223EC9">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tcPr>
          <w:p w14:paraId="7AEF4344">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tcPr>
          <w:p w14:paraId="09257CD8">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r w14:paraId="670B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6474385">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宋体" w:hAnsi="宋体" w:eastAsia="宋体" w:cs="宋体"/>
                <w:color w:val="000000"/>
                <w:sz w:val="44"/>
                <w:szCs w:val="44"/>
                <w:vertAlign w:val="baseline"/>
                <w:lang w:val="en-US" w:eastAsia="zh-CN"/>
              </w:rPr>
              <w:t>…</w:t>
            </w:r>
          </w:p>
        </w:tc>
        <w:tc>
          <w:tcPr>
            <w:tcW w:w="2534" w:type="dxa"/>
          </w:tcPr>
          <w:p w14:paraId="009262A7">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tcPr>
          <w:p w14:paraId="76408678">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tcPr>
          <w:p w14:paraId="0D7D9C22">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tcPr>
          <w:p w14:paraId="7FC4B796">
            <w:pPr>
              <w:pStyle w:val="5"/>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bl>
    <w:p w14:paraId="0F03D5F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Arial Unicode MS" w:hAnsi="Arial Unicode MS" w:eastAsia="Arial Unicode MS" w:cs="Arial Unicode MS"/>
          <w:color w:val="000000"/>
          <w:sz w:val="44"/>
          <w:szCs w:val="44"/>
          <w:lang w:val="en-US" w:eastAsia="zh-CN"/>
        </w:rPr>
      </w:pPr>
    </w:p>
    <w:p w14:paraId="6AD03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（佐证材料格式不限）</w:t>
      </w:r>
    </w:p>
    <w:p w14:paraId="66346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00CFCB2">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375075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kern w:val="2"/>
          <w:sz w:val="30"/>
          <w:szCs w:val="30"/>
          <w:lang w:val="en-US" w:eastAsia="zh-CN" w:bidi="ar-SA"/>
        </w:rPr>
      </w:pPr>
      <w:r>
        <w:rPr>
          <w:rFonts w:hint="eastAsia" w:ascii="方正小标宋简体" w:hAnsi="方正小标宋简体" w:eastAsia="方正小标宋简体" w:cs="方正小标宋简体"/>
          <w:b w:val="0"/>
          <w:kern w:val="2"/>
          <w:sz w:val="30"/>
          <w:szCs w:val="30"/>
          <w:lang w:val="en-US" w:eastAsia="zh-CN" w:bidi="ar-SA"/>
        </w:rPr>
        <w:t>附件3</w:t>
      </w:r>
    </w:p>
    <w:p w14:paraId="4BB89711">
      <w:pPr>
        <w:pStyle w:val="3"/>
        <w:spacing w:line="560" w:lineRule="exact"/>
        <w:ind w:left="63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评分规则和标准</w:t>
      </w:r>
    </w:p>
    <w:p w14:paraId="77C62643">
      <w:pPr>
        <w:pStyle w:val="3"/>
        <w:spacing w:line="560" w:lineRule="exact"/>
        <w:ind w:firstLine="464"/>
        <w:outlineLvl w:val="1"/>
        <w:rPr>
          <w:rFonts w:hint="eastAsia" w:ascii="黑体" w:hAnsi="黑体" w:eastAsia="黑体" w:cs="黑体"/>
          <w:b w:val="0"/>
          <w:bCs/>
          <w:sz w:val="32"/>
          <w:szCs w:val="32"/>
        </w:rPr>
      </w:pPr>
    </w:p>
    <w:p w14:paraId="3675B00E">
      <w:pPr>
        <w:pStyle w:val="3"/>
        <w:spacing w:line="560" w:lineRule="exact"/>
        <w:ind w:firstLine="464"/>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人员组成</w:t>
      </w:r>
    </w:p>
    <w:p w14:paraId="289725B7">
      <w:pPr>
        <w:pStyle w:val="3"/>
        <w:spacing w:line="560" w:lineRule="exact"/>
        <w:ind w:firstLine="42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构成：由5人以上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含5人）</w:t>
      </w:r>
      <w:r>
        <w:rPr>
          <w:rFonts w:hint="eastAsia" w:ascii="仿宋_GB2312" w:hAnsi="仿宋_GB2312" w:eastAsia="仿宋_GB2312" w:cs="仿宋_GB2312"/>
          <w:sz w:val="32"/>
          <w:szCs w:val="32"/>
        </w:rPr>
        <w:t>单数构成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邀请委机关纪委或纪检委员进行监督。</w:t>
      </w:r>
    </w:p>
    <w:p w14:paraId="4BACDD15">
      <w:pPr>
        <w:pStyle w:val="3"/>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评分</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将对</w:t>
      </w: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的服务</w:t>
      </w:r>
      <w:r>
        <w:rPr>
          <w:rFonts w:hint="eastAsia" w:ascii="仿宋_GB2312" w:hAnsi="仿宋_GB2312" w:eastAsia="仿宋_GB2312" w:cs="仿宋_GB2312"/>
          <w:sz w:val="32"/>
          <w:szCs w:val="32"/>
          <w:lang w:val="en-US" w:eastAsia="zh-CN"/>
        </w:rPr>
        <w:t>工作方案及程序、</w:t>
      </w:r>
      <w:r>
        <w:rPr>
          <w:rFonts w:hint="eastAsia" w:ascii="仿宋_GB2312" w:hAnsi="仿宋_GB2312" w:eastAsia="仿宋_GB2312" w:cs="仿宋_GB2312"/>
          <w:sz w:val="32"/>
          <w:szCs w:val="32"/>
        </w:rPr>
        <w:t>人员配置、</w:t>
      </w:r>
      <w:r>
        <w:rPr>
          <w:rFonts w:hint="eastAsia" w:ascii="仿宋_GB2312" w:hAnsi="仿宋_GB2312" w:eastAsia="仿宋_GB2312" w:cs="仿宋_GB2312"/>
          <w:b w:val="0"/>
          <w:bCs w:val="0"/>
          <w:sz w:val="32"/>
          <w:szCs w:val="32"/>
          <w:lang w:bidi="ar"/>
        </w:rPr>
        <w:t>资信资历</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eastAsia="zh-CN"/>
        </w:rPr>
        <w:t>或方案</w:t>
      </w:r>
      <w:r>
        <w:rPr>
          <w:rFonts w:hint="eastAsia" w:ascii="仿宋_GB2312" w:hAnsi="仿宋_GB2312" w:eastAsia="仿宋_GB2312" w:cs="仿宋_GB2312"/>
          <w:sz w:val="32"/>
          <w:szCs w:val="32"/>
        </w:rPr>
        <w:t>等方面内容按百分制打分。</w:t>
      </w:r>
    </w:p>
    <w:p w14:paraId="60B73969">
      <w:pPr>
        <w:pStyle w:val="3"/>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方法：</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lang w:val="en-US" w:eastAsia="zh-CN"/>
        </w:rPr>
        <w:t>人员分别独立打分，</w:t>
      </w:r>
      <w:r>
        <w:rPr>
          <w:rFonts w:hint="eastAsia" w:ascii="仿宋_GB2312" w:hAnsi="仿宋_GB2312" w:eastAsia="仿宋_GB2312" w:cs="仿宋_GB2312"/>
          <w:sz w:val="32"/>
          <w:szCs w:val="32"/>
        </w:rPr>
        <w:t>采用综合评分法，</w:t>
      </w:r>
      <w:r>
        <w:rPr>
          <w:rFonts w:hint="eastAsia" w:ascii="仿宋_GB2312" w:hAnsi="仿宋_GB2312" w:eastAsia="仿宋_GB2312" w:cs="仿宋_GB2312"/>
          <w:sz w:val="32"/>
          <w:szCs w:val="32"/>
          <w:lang w:val="en-US" w:eastAsia="zh-CN"/>
        </w:rPr>
        <w:t>去掉一个最高分和一个最低分，以平均分为最后得分，分值</w:t>
      </w:r>
      <w:r>
        <w:rPr>
          <w:rFonts w:hint="eastAsia" w:ascii="仿宋_GB2312" w:hAnsi="仿宋_GB2312" w:eastAsia="仿宋_GB2312" w:cs="仿宋_GB2312"/>
          <w:sz w:val="32"/>
          <w:szCs w:val="32"/>
        </w:rPr>
        <w:t>按四舍五入取至百分位。</w:t>
      </w:r>
    </w:p>
    <w:p w14:paraId="21A0E021">
      <w:pPr>
        <w:pStyle w:val="3"/>
        <w:spacing w:line="560" w:lineRule="exact"/>
        <w:ind w:firstLine="640" w:firstLineChars="200"/>
        <w:outlineLvl w:val="1"/>
        <w:rPr>
          <w:rFonts w:hint="eastAsia" w:ascii="黑体" w:hAnsi="黑体" w:eastAsia="黑体" w:cs="黑体"/>
          <w:b w:val="0"/>
          <w:bCs/>
          <w:sz w:val="32"/>
          <w:szCs w:val="32"/>
        </w:rPr>
      </w:pPr>
      <w:r>
        <w:rPr>
          <w:rFonts w:hint="eastAsia" w:ascii="黑体" w:hAnsi="黑体" w:eastAsia="黑体" w:cs="黑体"/>
          <w:b w:val="0"/>
          <w:bCs/>
          <w:sz w:val="32"/>
          <w:szCs w:val="32"/>
        </w:rPr>
        <w:t>二、评分标准</w:t>
      </w:r>
      <w:r>
        <w:rPr>
          <w:rFonts w:hint="eastAsia" w:ascii="仿宋_GB2312" w:hAnsi="仿宋_GB2312" w:eastAsia="仿宋_GB2312" w:cs="仿宋_GB2312"/>
          <w:sz w:val="32"/>
          <w:szCs w:val="32"/>
          <w:lang w:bidi="ar"/>
        </w:rPr>
        <w:t>(满分100分）</w:t>
      </w:r>
    </w:p>
    <w:p w14:paraId="47FBC3AA">
      <w:pPr>
        <w:spacing w:line="3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价格分……………………………………………………</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 xml:space="preserve">分 </w:t>
      </w:r>
    </w:p>
    <w:p w14:paraId="4B2D6C59">
      <w:pPr>
        <w:pStyle w:val="3"/>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（1）以进入评审的最低的评标价为</w:t>
      </w:r>
      <w:r>
        <w:rPr>
          <w:rFonts w:hint="eastAsia" w:ascii="仿宋" w:hAnsi="仿宋" w:eastAsia="仿宋" w:cs="仿宋"/>
          <w:bCs/>
          <w:kern w:val="0"/>
          <w:sz w:val="28"/>
          <w:szCs w:val="28"/>
          <w:u w:val="single"/>
          <w:lang w:val="en-US" w:eastAsia="zh-CN"/>
        </w:rPr>
        <w:t>20</w:t>
      </w:r>
      <w:r>
        <w:rPr>
          <w:rFonts w:hint="eastAsia" w:ascii="仿宋" w:hAnsi="仿宋" w:eastAsia="仿宋" w:cs="仿宋"/>
          <w:bCs/>
          <w:kern w:val="0"/>
          <w:sz w:val="28"/>
          <w:szCs w:val="28"/>
        </w:rPr>
        <w:t>分。</w:t>
      </w:r>
    </w:p>
    <w:p w14:paraId="146AF069">
      <w:pPr>
        <w:pStyle w:val="3"/>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 xml:space="preserve">（2）价格分 = 最低报价（金额）/某供应商评标报价（金额）× </w:t>
      </w:r>
      <w:r>
        <w:rPr>
          <w:rFonts w:hint="eastAsia" w:ascii="仿宋" w:hAnsi="仿宋" w:eastAsia="仿宋" w:cs="仿宋"/>
          <w:bCs/>
          <w:kern w:val="0"/>
          <w:sz w:val="28"/>
          <w:szCs w:val="28"/>
          <w:lang w:val="en-US" w:eastAsia="zh-CN"/>
        </w:rPr>
        <w:t>20</w:t>
      </w:r>
      <w:r>
        <w:rPr>
          <w:rFonts w:hint="eastAsia" w:ascii="仿宋" w:hAnsi="仿宋" w:eastAsia="仿宋" w:cs="仿宋"/>
          <w:bCs/>
          <w:kern w:val="0"/>
          <w:sz w:val="28"/>
          <w:szCs w:val="28"/>
        </w:rPr>
        <w:t>分</w:t>
      </w:r>
    </w:p>
    <w:p w14:paraId="72CE5C40">
      <w:pPr>
        <w:pStyle w:val="4"/>
        <w:spacing w:line="380" w:lineRule="exact"/>
        <w:ind w:left="0" w:firstLine="562" w:firstLineChars="200"/>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技术分……………………………………………………</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0分</w:t>
      </w:r>
    </w:p>
    <w:p w14:paraId="3EA75C08">
      <w:pPr>
        <w:pStyle w:val="3"/>
        <w:tabs>
          <w:tab w:val="left" w:pos="710"/>
        </w:tabs>
        <w:spacing w:line="380" w:lineRule="exact"/>
        <w:ind w:left="420"/>
        <w:rPr>
          <w:rFonts w:hint="eastAsia" w:ascii="仿宋" w:hAnsi="仿宋" w:eastAsia="仿宋" w:cs="仿宋"/>
          <w:b/>
          <w:bCs/>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eastAsia="zh-CN"/>
        </w:rPr>
        <w:t>工作</w:t>
      </w:r>
      <w:r>
        <w:rPr>
          <w:rFonts w:hint="eastAsia" w:ascii="仿宋" w:hAnsi="仿宋" w:eastAsia="仿宋" w:cs="仿宋"/>
          <w:b/>
          <w:bCs/>
          <w:kern w:val="0"/>
          <w:sz w:val="28"/>
          <w:szCs w:val="28"/>
        </w:rPr>
        <w:t>实施方案（</w:t>
      </w:r>
      <w:r>
        <w:rPr>
          <w:rFonts w:hint="eastAsia" w:ascii="仿宋" w:hAnsi="仿宋" w:eastAsia="仿宋" w:cs="仿宋"/>
          <w:b/>
          <w:bCs/>
          <w:kern w:val="0"/>
          <w:sz w:val="28"/>
          <w:szCs w:val="28"/>
          <w:lang w:val="en-US" w:eastAsia="zh-CN"/>
        </w:rPr>
        <w:t>30</w:t>
      </w:r>
      <w:r>
        <w:rPr>
          <w:rFonts w:hint="eastAsia" w:ascii="仿宋" w:hAnsi="仿宋" w:eastAsia="仿宋" w:cs="仿宋"/>
          <w:b/>
          <w:bCs/>
          <w:kern w:val="0"/>
          <w:sz w:val="28"/>
          <w:szCs w:val="28"/>
        </w:rPr>
        <w:t>分）</w:t>
      </w:r>
    </w:p>
    <w:p w14:paraId="08E44A0A">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未提供方案或方案严重不合理的不得分。</w:t>
      </w:r>
    </w:p>
    <w:p w14:paraId="3535B228">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一档（</w:t>
      </w:r>
      <w:r>
        <w:rPr>
          <w:rFonts w:hint="eastAsia" w:ascii="仿宋" w:hAnsi="仿宋" w:eastAsia="仿宋" w:cs="仿宋"/>
          <w:bCs/>
          <w:kern w:val="0"/>
          <w:sz w:val="28"/>
          <w:szCs w:val="28"/>
          <w:lang w:val="en-US" w:eastAsia="zh-CN"/>
        </w:rPr>
        <w:t>10</w:t>
      </w:r>
      <w:r>
        <w:rPr>
          <w:rFonts w:hint="eastAsia" w:ascii="仿宋" w:hAnsi="仿宋" w:eastAsia="仿宋" w:cs="仿宋"/>
          <w:bCs/>
          <w:kern w:val="0"/>
          <w:sz w:val="28"/>
          <w:szCs w:val="28"/>
        </w:rPr>
        <w:t>分）：在一定程度上理解和把握总体要求，实施方案简单，基本能满足项目实施需求。</w:t>
      </w:r>
    </w:p>
    <w:p w14:paraId="4DAFD862">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二档（</w:t>
      </w:r>
      <w:r>
        <w:rPr>
          <w:rFonts w:hint="eastAsia" w:ascii="仿宋" w:hAnsi="仿宋" w:eastAsia="仿宋" w:cs="仿宋"/>
          <w:bCs/>
          <w:kern w:val="0"/>
          <w:sz w:val="28"/>
          <w:szCs w:val="28"/>
          <w:lang w:val="en-US" w:eastAsia="zh-CN"/>
        </w:rPr>
        <w:t>20</w:t>
      </w:r>
      <w:r>
        <w:rPr>
          <w:rFonts w:hint="eastAsia" w:ascii="仿宋" w:hAnsi="仿宋" w:eastAsia="仿宋" w:cs="仿宋"/>
          <w:bCs/>
          <w:kern w:val="0"/>
          <w:sz w:val="28"/>
          <w:szCs w:val="28"/>
        </w:rPr>
        <w:t>分）：理解和把握总体要求，实施方案完整，整体构思较清晰，能基本满足项目实施需求。</w:t>
      </w:r>
    </w:p>
    <w:p w14:paraId="54C92892">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三档（</w:t>
      </w:r>
      <w:r>
        <w:rPr>
          <w:rFonts w:hint="eastAsia" w:ascii="仿宋" w:hAnsi="仿宋" w:eastAsia="仿宋" w:cs="仿宋"/>
          <w:bCs/>
          <w:kern w:val="0"/>
          <w:sz w:val="28"/>
          <w:szCs w:val="28"/>
          <w:lang w:val="en-US" w:eastAsia="zh-CN"/>
        </w:rPr>
        <w:t>30</w:t>
      </w:r>
      <w:r>
        <w:rPr>
          <w:rFonts w:hint="eastAsia" w:ascii="仿宋" w:hAnsi="仿宋" w:eastAsia="仿宋" w:cs="仿宋"/>
          <w:bCs/>
          <w:kern w:val="0"/>
          <w:sz w:val="28"/>
          <w:szCs w:val="28"/>
        </w:rPr>
        <w:t>分）：能够深入的理解和把握总体要求，实施方案详细完整，整体构思清晰，充分满足项目实施需求。</w:t>
      </w:r>
    </w:p>
    <w:p w14:paraId="5B255B95">
      <w:pPr>
        <w:spacing w:line="38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（2）</w:t>
      </w:r>
      <w:r>
        <w:rPr>
          <w:rFonts w:hint="eastAsia" w:ascii="仿宋" w:hAnsi="仿宋" w:eastAsia="仿宋" w:cs="仿宋"/>
          <w:b/>
          <w:bCs/>
          <w:kern w:val="0"/>
          <w:sz w:val="28"/>
          <w:szCs w:val="28"/>
          <w:lang w:eastAsia="zh-CN"/>
        </w:rPr>
        <w:t>参与</w:t>
      </w:r>
      <w:r>
        <w:rPr>
          <w:rFonts w:hint="eastAsia" w:ascii="仿宋" w:hAnsi="仿宋" w:eastAsia="仿宋" w:cs="仿宋"/>
          <w:b/>
          <w:bCs/>
          <w:kern w:val="0"/>
          <w:sz w:val="28"/>
          <w:szCs w:val="28"/>
        </w:rPr>
        <w:t>人员配置方案（</w:t>
      </w:r>
      <w:r>
        <w:rPr>
          <w:rFonts w:hint="eastAsia" w:ascii="仿宋" w:hAnsi="仿宋" w:eastAsia="仿宋" w:cs="仿宋"/>
          <w:b/>
          <w:bCs/>
          <w:kern w:val="0"/>
          <w:sz w:val="28"/>
          <w:szCs w:val="28"/>
          <w:lang w:val="en-US" w:eastAsia="zh-CN"/>
        </w:rPr>
        <w:t>30</w:t>
      </w:r>
      <w:r>
        <w:rPr>
          <w:rFonts w:hint="eastAsia" w:ascii="仿宋" w:hAnsi="仿宋" w:eastAsia="仿宋" w:cs="仿宋"/>
          <w:b/>
          <w:bCs/>
          <w:kern w:val="0"/>
          <w:sz w:val="28"/>
          <w:szCs w:val="28"/>
        </w:rPr>
        <w:t>分）</w:t>
      </w:r>
    </w:p>
    <w:p w14:paraId="52C3A30A">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未提供方案或方案严重不合理的不得分。</w:t>
      </w:r>
    </w:p>
    <w:p w14:paraId="1E31287E">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一档（</w:t>
      </w:r>
      <w:r>
        <w:rPr>
          <w:rFonts w:hint="eastAsia" w:ascii="仿宋" w:hAnsi="仿宋" w:eastAsia="仿宋" w:cs="仿宋"/>
          <w:bCs/>
          <w:kern w:val="0"/>
          <w:sz w:val="28"/>
          <w:szCs w:val="28"/>
          <w:lang w:val="en-US" w:eastAsia="zh-CN"/>
        </w:rPr>
        <w:t>10</w:t>
      </w:r>
      <w:r>
        <w:rPr>
          <w:rFonts w:hint="eastAsia" w:ascii="仿宋" w:hAnsi="仿宋" w:eastAsia="仿宋" w:cs="仿宋"/>
          <w:bCs/>
          <w:kern w:val="0"/>
          <w:sz w:val="28"/>
          <w:szCs w:val="28"/>
        </w:rPr>
        <w:t>分）：为执行本项目设置管理人员，</w:t>
      </w:r>
      <w:r>
        <w:rPr>
          <w:rFonts w:hint="eastAsia" w:ascii="仿宋" w:hAnsi="仿宋" w:eastAsia="仿宋" w:cs="仿宋"/>
          <w:bCs/>
          <w:kern w:val="0"/>
          <w:sz w:val="28"/>
          <w:szCs w:val="28"/>
          <w:lang w:eastAsia="zh-CN"/>
        </w:rPr>
        <w:t>现场参与评价及审计</w:t>
      </w:r>
      <w:r>
        <w:rPr>
          <w:rFonts w:hint="eastAsia" w:ascii="仿宋" w:hAnsi="仿宋" w:eastAsia="仿宋" w:cs="仿宋"/>
          <w:bCs/>
          <w:kern w:val="0"/>
          <w:sz w:val="28"/>
          <w:szCs w:val="28"/>
        </w:rPr>
        <w:t>人员不少于</w:t>
      </w:r>
      <w:r>
        <w:rPr>
          <w:rFonts w:hint="eastAsia" w:ascii="仿宋" w:hAnsi="仿宋" w:eastAsia="仿宋" w:cs="仿宋"/>
          <w:bCs/>
          <w:kern w:val="0"/>
          <w:sz w:val="28"/>
          <w:szCs w:val="28"/>
          <w:lang w:val="en-US" w:eastAsia="zh-CN"/>
        </w:rPr>
        <w:t>5人</w:t>
      </w:r>
      <w:r>
        <w:rPr>
          <w:rFonts w:hint="eastAsia" w:ascii="仿宋" w:hAnsi="仿宋" w:eastAsia="仿宋" w:cs="仿宋"/>
          <w:bCs/>
          <w:kern w:val="0"/>
          <w:sz w:val="28"/>
          <w:szCs w:val="28"/>
          <w:lang w:eastAsia="zh-CN"/>
        </w:rPr>
        <w:t>，且参与人员包含注册会计师、高级职称至少</w:t>
      </w:r>
      <w:r>
        <w:rPr>
          <w:rFonts w:hint="eastAsia" w:ascii="仿宋" w:hAnsi="仿宋" w:eastAsia="仿宋" w:cs="仿宋"/>
          <w:bCs/>
          <w:kern w:val="0"/>
          <w:sz w:val="28"/>
          <w:szCs w:val="28"/>
          <w:lang w:val="en-US" w:eastAsia="zh-CN"/>
        </w:rPr>
        <w:t>1人</w:t>
      </w:r>
      <w:r>
        <w:rPr>
          <w:rFonts w:hint="eastAsia" w:ascii="仿宋" w:hAnsi="仿宋" w:eastAsia="仿宋" w:cs="仿宋"/>
          <w:bCs/>
          <w:kern w:val="0"/>
          <w:sz w:val="28"/>
          <w:szCs w:val="28"/>
          <w:lang w:eastAsia="zh-CN"/>
        </w:rPr>
        <w:t>以上，以及其他投入人员均为财务、审计相关专业人员</w:t>
      </w:r>
      <w:r>
        <w:rPr>
          <w:rFonts w:hint="eastAsia" w:ascii="仿宋" w:hAnsi="仿宋" w:eastAsia="仿宋" w:cs="仿宋"/>
          <w:bCs/>
          <w:kern w:val="0"/>
          <w:sz w:val="28"/>
          <w:szCs w:val="28"/>
        </w:rPr>
        <w:t>。</w:t>
      </w:r>
    </w:p>
    <w:p w14:paraId="28BD8885">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二档（</w:t>
      </w:r>
      <w:r>
        <w:rPr>
          <w:rFonts w:hint="eastAsia" w:ascii="仿宋" w:hAnsi="仿宋" w:eastAsia="仿宋" w:cs="仿宋"/>
          <w:bCs/>
          <w:kern w:val="0"/>
          <w:sz w:val="28"/>
          <w:szCs w:val="28"/>
          <w:lang w:val="en-US" w:eastAsia="zh-CN"/>
        </w:rPr>
        <w:t>20</w:t>
      </w:r>
      <w:r>
        <w:rPr>
          <w:rFonts w:hint="eastAsia" w:ascii="仿宋" w:hAnsi="仿宋" w:eastAsia="仿宋" w:cs="仿宋"/>
          <w:bCs/>
          <w:kern w:val="0"/>
          <w:sz w:val="28"/>
          <w:szCs w:val="28"/>
        </w:rPr>
        <w:t>分）：为执行本项目设置管理人员，</w:t>
      </w:r>
      <w:r>
        <w:rPr>
          <w:rFonts w:hint="eastAsia" w:ascii="仿宋" w:hAnsi="仿宋" w:eastAsia="仿宋" w:cs="仿宋"/>
          <w:bCs/>
          <w:kern w:val="0"/>
          <w:sz w:val="28"/>
          <w:szCs w:val="28"/>
          <w:lang w:eastAsia="zh-CN"/>
        </w:rPr>
        <w:t>现场参与评价及审计</w:t>
      </w:r>
      <w:r>
        <w:rPr>
          <w:rFonts w:hint="eastAsia" w:ascii="仿宋" w:hAnsi="仿宋" w:eastAsia="仿宋" w:cs="仿宋"/>
          <w:bCs/>
          <w:kern w:val="0"/>
          <w:sz w:val="28"/>
          <w:szCs w:val="28"/>
        </w:rPr>
        <w:t>人员不少于</w:t>
      </w:r>
      <w:r>
        <w:rPr>
          <w:rFonts w:hint="eastAsia" w:ascii="仿宋" w:hAnsi="仿宋" w:eastAsia="仿宋" w:cs="仿宋"/>
          <w:bCs/>
          <w:kern w:val="0"/>
          <w:sz w:val="28"/>
          <w:szCs w:val="28"/>
          <w:lang w:val="en-US" w:eastAsia="zh-CN"/>
        </w:rPr>
        <w:t>8</w:t>
      </w:r>
      <w:r>
        <w:rPr>
          <w:rFonts w:hint="eastAsia" w:ascii="仿宋" w:hAnsi="仿宋" w:eastAsia="仿宋" w:cs="仿宋"/>
          <w:bCs/>
          <w:kern w:val="0"/>
          <w:sz w:val="28"/>
          <w:szCs w:val="28"/>
        </w:rPr>
        <w:t>名，</w:t>
      </w:r>
      <w:r>
        <w:rPr>
          <w:rFonts w:hint="eastAsia" w:ascii="仿宋" w:hAnsi="仿宋" w:eastAsia="仿宋" w:cs="仿宋"/>
          <w:bCs/>
          <w:kern w:val="0"/>
          <w:sz w:val="28"/>
          <w:szCs w:val="28"/>
          <w:lang w:eastAsia="zh-CN"/>
        </w:rPr>
        <w:t>且参与人员包含注册会计师、高级职称至少</w:t>
      </w:r>
      <w:r>
        <w:rPr>
          <w:rFonts w:hint="eastAsia" w:ascii="仿宋" w:hAnsi="仿宋" w:eastAsia="仿宋" w:cs="仿宋"/>
          <w:bCs/>
          <w:kern w:val="0"/>
          <w:sz w:val="28"/>
          <w:szCs w:val="28"/>
          <w:lang w:val="en-US" w:eastAsia="zh-CN"/>
        </w:rPr>
        <w:t>3人</w:t>
      </w:r>
      <w:r>
        <w:rPr>
          <w:rFonts w:hint="eastAsia" w:ascii="仿宋" w:hAnsi="仿宋" w:eastAsia="仿宋" w:cs="仿宋"/>
          <w:bCs/>
          <w:kern w:val="0"/>
          <w:sz w:val="28"/>
          <w:szCs w:val="28"/>
          <w:lang w:eastAsia="zh-CN"/>
        </w:rPr>
        <w:t>以上，以及其他投入人员均为财务、审计相关专业人员</w:t>
      </w:r>
      <w:r>
        <w:rPr>
          <w:rFonts w:hint="eastAsia" w:ascii="仿宋" w:hAnsi="仿宋" w:eastAsia="仿宋" w:cs="仿宋"/>
          <w:bCs/>
          <w:kern w:val="0"/>
          <w:sz w:val="28"/>
          <w:szCs w:val="28"/>
        </w:rPr>
        <w:t>。</w:t>
      </w:r>
    </w:p>
    <w:p w14:paraId="6C0F8537">
      <w:pPr>
        <w:spacing w:line="380" w:lineRule="exact"/>
        <w:ind w:firstLine="560" w:firstLineChars="200"/>
        <w:rPr>
          <w:rFonts w:hint="default" w:ascii="仿宋" w:hAnsi="仿宋" w:eastAsia="仿宋" w:cs="仿宋"/>
          <w:bCs/>
          <w:kern w:val="0"/>
          <w:sz w:val="28"/>
          <w:szCs w:val="28"/>
          <w:lang w:val="en-US"/>
        </w:rPr>
      </w:pPr>
      <w:r>
        <w:rPr>
          <w:rFonts w:hint="eastAsia" w:ascii="仿宋" w:hAnsi="仿宋" w:eastAsia="仿宋" w:cs="仿宋"/>
          <w:bCs/>
          <w:kern w:val="0"/>
          <w:sz w:val="28"/>
          <w:szCs w:val="28"/>
          <w:lang w:eastAsia="zh-CN"/>
        </w:rPr>
        <w:t>三</w:t>
      </w:r>
      <w:r>
        <w:rPr>
          <w:rFonts w:hint="eastAsia" w:ascii="仿宋" w:hAnsi="仿宋" w:eastAsia="仿宋" w:cs="仿宋"/>
          <w:bCs/>
          <w:kern w:val="0"/>
          <w:sz w:val="28"/>
          <w:szCs w:val="28"/>
        </w:rPr>
        <w:t>档（</w:t>
      </w:r>
      <w:r>
        <w:rPr>
          <w:rFonts w:hint="eastAsia" w:ascii="仿宋" w:hAnsi="仿宋" w:eastAsia="仿宋" w:cs="仿宋"/>
          <w:bCs/>
          <w:kern w:val="0"/>
          <w:sz w:val="28"/>
          <w:szCs w:val="28"/>
          <w:lang w:val="en-US" w:eastAsia="zh-CN"/>
        </w:rPr>
        <w:t>30</w:t>
      </w:r>
      <w:r>
        <w:rPr>
          <w:rFonts w:hint="eastAsia" w:ascii="仿宋" w:hAnsi="仿宋" w:eastAsia="仿宋" w:cs="仿宋"/>
          <w:bCs/>
          <w:kern w:val="0"/>
          <w:sz w:val="28"/>
          <w:szCs w:val="28"/>
        </w:rPr>
        <w:t>分）：为执行本项目设置管理人员，</w:t>
      </w:r>
      <w:r>
        <w:rPr>
          <w:rFonts w:hint="eastAsia" w:ascii="仿宋" w:hAnsi="仿宋" w:eastAsia="仿宋" w:cs="仿宋"/>
          <w:bCs/>
          <w:kern w:val="0"/>
          <w:sz w:val="28"/>
          <w:szCs w:val="28"/>
          <w:lang w:eastAsia="zh-CN"/>
        </w:rPr>
        <w:t>现场参与评价及审计</w:t>
      </w:r>
      <w:r>
        <w:rPr>
          <w:rFonts w:hint="eastAsia" w:ascii="仿宋" w:hAnsi="仿宋" w:eastAsia="仿宋" w:cs="仿宋"/>
          <w:bCs/>
          <w:kern w:val="0"/>
          <w:sz w:val="28"/>
          <w:szCs w:val="28"/>
        </w:rPr>
        <w:t>人员不少于</w:t>
      </w:r>
      <w:r>
        <w:rPr>
          <w:rFonts w:hint="eastAsia" w:ascii="仿宋" w:hAnsi="仿宋" w:eastAsia="仿宋" w:cs="仿宋"/>
          <w:bCs/>
          <w:kern w:val="0"/>
          <w:sz w:val="28"/>
          <w:szCs w:val="28"/>
          <w:lang w:val="en-US" w:eastAsia="zh-CN"/>
        </w:rPr>
        <w:t>10</w:t>
      </w:r>
      <w:r>
        <w:rPr>
          <w:rFonts w:hint="eastAsia" w:ascii="仿宋" w:hAnsi="仿宋" w:eastAsia="仿宋" w:cs="仿宋"/>
          <w:bCs/>
          <w:kern w:val="0"/>
          <w:sz w:val="28"/>
          <w:szCs w:val="28"/>
        </w:rPr>
        <w:t>名，</w:t>
      </w:r>
      <w:r>
        <w:rPr>
          <w:rFonts w:hint="eastAsia" w:ascii="仿宋" w:hAnsi="仿宋" w:eastAsia="仿宋" w:cs="仿宋"/>
          <w:bCs/>
          <w:kern w:val="0"/>
          <w:sz w:val="28"/>
          <w:szCs w:val="28"/>
          <w:lang w:eastAsia="zh-CN"/>
        </w:rPr>
        <w:t>且参与人员包含注册会计师、高级职称至少</w:t>
      </w:r>
      <w:r>
        <w:rPr>
          <w:rFonts w:hint="eastAsia" w:ascii="仿宋" w:hAnsi="仿宋" w:eastAsia="仿宋" w:cs="仿宋"/>
          <w:bCs/>
          <w:kern w:val="0"/>
          <w:sz w:val="28"/>
          <w:szCs w:val="28"/>
          <w:lang w:val="en-US" w:eastAsia="zh-CN"/>
        </w:rPr>
        <w:t>5人</w:t>
      </w:r>
      <w:r>
        <w:rPr>
          <w:rFonts w:hint="eastAsia" w:ascii="仿宋" w:hAnsi="仿宋" w:eastAsia="仿宋" w:cs="仿宋"/>
          <w:bCs/>
          <w:kern w:val="0"/>
          <w:sz w:val="28"/>
          <w:szCs w:val="28"/>
          <w:lang w:eastAsia="zh-CN"/>
        </w:rPr>
        <w:t>以上的，以及其他投入人员均为财务、审计相关专业人员</w:t>
      </w:r>
      <w:r>
        <w:rPr>
          <w:rFonts w:hint="eastAsia" w:ascii="仿宋" w:hAnsi="仿宋" w:eastAsia="仿宋" w:cs="仿宋"/>
          <w:bCs/>
          <w:kern w:val="0"/>
          <w:sz w:val="28"/>
          <w:szCs w:val="28"/>
          <w:lang w:val="en-US" w:eastAsia="zh-CN"/>
        </w:rPr>
        <w:t>。</w:t>
      </w:r>
    </w:p>
    <w:p w14:paraId="25A58575">
      <w:pPr>
        <w:pStyle w:val="3"/>
        <w:tabs>
          <w:tab w:val="left" w:pos="710"/>
        </w:tabs>
        <w:spacing w:line="380" w:lineRule="exact"/>
        <w:ind w:left="420"/>
        <w:rPr>
          <w:rFonts w:hint="eastAsia" w:ascii="仿宋" w:hAnsi="仿宋" w:eastAsia="仿宋" w:cs="仿宋"/>
          <w:b/>
          <w:bCs/>
          <w:kern w:val="0"/>
          <w:sz w:val="28"/>
          <w:szCs w:val="28"/>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3</w:t>
      </w:r>
      <w:r>
        <w:rPr>
          <w:rFonts w:hint="eastAsia" w:ascii="仿宋" w:hAnsi="仿宋" w:eastAsia="仿宋" w:cs="仿宋"/>
          <w:b/>
          <w:bCs/>
          <w:kern w:val="0"/>
          <w:sz w:val="28"/>
          <w:szCs w:val="28"/>
        </w:rPr>
        <w:t>）质量保证体系及服务承诺分（1</w:t>
      </w:r>
      <w:r>
        <w:rPr>
          <w:rFonts w:hint="eastAsia" w:ascii="仿宋" w:hAnsi="仿宋" w:eastAsia="仿宋" w:cs="仿宋"/>
          <w:b/>
          <w:bCs/>
          <w:kern w:val="0"/>
          <w:sz w:val="28"/>
          <w:szCs w:val="28"/>
          <w:lang w:val="en-US" w:eastAsia="zh-CN"/>
        </w:rPr>
        <w:t>0</w:t>
      </w:r>
      <w:r>
        <w:rPr>
          <w:rFonts w:hint="eastAsia" w:ascii="仿宋" w:hAnsi="仿宋" w:eastAsia="仿宋" w:cs="仿宋"/>
          <w:b/>
          <w:bCs/>
          <w:kern w:val="0"/>
          <w:sz w:val="28"/>
          <w:szCs w:val="28"/>
        </w:rPr>
        <w:t>分）</w:t>
      </w:r>
    </w:p>
    <w:p w14:paraId="68044506">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未提供质量保证体系及服务承诺的不得分。</w:t>
      </w:r>
    </w:p>
    <w:p w14:paraId="2F4A0D70">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一档（</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分）：有简单的质量保证体系及服务承诺，服务质量保证措施较简单，不能满足项目实施需求。</w:t>
      </w:r>
    </w:p>
    <w:p w14:paraId="351AA043">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二档（</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分）：质量保证体系较完善，服务承诺具体，质量保证措施详细具体，能基本满足项目实施需求，保证项目质量。</w:t>
      </w:r>
    </w:p>
    <w:p w14:paraId="41D66DF9">
      <w:pPr>
        <w:spacing w:line="38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三档（1</w:t>
      </w:r>
      <w:r>
        <w:rPr>
          <w:rFonts w:hint="eastAsia" w:ascii="仿宋" w:hAnsi="仿宋" w:eastAsia="仿宋" w:cs="仿宋"/>
          <w:bCs/>
          <w:kern w:val="0"/>
          <w:sz w:val="28"/>
          <w:szCs w:val="28"/>
          <w:lang w:val="en-US" w:eastAsia="zh-CN"/>
        </w:rPr>
        <w:t>0</w:t>
      </w:r>
      <w:r>
        <w:rPr>
          <w:rFonts w:hint="eastAsia" w:ascii="仿宋" w:hAnsi="仿宋" w:eastAsia="仿宋" w:cs="仿宋"/>
          <w:bCs/>
          <w:kern w:val="0"/>
          <w:sz w:val="28"/>
          <w:szCs w:val="28"/>
        </w:rPr>
        <w:t>分）：质量保证体系完善，服务承诺详细，质量保证措施完整、全面、周到，具有针对性，能充分满足项目实施需求，保证项目质量。</w:t>
      </w:r>
    </w:p>
    <w:p w14:paraId="014A31B1">
      <w:pPr>
        <w:pStyle w:val="3"/>
        <w:spacing w:line="38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3.业绩分 ……………………………………………………</w:t>
      </w:r>
      <w:r>
        <w:rPr>
          <w:rFonts w:hint="eastAsia" w:ascii="仿宋" w:hAnsi="仿宋" w:eastAsia="仿宋" w:cs="仿宋"/>
          <w:b/>
          <w:bCs/>
          <w:kern w:val="0"/>
          <w:sz w:val="28"/>
          <w:szCs w:val="28"/>
          <w:lang w:val="en-US" w:eastAsia="zh-CN"/>
        </w:rPr>
        <w:t>10</w:t>
      </w:r>
      <w:r>
        <w:rPr>
          <w:rFonts w:hint="eastAsia" w:ascii="仿宋" w:hAnsi="仿宋" w:eastAsia="仿宋" w:cs="仿宋"/>
          <w:b/>
          <w:bCs/>
          <w:kern w:val="0"/>
          <w:sz w:val="28"/>
          <w:szCs w:val="28"/>
        </w:rPr>
        <w:t>分</w:t>
      </w:r>
    </w:p>
    <w:p w14:paraId="1AAAE3AF">
      <w:pPr>
        <w:spacing w:line="380" w:lineRule="exact"/>
        <w:ind w:firstLine="560" w:firstLineChars="200"/>
        <w:rPr>
          <w:rFonts w:hint="eastAsia" w:ascii="仿宋" w:hAnsi="仿宋" w:eastAsia="仿宋" w:cs="仿宋"/>
          <w:bCs/>
          <w:color w:val="FF0000"/>
          <w:kern w:val="0"/>
          <w:sz w:val="28"/>
          <w:szCs w:val="28"/>
        </w:rPr>
      </w:pPr>
      <w:r>
        <w:rPr>
          <w:rFonts w:hint="eastAsia" w:ascii="仿宋" w:hAnsi="仿宋" w:eastAsia="仿宋" w:cs="仿宋"/>
          <w:bCs/>
          <w:kern w:val="0"/>
          <w:sz w:val="28"/>
          <w:szCs w:val="28"/>
        </w:rPr>
        <w:t>自202</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年1月1日以来具有相关项目业绩的，每提供一个得</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分，此项满分</w:t>
      </w:r>
      <w:r>
        <w:rPr>
          <w:rFonts w:hint="eastAsia" w:ascii="仿宋" w:hAnsi="仿宋" w:eastAsia="仿宋" w:cs="仿宋"/>
          <w:bCs/>
          <w:kern w:val="0"/>
          <w:sz w:val="28"/>
          <w:szCs w:val="28"/>
          <w:lang w:val="en-US" w:eastAsia="zh-CN"/>
        </w:rPr>
        <w:t>10</w:t>
      </w:r>
      <w:r>
        <w:rPr>
          <w:rFonts w:hint="eastAsia" w:ascii="仿宋" w:hAnsi="仿宋" w:eastAsia="仿宋" w:cs="仿宋"/>
          <w:bCs/>
          <w:kern w:val="0"/>
          <w:sz w:val="28"/>
          <w:szCs w:val="28"/>
        </w:rPr>
        <w:t>分。</w:t>
      </w:r>
    </w:p>
    <w:p w14:paraId="78E1F9BB">
      <w:pPr>
        <w:spacing w:line="380" w:lineRule="exact"/>
        <w:ind w:firstLine="562" w:firstLineChars="200"/>
        <w:rPr>
          <w:rFonts w:hint="eastAsia" w:ascii="仿宋" w:hAnsi="仿宋" w:eastAsia="仿宋" w:cs="仿宋"/>
          <w:b w:val="0"/>
          <w:bCs/>
          <w:sz w:val="28"/>
          <w:szCs w:val="28"/>
        </w:rPr>
      </w:pPr>
      <w:r>
        <w:rPr>
          <w:rFonts w:hint="eastAsia" w:ascii="仿宋" w:hAnsi="仿宋" w:eastAsia="仿宋" w:cs="仿宋"/>
          <w:b/>
          <w:sz w:val="28"/>
          <w:szCs w:val="28"/>
        </w:rPr>
        <w:t>总得分=1 + 2 + 3。</w:t>
      </w:r>
    </w:p>
    <w:p w14:paraId="5E892621">
      <w:pPr>
        <w:pStyle w:val="3"/>
        <w:spacing w:line="560" w:lineRule="exact"/>
        <w:ind w:firstLine="640" w:firstLineChars="200"/>
        <w:outlineLvl w:val="1"/>
        <w:rPr>
          <w:rFonts w:hint="eastAsia" w:ascii="黑体" w:hAnsi="黑体" w:eastAsia="黑体" w:cs="黑体"/>
          <w:b w:val="0"/>
          <w:bCs/>
          <w:sz w:val="32"/>
          <w:szCs w:val="32"/>
        </w:rPr>
      </w:pPr>
      <w:r>
        <w:rPr>
          <w:rFonts w:hint="eastAsia" w:ascii="黑体" w:hAnsi="黑体" w:eastAsia="黑体" w:cs="黑体"/>
          <w:b w:val="0"/>
          <w:bCs/>
          <w:sz w:val="32"/>
          <w:szCs w:val="32"/>
        </w:rPr>
        <w:t>三、入围候选人推荐规则</w:t>
      </w:r>
    </w:p>
    <w:p w14:paraId="75718EAB">
      <w:pPr>
        <w:pStyle w:val="3"/>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根据综合评分情况，按照评审得分由高到低顺序推荐</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人（总得分相同时，依次按质量服务高效优先、报价低优先的顺序排列)。</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将确定</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推荐排名</w:t>
      </w:r>
      <w:r>
        <w:rPr>
          <w:rFonts w:hint="eastAsia" w:ascii="仿宋_GB2312" w:hAnsi="仿宋_GB2312" w:eastAsia="仿宋_GB2312" w:cs="仿宋_GB2312"/>
          <w:sz w:val="32"/>
          <w:szCs w:val="32"/>
          <w:lang w:eastAsia="zh-CN"/>
        </w:rPr>
        <w:t>第一的为委托服务方</w:t>
      </w:r>
      <w:r>
        <w:rPr>
          <w:rFonts w:hint="eastAsia" w:ascii="仿宋_GB2312" w:hAnsi="仿宋_GB2312" w:eastAsia="仿宋_GB2312" w:cs="仿宋_GB2312"/>
          <w:sz w:val="32"/>
          <w:szCs w:val="32"/>
        </w:rPr>
        <w:t>。排名优先的中标候选人放弃、因不可抗力提出不能履行合同，</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可以按评审得分由高到低的排列次序确定</w:t>
      </w:r>
      <w:r>
        <w:rPr>
          <w:rFonts w:hint="eastAsia" w:ascii="仿宋_GB2312" w:hAnsi="仿宋_GB2312" w:eastAsia="仿宋_GB2312" w:cs="仿宋_GB2312"/>
          <w:sz w:val="32"/>
          <w:szCs w:val="32"/>
          <w:lang w:eastAsia="zh-CN"/>
        </w:rPr>
        <w:t>委托服务方</w:t>
      </w:r>
      <w:r>
        <w:rPr>
          <w:rFonts w:hint="eastAsia" w:ascii="仿宋_GB2312" w:hAnsi="仿宋_GB2312" w:eastAsia="仿宋_GB2312" w:cs="仿宋_GB2312"/>
          <w:sz w:val="32"/>
          <w:szCs w:val="32"/>
        </w:rPr>
        <w:t>，以此类推。</w:t>
      </w:r>
    </w:p>
    <w:p w14:paraId="58A2C2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68BC41FC">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B7C432-84F8-4243-BC9C-4C45EAFEA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7972E5-A3DD-424C-81DF-6BECF5D115DC}"/>
  </w:font>
  <w:font w:name="仿宋_GB2312">
    <w:altName w:val="仿宋"/>
    <w:panose1 w:val="02010609030101010101"/>
    <w:charset w:val="86"/>
    <w:family w:val="auto"/>
    <w:pitch w:val="default"/>
    <w:sig w:usb0="00000000" w:usb1="00000000" w:usb2="00000000" w:usb3="00000000" w:csb0="00040000" w:csb1="00000000"/>
    <w:embedRegular r:id="rId3" w:fontKey="{97BC7F17-BD93-4237-A919-ACDA66AF5BB9}"/>
  </w:font>
  <w:font w:name="方正小标宋简体">
    <w:panose1 w:val="02010600010101010101"/>
    <w:charset w:val="86"/>
    <w:family w:val="auto"/>
    <w:pitch w:val="default"/>
    <w:sig w:usb0="00000001" w:usb1="080E0000" w:usb2="00000000" w:usb3="00000000" w:csb0="00040000" w:csb1="00000000"/>
    <w:embedRegular r:id="rId4" w:fontKey="{F572CB6D-F053-4CF9-8E62-B7D76257E48E}"/>
  </w:font>
  <w:font w:name="仿宋">
    <w:panose1 w:val="02010609060101010101"/>
    <w:charset w:val="86"/>
    <w:family w:val="auto"/>
    <w:pitch w:val="default"/>
    <w:sig w:usb0="800002BF" w:usb1="38CF7CFA" w:usb2="00000016" w:usb3="00000000" w:csb0="00040001" w:csb1="00000000"/>
    <w:embedRegular r:id="rId5" w:fontKey="{F24BB208-1675-41F0-8943-3DAF6924864E}"/>
  </w:font>
  <w:font w:name="Arial Unicode MS">
    <w:altName w:val="宋体"/>
    <w:panose1 w:val="020B0604020202020204"/>
    <w:charset w:val="86"/>
    <w:family w:val="auto"/>
    <w:pitch w:val="default"/>
    <w:sig w:usb0="00000000" w:usb1="00000000" w:usb2="0000003F" w:usb3="00000000" w:csb0="603F01FF" w:csb1="FFFF0000"/>
    <w:embedRegular r:id="rId6" w:fontKey="{921F9096-9AF2-4251-90DD-A5714E3AC9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9155C"/>
    <w:rsid w:val="2D89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sz w:val="20"/>
      <w:szCs w:val="20"/>
    </w:rPr>
  </w:style>
  <w:style w:type="paragraph" w:styleId="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line="0" w:lineRule="atLeast"/>
      <w:jc w:val="center"/>
    </w:pPr>
    <w:rPr>
      <w:rFonts w:ascii="Arial" w:hAnsi="Arial" w:eastAsia="黑体"/>
      <w:sz w:val="5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2025-12-05T01:10:00Z</dcterms:created>
  <dc:creator>13471161169</dc:creator>
  <cp:lastModifiedBy>13471161169</cp:lastModifiedBy>
  <dcterms:modified xsi:type="dcterms:W3CDTF">2025-12-05T01:10:24Z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F05328826732482CBF447B83A3619663_11</vt:lpwstr>
  </property>
  <property fmtid="{D5CDD505-2E9C-101B-9397-08002B2CF9AE}" pid="4" name="KSOTemplateDocerSaveRecord">
    <vt:lpwstr>eyJoZGlkIjoiMDg1OTg4MzEzMjViMzAwY2Q3MDczMTcxZTFmMWM3NTMiLCJ1c2VySWQiOiIxNDc3ODcwOTQ0In0=</vt:lpwstr>
  </property>
</Properties>
</file>