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030A7">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jc w:val="both"/>
        <w:outlineLvl w:val="0"/>
        <w:rPr>
          <w:rFonts w:hint="eastAsia" w:ascii="黑体" w:hAnsi="黑体" w:eastAsia="黑体" w:cs="黑体"/>
          <w:color w:val="auto"/>
          <w:sz w:val="32"/>
          <w:szCs w:val="32"/>
          <w:shd w:val="clear" w:color="auto" w:fill="FFFFFF"/>
          <w:lang w:val="en-US" w:eastAsia="zh-CN"/>
        </w:rPr>
      </w:pPr>
      <w:bookmarkStart w:id="1" w:name="_GoBack"/>
      <w:bookmarkEnd w:id="1"/>
      <w:bookmarkStart w:id="0" w:name="_Toc6221"/>
      <w:bookmarkEnd w:id="0"/>
      <w:r>
        <w:rPr>
          <w:rFonts w:hint="eastAsia" w:ascii="黑体" w:hAnsi="黑体" w:eastAsia="黑体" w:cs="黑体"/>
          <w:color w:val="auto"/>
          <w:sz w:val="32"/>
          <w:szCs w:val="32"/>
          <w:shd w:val="clear" w:color="auto" w:fill="FFFFFF"/>
        </w:rPr>
        <w:t>附件</w:t>
      </w:r>
      <w:r>
        <w:rPr>
          <w:rFonts w:hint="eastAsia" w:ascii="黑体" w:hAnsi="黑体" w:eastAsia="黑体" w:cs="黑体"/>
          <w:color w:val="auto"/>
          <w:sz w:val="32"/>
          <w:szCs w:val="32"/>
          <w:shd w:val="clear" w:color="auto" w:fill="FFFFFF"/>
          <w:lang w:val="en-US" w:eastAsia="zh-CN"/>
        </w:rPr>
        <w:t>3</w:t>
      </w:r>
    </w:p>
    <w:p w14:paraId="679B0BC3">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firstLine="0" w:firstLineChars="0"/>
        <w:jc w:val="center"/>
        <w:outlineLvl w:val="0"/>
        <w:rPr>
          <w:rFonts w:hint="eastAsia" w:ascii="方正小标宋简体" w:hAnsi="方正小标宋简体" w:eastAsia="方正小标宋简体" w:cs="方正小标宋简体"/>
          <w:b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shd w:val="clear" w:color="auto" w:fill="FFFFFF"/>
        </w:rPr>
        <w:t>评分办法</w:t>
      </w:r>
    </w:p>
    <w:p w14:paraId="7E6EE0D7">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p>
    <w:p w14:paraId="35A41C3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楷体" w:hAnsi="楷体" w:eastAsia="楷体" w:cs="楷体"/>
          <w:color w:val="auto"/>
        </w:rPr>
      </w:pPr>
      <w:r>
        <w:rPr>
          <w:rFonts w:hint="eastAsia" w:ascii="楷体" w:hAnsi="楷体" w:eastAsia="楷体" w:cs="楷体"/>
          <w:i w:val="0"/>
          <w:iCs w:val="0"/>
          <w:caps w:val="0"/>
          <w:color w:val="auto"/>
          <w:spacing w:val="0"/>
          <w:sz w:val="32"/>
          <w:szCs w:val="32"/>
          <w:shd w:val="clear" w:color="auto" w:fill="FFFFFF"/>
        </w:rPr>
        <w:t>（一）价格分（20分）</w:t>
      </w:r>
    </w:p>
    <w:p w14:paraId="5693CE34">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1.满足采购文件要求且评标报价最低的评标报价为评标基准价，基准价报价得分为20分。</w:t>
      </w:r>
    </w:p>
    <w:p w14:paraId="595EC3D3">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2.价格分计算公式：价格分=(评标基准价／评标报价)×20分。</w:t>
      </w:r>
    </w:p>
    <w:p w14:paraId="0031E960">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楷体" w:hAnsi="楷体" w:eastAsia="楷体" w:cs="楷体"/>
          <w:color w:val="auto"/>
        </w:rPr>
      </w:pPr>
      <w:r>
        <w:rPr>
          <w:rFonts w:hint="eastAsia" w:ascii="楷体" w:hAnsi="楷体" w:eastAsia="楷体" w:cs="楷体"/>
          <w:i w:val="0"/>
          <w:iCs w:val="0"/>
          <w:caps w:val="0"/>
          <w:color w:val="auto"/>
          <w:spacing w:val="0"/>
          <w:sz w:val="32"/>
          <w:szCs w:val="32"/>
          <w:shd w:val="clear" w:color="auto" w:fill="FFFFFF"/>
        </w:rPr>
        <w:t>（二）技术分（</w:t>
      </w:r>
      <w:r>
        <w:rPr>
          <w:rFonts w:hint="eastAsia" w:ascii="楷体" w:hAnsi="楷体" w:eastAsia="楷体" w:cs="楷体"/>
          <w:i w:val="0"/>
          <w:iCs w:val="0"/>
          <w:caps w:val="0"/>
          <w:color w:val="auto"/>
          <w:spacing w:val="0"/>
          <w:sz w:val="32"/>
          <w:szCs w:val="32"/>
          <w:shd w:val="clear" w:color="auto" w:fill="FFFFFF"/>
          <w:lang w:val="en-US" w:eastAsia="zh-CN"/>
        </w:rPr>
        <w:t>50</w:t>
      </w:r>
      <w:r>
        <w:rPr>
          <w:rFonts w:hint="eastAsia" w:ascii="楷体" w:hAnsi="楷体" w:eastAsia="楷体" w:cs="楷体"/>
          <w:i w:val="0"/>
          <w:iCs w:val="0"/>
          <w:caps w:val="0"/>
          <w:color w:val="auto"/>
          <w:spacing w:val="0"/>
          <w:sz w:val="32"/>
          <w:szCs w:val="32"/>
          <w:shd w:val="clear" w:color="auto" w:fill="FFFFFF"/>
        </w:rPr>
        <w:t>分）</w:t>
      </w:r>
    </w:p>
    <w:p w14:paraId="56A9A2C4">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1.团队服务能力（</w:t>
      </w:r>
      <w:r>
        <w:rPr>
          <w:rFonts w:hint="eastAsia" w:ascii="仿宋_GB2312" w:hAnsi="仿宋_GB2312" w:eastAsia="仿宋_GB2312" w:cs="仿宋_GB2312"/>
          <w:i w:val="0"/>
          <w:iCs w:val="0"/>
          <w:caps w:val="0"/>
          <w:color w:val="auto"/>
          <w:spacing w:val="0"/>
          <w:sz w:val="32"/>
          <w:szCs w:val="32"/>
          <w:shd w:val="clear" w:color="auto" w:fill="FFFFFF"/>
          <w:lang w:val="en-US" w:eastAsia="zh-CN"/>
        </w:rPr>
        <w:t>20</w:t>
      </w:r>
      <w:r>
        <w:rPr>
          <w:rFonts w:hint="eastAsia" w:ascii="仿宋_GB2312" w:hAnsi="仿宋_GB2312" w:eastAsia="仿宋_GB2312" w:cs="仿宋_GB2312"/>
          <w:i w:val="0"/>
          <w:iCs w:val="0"/>
          <w:caps w:val="0"/>
          <w:color w:val="auto"/>
          <w:spacing w:val="0"/>
          <w:sz w:val="32"/>
          <w:szCs w:val="32"/>
          <w:shd w:val="clear" w:color="auto" w:fill="FFFFFF"/>
        </w:rPr>
        <w:t>分）</w:t>
      </w:r>
    </w:p>
    <w:p w14:paraId="480F6DB1">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投标人为本项目配备的人员，持有以下资质证书（每提供一份得</w:t>
      </w:r>
      <w:r>
        <w:rPr>
          <w:rFonts w:hint="eastAsia" w:ascii="仿宋_GB2312" w:hAnsi="仿宋_GB2312" w:eastAsia="仿宋_GB2312" w:cs="仿宋_GB2312"/>
          <w:i w:val="0"/>
          <w:iCs w:val="0"/>
          <w:caps w:val="0"/>
          <w:color w:val="auto"/>
          <w:spacing w:val="0"/>
          <w:sz w:val="32"/>
          <w:szCs w:val="32"/>
          <w:shd w:val="clear" w:color="auto" w:fill="FFFFFF"/>
          <w:lang w:val="en-US" w:eastAsia="zh-CN"/>
        </w:rPr>
        <w:t>10</w:t>
      </w:r>
      <w:r>
        <w:rPr>
          <w:rFonts w:hint="eastAsia" w:ascii="仿宋_GB2312" w:hAnsi="仿宋_GB2312" w:eastAsia="仿宋_GB2312" w:cs="仿宋_GB2312"/>
          <w:i w:val="0"/>
          <w:iCs w:val="0"/>
          <w:caps w:val="0"/>
          <w:color w:val="auto"/>
          <w:spacing w:val="0"/>
          <w:sz w:val="32"/>
          <w:szCs w:val="32"/>
          <w:shd w:val="clear" w:color="auto" w:fill="FFFFFF"/>
        </w:rPr>
        <w:t>分，满分</w:t>
      </w:r>
      <w:r>
        <w:rPr>
          <w:rFonts w:hint="eastAsia" w:ascii="仿宋_GB2312" w:hAnsi="仿宋_GB2312" w:eastAsia="仿宋_GB2312" w:cs="仿宋_GB2312"/>
          <w:i w:val="0"/>
          <w:iCs w:val="0"/>
          <w:caps w:val="0"/>
          <w:color w:val="auto"/>
          <w:spacing w:val="0"/>
          <w:sz w:val="32"/>
          <w:szCs w:val="32"/>
          <w:shd w:val="clear" w:color="auto" w:fill="FFFFFF"/>
          <w:lang w:val="en-US" w:eastAsia="zh-CN"/>
        </w:rPr>
        <w:t>10</w:t>
      </w:r>
      <w:r>
        <w:rPr>
          <w:rFonts w:hint="eastAsia" w:ascii="仿宋_GB2312" w:hAnsi="仿宋_GB2312" w:eastAsia="仿宋_GB2312" w:cs="仿宋_GB2312"/>
          <w:i w:val="0"/>
          <w:iCs w:val="0"/>
          <w:caps w:val="0"/>
          <w:color w:val="auto"/>
          <w:spacing w:val="0"/>
          <w:sz w:val="32"/>
          <w:szCs w:val="32"/>
          <w:shd w:val="clear" w:color="auto" w:fill="FFFFFF"/>
        </w:rPr>
        <w:t>分）：</w:t>
      </w:r>
    </w:p>
    <w:p w14:paraId="6925185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lang w:eastAsia="zh-CN"/>
        </w:rPr>
        <w:t>（1</w:t>
      </w:r>
      <w:r>
        <w:rPr>
          <w:rFonts w:hint="eastAsia" w:ascii="仿宋_GB2312" w:hAnsi="仿宋_GB2312" w:eastAsia="仿宋_GB2312" w:cs="仿宋_GB2312"/>
          <w:i w:val="0"/>
          <w:iCs w:val="0"/>
          <w:caps w:val="0"/>
          <w:color w:val="auto"/>
          <w:spacing w:val="0"/>
          <w:sz w:val="32"/>
          <w:szCs w:val="32"/>
          <w:shd w:val="clear" w:color="auto" w:fill="FFFFFF"/>
        </w:rPr>
        <w:t>）具有人社部门用印的计算机技术与软件专业技术资格信息系统项目管理师高级证书</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10分</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w:t>
      </w:r>
    </w:p>
    <w:p w14:paraId="42066AEC">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lang w:eastAsia="zh-CN"/>
        </w:rPr>
        <w:t>（2</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sz w:val="32"/>
          <w:szCs w:val="32"/>
        </w:rPr>
        <w:t>oracle的OCP</w:t>
      </w:r>
      <w:r>
        <w:rPr>
          <w:rFonts w:hint="eastAsia" w:ascii="仿宋_GB2312" w:hAnsi="仿宋_GB2312" w:eastAsia="仿宋_GB2312" w:cs="仿宋_GB2312"/>
          <w:sz w:val="32"/>
          <w:szCs w:val="32"/>
          <w:lang w:val="en-US" w:eastAsia="zh-CN"/>
        </w:rPr>
        <w:t>及以上</w:t>
      </w:r>
      <w:r>
        <w:rPr>
          <w:rFonts w:hint="eastAsia" w:ascii="仿宋_GB2312" w:hAnsi="仿宋_GB2312" w:eastAsia="仿宋_GB2312" w:cs="仿宋_GB2312"/>
          <w:sz w:val="32"/>
          <w:szCs w:val="32"/>
        </w:rPr>
        <w:t>认证</w:t>
      </w:r>
      <w:r>
        <w:rPr>
          <w:rFonts w:hint="eastAsia" w:ascii="仿宋_GB2312" w:hAnsi="仿宋_GB2312" w:eastAsia="仿宋_GB2312" w:cs="仿宋_GB2312"/>
          <w:sz w:val="32"/>
          <w:szCs w:val="32"/>
          <w:lang w:val="en-US" w:eastAsia="zh-CN"/>
        </w:rPr>
        <w:t>证书、</w:t>
      </w:r>
      <w:r>
        <w:rPr>
          <w:rFonts w:hint="eastAsia" w:ascii="仿宋_GB2312" w:hAnsi="仿宋_GB2312" w:eastAsia="仿宋_GB2312" w:cs="仿宋_GB2312"/>
          <w:i w:val="0"/>
          <w:iCs w:val="0"/>
          <w:caps w:val="0"/>
          <w:color w:val="auto"/>
          <w:spacing w:val="0"/>
          <w:sz w:val="32"/>
          <w:szCs w:val="32"/>
          <w:shd w:val="clear" w:color="auto" w:fill="FFFFFF"/>
        </w:rPr>
        <w:t>Microsoft SQL Server</w:t>
      </w:r>
      <w:r>
        <w:rPr>
          <w:rFonts w:hint="eastAsia" w:ascii="仿宋_GB2312" w:hAnsi="仿宋_GB2312" w:eastAsia="仿宋_GB2312" w:cs="仿宋_GB2312"/>
          <w:i w:val="0"/>
          <w:iCs w:val="0"/>
          <w:caps w:val="0"/>
          <w:color w:val="auto"/>
          <w:spacing w:val="0"/>
          <w:sz w:val="32"/>
          <w:szCs w:val="32"/>
          <w:shd w:val="clear" w:color="auto" w:fill="FFFFFF"/>
          <w:lang w:val="en-US" w:eastAsia="zh-CN"/>
        </w:rPr>
        <w:t>授予</w:t>
      </w:r>
      <w:r>
        <w:rPr>
          <w:rFonts w:hint="eastAsia" w:ascii="仿宋_GB2312" w:hAnsi="仿宋_GB2312" w:eastAsia="仿宋_GB2312" w:cs="仿宋_GB2312"/>
          <w:i w:val="0"/>
          <w:iCs w:val="0"/>
          <w:caps w:val="0"/>
          <w:color w:val="auto"/>
          <w:spacing w:val="0"/>
          <w:sz w:val="32"/>
          <w:szCs w:val="32"/>
          <w:shd w:val="clear" w:color="auto" w:fill="FFFFFF"/>
        </w:rPr>
        <w:t>MCSA</w:t>
      </w:r>
      <w:r>
        <w:rPr>
          <w:rFonts w:hint="eastAsia" w:ascii="仿宋_GB2312" w:hAnsi="仿宋_GB2312" w:eastAsia="仿宋_GB2312" w:cs="仿宋_GB2312"/>
          <w:i w:val="0"/>
          <w:iCs w:val="0"/>
          <w:caps w:val="0"/>
          <w:color w:val="auto"/>
          <w:spacing w:val="0"/>
          <w:sz w:val="32"/>
          <w:szCs w:val="32"/>
          <w:shd w:val="clear" w:color="auto" w:fill="FFFFFF"/>
          <w:lang w:val="en-US" w:eastAsia="zh-CN"/>
        </w:rPr>
        <w:t>中级及以上</w:t>
      </w:r>
      <w:r>
        <w:rPr>
          <w:rFonts w:hint="eastAsia" w:ascii="仿宋_GB2312" w:hAnsi="仿宋_GB2312" w:eastAsia="仿宋_GB2312" w:cs="仿宋_GB2312"/>
          <w:i w:val="0"/>
          <w:iCs w:val="0"/>
          <w:caps w:val="0"/>
          <w:color w:val="auto"/>
          <w:spacing w:val="0"/>
          <w:sz w:val="32"/>
          <w:szCs w:val="32"/>
          <w:shd w:val="clear" w:color="auto" w:fill="FFFFFF"/>
        </w:rPr>
        <w:t>认证</w:t>
      </w:r>
      <w:r>
        <w:rPr>
          <w:rFonts w:hint="eastAsia" w:ascii="仿宋_GB2312" w:hAnsi="仿宋_GB2312" w:eastAsia="仿宋_GB2312" w:cs="仿宋_GB2312"/>
          <w:i w:val="0"/>
          <w:iCs w:val="0"/>
          <w:caps w:val="0"/>
          <w:color w:val="auto"/>
          <w:spacing w:val="0"/>
          <w:sz w:val="32"/>
          <w:szCs w:val="32"/>
          <w:shd w:val="clear" w:color="auto" w:fill="FFFFFF"/>
          <w:lang w:val="en-US" w:eastAsia="zh-CN"/>
        </w:rPr>
        <w:t>证书（10分）</w:t>
      </w:r>
      <w:r>
        <w:rPr>
          <w:rFonts w:hint="eastAsia" w:ascii="仿宋_GB2312" w:hAnsi="仿宋_GB2312" w:eastAsia="仿宋_GB2312" w:cs="仿宋_GB2312"/>
          <w:i w:val="0"/>
          <w:iCs w:val="0"/>
          <w:caps w:val="0"/>
          <w:color w:val="auto"/>
          <w:spacing w:val="0"/>
          <w:sz w:val="32"/>
          <w:szCs w:val="32"/>
          <w:shd w:val="clear" w:color="auto" w:fill="FFFFFF"/>
        </w:rPr>
        <w:t>；</w:t>
      </w:r>
    </w:p>
    <w:p w14:paraId="2ECB1D64">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注：一人满足多项条件者，只计算一次；响应文件中需提供拟投入项目的人员须提供在本公司任职的证明材料（如加盖政府有关部门印章的2025年1月以来至本项目投标截止日之前任意一个月的社保缴纳证明），否则不计分。</w:t>
      </w:r>
    </w:p>
    <w:p w14:paraId="367F654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2.技术方案（30分）</w:t>
      </w:r>
    </w:p>
    <w:p w14:paraId="12CD2B35">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lang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全面覆盖多种数据库类型</w:t>
      </w:r>
      <w:r>
        <w:rPr>
          <w:rFonts w:hint="eastAsia" w:ascii="仿宋_GB2312" w:hAnsi="仿宋_GB2312" w:eastAsia="仿宋_GB2312" w:cs="仿宋_GB2312"/>
          <w:i w:val="0"/>
          <w:iCs w:val="0"/>
          <w:caps w:val="0"/>
          <w:color w:val="auto"/>
          <w:spacing w:val="0"/>
          <w:sz w:val="32"/>
          <w:szCs w:val="32"/>
          <w:shd w:val="clear" w:color="auto" w:fill="FFFFFF"/>
          <w:lang w:val="en-US" w:eastAsia="zh-CN"/>
        </w:rPr>
        <w:t>(5分)</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深入分析不同数据库的特点、优势和适用场景，</w:t>
      </w:r>
      <w:r>
        <w:rPr>
          <w:rFonts w:hint="eastAsia" w:ascii="仿宋_GB2312" w:hAnsi="仿宋_GB2312" w:eastAsia="仿宋_GB2312" w:cs="仿宋_GB2312"/>
          <w:i w:val="0"/>
          <w:iCs w:val="0"/>
          <w:caps w:val="0"/>
          <w:color w:val="auto"/>
          <w:spacing w:val="0"/>
          <w:sz w:val="32"/>
          <w:szCs w:val="32"/>
          <w:shd w:val="clear" w:color="auto" w:fill="FFFFFF"/>
          <w:lang w:val="en-US" w:eastAsia="zh-CN"/>
        </w:rPr>
        <w:t>能提供二种及以上的数据库运维方案并</w:t>
      </w:r>
      <w:r>
        <w:rPr>
          <w:rFonts w:hint="eastAsia" w:ascii="仿宋_GB2312" w:hAnsi="仿宋_GB2312" w:eastAsia="仿宋_GB2312" w:cs="仿宋_GB2312"/>
          <w:i w:val="0"/>
          <w:iCs w:val="0"/>
          <w:caps w:val="0"/>
          <w:color w:val="auto"/>
          <w:spacing w:val="0"/>
          <w:sz w:val="32"/>
          <w:szCs w:val="32"/>
          <w:shd w:val="clear" w:color="auto" w:fill="FFFFFF"/>
        </w:rPr>
        <w:t>详细阐述</w:t>
      </w:r>
      <w:r>
        <w:rPr>
          <w:rFonts w:hint="eastAsia" w:ascii="仿宋_GB2312" w:hAnsi="仿宋_GB2312" w:eastAsia="仿宋_GB2312" w:cs="仿宋_GB2312"/>
          <w:i w:val="0"/>
          <w:iCs w:val="0"/>
          <w:caps w:val="0"/>
          <w:color w:val="auto"/>
          <w:spacing w:val="0"/>
          <w:sz w:val="32"/>
          <w:szCs w:val="32"/>
          <w:shd w:val="clear" w:color="auto" w:fill="FFFFFF"/>
          <w:lang w:val="en-US" w:eastAsia="zh-CN"/>
        </w:rPr>
        <w:t>其特点和</w:t>
      </w:r>
      <w:r>
        <w:rPr>
          <w:rFonts w:hint="eastAsia" w:ascii="仿宋_GB2312" w:hAnsi="仿宋_GB2312" w:eastAsia="仿宋_GB2312" w:cs="仿宋_GB2312"/>
          <w:i w:val="0"/>
          <w:iCs w:val="0"/>
          <w:caps w:val="0"/>
          <w:color w:val="auto"/>
          <w:spacing w:val="0"/>
          <w:sz w:val="32"/>
          <w:szCs w:val="32"/>
          <w:shd w:val="clear" w:color="auto" w:fill="FFFFFF"/>
        </w:rPr>
        <w:t>可能遇到的问</w:t>
      </w:r>
      <w:r>
        <w:rPr>
          <w:rFonts w:hint="eastAsia" w:ascii="仿宋_GB2312" w:hAnsi="仿宋_GB2312" w:eastAsia="仿宋_GB2312" w:cs="仿宋_GB2312"/>
          <w:i w:val="0"/>
          <w:iCs w:val="0"/>
          <w:caps w:val="0"/>
          <w:color w:val="auto"/>
          <w:spacing w:val="0"/>
          <w:sz w:val="32"/>
          <w:szCs w:val="32"/>
          <w:shd w:val="clear" w:color="auto" w:fill="FFFFFF"/>
          <w:lang w:val="en-US" w:eastAsia="zh-CN"/>
        </w:rPr>
        <w:t>题</w:t>
      </w:r>
      <w:r>
        <w:rPr>
          <w:rFonts w:hint="eastAsia" w:ascii="仿宋_GB2312" w:hAnsi="仿宋_GB2312" w:eastAsia="仿宋_GB2312" w:cs="仿宋_GB2312"/>
          <w:i w:val="0"/>
          <w:iCs w:val="0"/>
          <w:caps w:val="0"/>
          <w:color w:val="auto"/>
          <w:spacing w:val="0"/>
          <w:sz w:val="32"/>
          <w:szCs w:val="32"/>
          <w:shd w:val="clear" w:color="auto" w:fill="FFFFFF"/>
        </w:rPr>
        <w:t>及解决方案</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少于二种不得分</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14:paraId="28B6FB1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数据迁移技术</w:t>
      </w:r>
      <w:r>
        <w:rPr>
          <w:rFonts w:hint="eastAsia" w:ascii="仿宋_GB2312" w:hAnsi="仿宋_GB2312" w:eastAsia="仿宋_GB2312" w:cs="仿宋_GB2312"/>
          <w:i w:val="0"/>
          <w:iCs w:val="0"/>
          <w:caps w:val="0"/>
          <w:color w:val="auto"/>
          <w:spacing w:val="0"/>
          <w:sz w:val="32"/>
          <w:szCs w:val="32"/>
          <w:shd w:val="clear" w:color="auto" w:fill="FFFFFF"/>
          <w:lang w:val="en-US" w:eastAsia="zh-CN"/>
        </w:rPr>
        <w:t>(5分)</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介绍一种或几种常见的数据迁移技术（如Oracle Data Pump、GoldenGate等），并说明其基本原理和适用场景，详细描述迁移流程和可能的风险，并制定相应的应对措施</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无迁移技术方案不得分</w:t>
      </w:r>
      <w:r>
        <w:rPr>
          <w:rFonts w:hint="eastAsia" w:ascii="仿宋_GB2312" w:hAnsi="仿宋_GB2312" w:eastAsia="仿宋_GB2312" w:cs="仿宋_GB2312"/>
          <w:i w:val="0"/>
          <w:iCs w:val="0"/>
          <w:caps w:val="0"/>
          <w:color w:val="auto"/>
          <w:spacing w:val="0"/>
          <w:sz w:val="32"/>
          <w:szCs w:val="32"/>
          <w:shd w:val="clear" w:color="auto" w:fill="FFFFFF"/>
        </w:rPr>
        <w:t>。</w:t>
      </w:r>
    </w:p>
    <w:p w14:paraId="053C77E1">
      <w:pPr>
        <w:pStyle w:val="5"/>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right="0" w:firstLine="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（3）</w:t>
      </w:r>
      <w:r>
        <w:rPr>
          <w:rFonts w:hint="eastAsia" w:ascii="仿宋_GB2312" w:hAnsi="仿宋_GB2312" w:eastAsia="仿宋_GB2312" w:cs="仿宋_GB2312"/>
          <w:i w:val="0"/>
          <w:iCs w:val="0"/>
          <w:caps w:val="0"/>
          <w:color w:val="auto"/>
          <w:spacing w:val="0"/>
          <w:sz w:val="32"/>
          <w:szCs w:val="32"/>
          <w:shd w:val="clear" w:color="auto" w:fill="FFFFFF"/>
        </w:rPr>
        <w:t>数据存储拓展（5分）</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提出一种或几种数据存储拓展的策略（如增加存储设备、使用分区表等），并说明其基本原理和适用场景，详细评估拓展方案的可行性和可能的影响</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无存储拓展策略不得分</w:t>
      </w:r>
      <w:r>
        <w:rPr>
          <w:rFonts w:hint="eastAsia" w:ascii="仿宋_GB2312" w:hAnsi="仿宋_GB2312" w:eastAsia="仿宋_GB2312" w:cs="仿宋_GB2312"/>
          <w:i w:val="0"/>
          <w:iCs w:val="0"/>
          <w:caps w:val="0"/>
          <w:color w:val="auto"/>
          <w:spacing w:val="0"/>
          <w:sz w:val="32"/>
          <w:szCs w:val="32"/>
          <w:shd w:val="clear" w:color="auto" w:fill="FFFFFF"/>
        </w:rPr>
        <w:t>。</w:t>
      </w:r>
    </w:p>
    <w:p w14:paraId="432EA4E7">
      <w:pPr>
        <w:pStyle w:val="5"/>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right="0" w:firstLine="640"/>
        <w:jc w:val="both"/>
        <w:outlineLvl w:val="0"/>
        <w:rPr>
          <w:rFonts w:hint="default" w:ascii="仿宋_GB2312" w:hAnsi="仿宋_GB2312" w:eastAsia="仿宋_GB2312" w:cs="仿宋_GB2312"/>
          <w:color w:val="auto"/>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shd w:val="clear" w:color="auto" w:fill="FFFFFF"/>
        </w:rPr>
        <w:t>巡检、风险应对（5分）</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制定全面、详细的巡检计划，涵盖所有关键指标和系统组件，明确巡检频率、责任人、巡检方法和标准，同时建立完善的风险应对机制，针对可能出现的各种风险制定具体的应对措施，包括预防措施、应急处理流程和恢复方案，并定期进行风险演练和评估。</w:t>
      </w:r>
      <w:r>
        <w:rPr>
          <w:rFonts w:hint="eastAsia" w:ascii="仿宋_GB2312" w:hAnsi="仿宋_GB2312" w:eastAsia="仿宋_GB2312" w:cs="仿宋_GB2312"/>
          <w:i w:val="0"/>
          <w:iCs w:val="0"/>
          <w:caps w:val="0"/>
          <w:color w:val="auto"/>
          <w:spacing w:val="0"/>
          <w:sz w:val="32"/>
          <w:szCs w:val="32"/>
          <w:shd w:val="clear" w:color="auto" w:fill="FFFFFF"/>
          <w:lang w:val="en-US" w:eastAsia="zh-CN"/>
        </w:rPr>
        <w:t>无巡检风险方案不得分。</w:t>
      </w:r>
    </w:p>
    <w:p w14:paraId="757A969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firstLine="640"/>
        <w:jc w:val="both"/>
        <w:outlineLvl w:val="0"/>
        <w:rPr>
          <w:rFonts w:hint="default" w:ascii="仿宋_GB2312" w:hAnsi="仿宋_GB2312" w:eastAsia="仿宋_GB2312" w:cs="仿宋_GB2312"/>
          <w:color w:val="auto"/>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备份</w:t>
      </w:r>
      <w:r>
        <w:rPr>
          <w:rFonts w:hint="eastAsia" w:ascii="仿宋_GB2312" w:hAnsi="仿宋_GB2312" w:eastAsia="仿宋_GB2312" w:cs="仿宋_GB2312"/>
          <w:i w:val="0"/>
          <w:iCs w:val="0"/>
          <w:caps w:val="0"/>
          <w:color w:val="auto"/>
          <w:spacing w:val="0"/>
          <w:sz w:val="32"/>
          <w:szCs w:val="32"/>
          <w:shd w:val="clear" w:color="auto" w:fill="FFFFFF"/>
          <w:lang w:val="en-US" w:eastAsia="zh-CN"/>
        </w:rPr>
        <w:t>方案</w:t>
      </w:r>
      <w:r>
        <w:rPr>
          <w:rFonts w:hint="eastAsia" w:ascii="仿宋_GB2312" w:hAnsi="仿宋_GB2312" w:eastAsia="仿宋_GB2312" w:cs="仿宋_GB2312"/>
          <w:i w:val="0"/>
          <w:iCs w:val="0"/>
          <w:caps w:val="0"/>
          <w:color w:val="auto"/>
          <w:spacing w:val="0"/>
          <w:sz w:val="32"/>
          <w:szCs w:val="32"/>
          <w:shd w:val="clear" w:color="auto" w:fill="FFFFFF"/>
        </w:rPr>
        <w:t>（5分）</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制定全面、灵活、可靠的备份策略，根据业务需求和数据特点确定合适的备份类型、频率和存储位置，同时制定详细的恢复方案。</w:t>
      </w:r>
      <w:r>
        <w:rPr>
          <w:rFonts w:hint="eastAsia" w:ascii="仿宋_GB2312" w:hAnsi="仿宋_GB2312" w:eastAsia="仿宋_GB2312" w:cs="仿宋_GB2312"/>
          <w:i w:val="0"/>
          <w:iCs w:val="0"/>
          <w:caps w:val="0"/>
          <w:color w:val="auto"/>
          <w:spacing w:val="0"/>
          <w:sz w:val="32"/>
          <w:szCs w:val="32"/>
          <w:shd w:val="clear" w:color="auto" w:fill="FFFFFF"/>
          <w:lang w:val="en-US" w:eastAsia="zh-CN"/>
        </w:rPr>
        <w:t>无备份方案不得分。</w:t>
      </w:r>
    </w:p>
    <w:p w14:paraId="535FE9B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default" w:ascii="仿宋_GB2312" w:hAnsi="仿宋_GB2312" w:eastAsia="仿宋_GB2312" w:cs="仿宋_GB2312"/>
          <w:color w:val="auto"/>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（6）人员培训指导计划（5分）：有相应的人员培训指导计划方案，有相应资质的人员提供线上或者线下的指导方案。无培训指导方案不得分。</w:t>
      </w:r>
    </w:p>
    <w:p w14:paraId="317D6AC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注：供应商未提供或提供的内容不符合采购需求的，不得分；不满足最低档次要求的不得分。</w:t>
      </w:r>
    </w:p>
    <w:p w14:paraId="4D08D810">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楷体" w:hAnsi="楷体" w:eastAsia="楷体" w:cs="楷体"/>
          <w:i w:val="0"/>
          <w:iCs w:val="0"/>
          <w:caps w:val="0"/>
          <w:color w:val="auto"/>
          <w:spacing w:val="0"/>
          <w:sz w:val="32"/>
          <w:szCs w:val="32"/>
          <w:shd w:val="clear" w:color="auto" w:fill="FFFFFF"/>
        </w:rPr>
        <w:t>（三）商务分（</w:t>
      </w:r>
      <w:r>
        <w:rPr>
          <w:rFonts w:hint="eastAsia" w:ascii="楷体" w:hAnsi="楷体" w:eastAsia="楷体" w:cs="楷体"/>
          <w:i w:val="0"/>
          <w:iCs w:val="0"/>
          <w:caps w:val="0"/>
          <w:color w:val="auto"/>
          <w:spacing w:val="0"/>
          <w:sz w:val="32"/>
          <w:szCs w:val="32"/>
          <w:shd w:val="clear" w:color="auto" w:fill="FFFFFF"/>
          <w:lang w:val="en-US" w:eastAsia="zh-CN"/>
        </w:rPr>
        <w:t>30</w:t>
      </w:r>
      <w:r>
        <w:rPr>
          <w:rFonts w:hint="eastAsia" w:ascii="楷体" w:hAnsi="楷体" w:eastAsia="楷体" w:cs="楷体"/>
          <w:i w:val="0"/>
          <w:iCs w:val="0"/>
          <w:caps w:val="0"/>
          <w:color w:val="auto"/>
          <w:spacing w:val="0"/>
          <w:sz w:val="32"/>
          <w:szCs w:val="32"/>
          <w:shd w:val="clear" w:color="auto" w:fill="FFFFFF"/>
        </w:rPr>
        <w:t>分）</w:t>
      </w:r>
    </w:p>
    <w:p w14:paraId="79BD28C4">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1.企业信誉（</w:t>
      </w:r>
      <w:r>
        <w:rPr>
          <w:rFonts w:hint="eastAsia" w:ascii="仿宋_GB2312" w:hAnsi="仿宋_GB2312" w:eastAsia="仿宋_GB2312" w:cs="仿宋_GB2312"/>
          <w:i w:val="0"/>
          <w:iCs w:val="0"/>
          <w:caps w:val="0"/>
          <w:color w:val="auto"/>
          <w:spacing w:val="0"/>
          <w:sz w:val="32"/>
          <w:szCs w:val="32"/>
          <w:shd w:val="clear" w:color="auto" w:fill="FFFFFF"/>
          <w:lang w:val="en-US" w:eastAsia="zh-CN"/>
        </w:rPr>
        <w:t>10</w:t>
      </w:r>
      <w:r>
        <w:rPr>
          <w:rFonts w:hint="eastAsia" w:ascii="仿宋_GB2312" w:hAnsi="仿宋_GB2312" w:eastAsia="仿宋_GB2312" w:cs="仿宋_GB2312"/>
          <w:i w:val="0"/>
          <w:iCs w:val="0"/>
          <w:caps w:val="0"/>
          <w:color w:val="auto"/>
          <w:spacing w:val="0"/>
          <w:sz w:val="32"/>
          <w:szCs w:val="32"/>
          <w:shd w:val="clear" w:color="auto" w:fill="FFFFFF"/>
        </w:rPr>
        <w:t>分）</w:t>
      </w:r>
    </w:p>
    <w:p w14:paraId="17718440">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（1）供应商具备中国网络安全审查技术与认证中心颁发的信息安全风险评估服务证书，提供相关证明复印件并加盖供应商公章，得</w:t>
      </w: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分；</w:t>
      </w:r>
    </w:p>
    <w:p w14:paraId="5C07A1A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（2）供应商具备中国计算机行业协会数据安全专业委员会</w:t>
      </w:r>
      <w:r>
        <w:rPr>
          <w:rFonts w:hint="eastAsia" w:ascii="仿宋_GB2312" w:hAnsi="仿宋_GB2312" w:eastAsia="仿宋_GB2312" w:cs="仿宋_GB2312"/>
          <w:i w:val="0"/>
          <w:iCs w:val="0"/>
          <w:caps w:val="0"/>
          <w:color w:val="auto"/>
          <w:spacing w:val="0"/>
          <w:sz w:val="32"/>
          <w:szCs w:val="32"/>
          <w:shd w:val="clear" w:color="auto" w:fill="FFFFFF"/>
          <w:lang w:val="en-US" w:eastAsia="zh-CN"/>
        </w:rPr>
        <w:t>或国家计算机行业认证的相关资质</w:t>
      </w:r>
      <w:r>
        <w:rPr>
          <w:rFonts w:hint="eastAsia" w:ascii="仿宋_GB2312" w:hAnsi="仿宋_GB2312" w:eastAsia="仿宋_GB2312" w:cs="仿宋_GB2312"/>
          <w:i w:val="0"/>
          <w:iCs w:val="0"/>
          <w:caps w:val="0"/>
          <w:color w:val="auto"/>
          <w:spacing w:val="0"/>
          <w:sz w:val="32"/>
          <w:szCs w:val="32"/>
          <w:shd w:val="clear" w:color="auto" w:fill="FFFFFF"/>
        </w:rPr>
        <w:t>证书，提供相关证明复印件并加盖供应商公章，得</w:t>
      </w: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分；</w:t>
      </w:r>
    </w:p>
    <w:p w14:paraId="7219999D">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注：供应商提供</w:t>
      </w:r>
      <w:r>
        <w:rPr>
          <w:rFonts w:hint="eastAsia" w:ascii="仿宋_GB2312" w:hAnsi="仿宋_GB2312" w:eastAsia="仿宋_GB2312" w:cs="仿宋_GB2312"/>
          <w:i w:val="0"/>
          <w:iCs w:val="0"/>
          <w:caps w:val="0"/>
          <w:color w:val="auto"/>
          <w:spacing w:val="0"/>
          <w:sz w:val="32"/>
          <w:szCs w:val="32"/>
          <w:shd w:val="clear" w:color="auto" w:fill="FFFFFF"/>
          <w:lang w:val="en-US" w:eastAsia="zh-CN"/>
        </w:rPr>
        <w:t>多项内容符合要求的只计算一项内容，满分为10分</w:t>
      </w:r>
      <w:r>
        <w:rPr>
          <w:rFonts w:hint="eastAsia" w:ascii="仿宋_GB2312" w:hAnsi="仿宋_GB2312" w:eastAsia="仿宋_GB2312" w:cs="仿宋_GB2312"/>
          <w:i w:val="0"/>
          <w:iCs w:val="0"/>
          <w:caps w:val="0"/>
          <w:color w:val="auto"/>
          <w:spacing w:val="0"/>
          <w:sz w:val="32"/>
          <w:szCs w:val="32"/>
          <w:shd w:val="clear" w:color="auto" w:fill="FFFFFF"/>
        </w:rPr>
        <w:t>；不满足最低档次要求的不得分。</w:t>
      </w:r>
    </w:p>
    <w:p w14:paraId="1219D217">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2.同类业绩（</w:t>
      </w:r>
      <w:r>
        <w:rPr>
          <w:rFonts w:hint="eastAsia" w:ascii="仿宋_GB2312" w:hAnsi="仿宋_GB2312" w:eastAsia="仿宋_GB2312" w:cs="仿宋_GB2312"/>
          <w:i w:val="0"/>
          <w:iCs w:val="0"/>
          <w:caps w:val="0"/>
          <w:color w:val="auto"/>
          <w:spacing w:val="0"/>
          <w:sz w:val="32"/>
          <w:szCs w:val="32"/>
          <w:shd w:val="clear" w:color="auto" w:fill="FFFFFF"/>
          <w:lang w:val="en-US" w:eastAsia="zh-CN"/>
        </w:rPr>
        <w:t>20</w:t>
      </w:r>
      <w:r>
        <w:rPr>
          <w:rFonts w:hint="eastAsia" w:ascii="仿宋_GB2312" w:hAnsi="仿宋_GB2312" w:eastAsia="仿宋_GB2312" w:cs="仿宋_GB2312"/>
          <w:i w:val="0"/>
          <w:iCs w:val="0"/>
          <w:caps w:val="0"/>
          <w:color w:val="auto"/>
          <w:spacing w:val="0"/>
          <w:sz w:val="32"/>
          <w:szCs w:val="32"/>
          <w:shd w:val="clear" w:color="auto" w:fill="FFFFFF"/>
        </w:rPr>
        <w:t>分）</w:t>
      </w:r>
    </w:p>
    <w:p w14:paraId="5AED64E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0" w:firstLine="600"/>
        <w:jc w:val="both"/>
        <w:outlineLvl w:val="0"/>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FFFFFF"/>
        </w:rPr>
        <w:t>供应商需具有同类项目服务经验，自2022年1月1日以来同类项目业绩证明(以项目合同复印件为准，要求加盖公章，如不提供资料或不按要求提供的不予加分)，每提供一项得</w:t>
      </w: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分，满分</w:t>
      </w:r>
      <w:r>
        <w:rPr>
          <w:rFonts w:hint="eastAsia" w:ascii="仿宋_GB2312" w:hAnsi="仿宋_GB2312" w:eastAsia="仿宋_GB2312" w:cs="仿宋_GB2312"/>
          <w:i w:val="0"/>
          <w:iCs w:val="0"/>
          <w:caps w:val="0"/>
          <w:color w:val="auto"/>
          <w:spacing w:val="0"/>
          <w:sz w:val="32"/>
          <w:szCs w:val="32"/>
          <w:shd w:val="clear" w:color="auto" w:fill="FFFFFF"/>
          <w:lang w:val="en-US" w:eastAsia="zh-CN"/>
        </w:rPr>
        <w:t>20</w:t>
      </w:r>
      <w:r>
        <w:rPr>
          <w:rFonts w:hint="eastAsia" w:ascii="仿宋_GB2312" w:hAnsi="仿宋_GB2312" w:eastAsia="仿宋_GB2312" w:cs="仿宋_GB2312"/>
          <w:i w:val="0"/>
          <w:iCs w:val="0"/>
          <w:caps w:val="0"/>
          <w:color w:val="auto"/>
          <w:spacing w:val="0"/>
          <w:sz w:val="32"/>
          <w:szCs w:val="32"/>
          <w:shd w:val="clear" w:color="auto" w:fill="FFFFFF"/>
        </w:rPr>
        <w:t>分。</w:t>
      </w:r>
    </w:p>
    <w:p w14:paraId="69D17597">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560" w:lineRule="exact"/>
        <w:ind w:left="105" w:firstLine="5068"/>
        <w:jc w:val="both"/>
        <w:outlineLvl w:val="0"/>
        <w:rPr>
          <w:rFonts w:hint="eastAsia" w:ascii="仿宋_GB2312" w:hAnsi="仿宋_GB2312" w:eastAsia="仿宋_GB2312" w:cs="仿宋_GB2312"/>
          <w:color w:val="auto"/>
          <w:sz w:val="32"/>
          <w:szCs w:val="32"/>
        </w:rPr>
      </w:pPr>
    </w:p>
    <w:p w14:paraId="42E315D8"/>
    <w:p w14:paraId="04CF1F2F"/>
    <w:sectPr>
      <w:footerReference r:id="rId3" w:type="default"/>
      <w:pgSz w:w="11906" w:h="16838"/>
      <w:pgMar w:top="1440" w:right="1474" w:bottom="1440" w:left="1587" w:header="851" w:footer="992" w:gutter="0"/>
      <w:pgNumType w:start="2"/>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361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575C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B0ukX88AgAAbwQAAA4AAAAAAAAAAQAgAAAAHwEAAGRycy9lMm9E&#10;b2MueG1sUEsFBgAAAAAGAAYAWQEAAM0FAAAAAA==&#10;">
              <v:fill on="f" focussize="0,0"/>
              <v:stroke on="f" weight="0.5pt"/>
              <v:imagedata o:title=""/>
              <o:lock v:ext="edit" aspectratio="f"/>
              <v:textbox inset="0mm,0mm,0mm,0mm" style="mso-fit-shape-to-text:t;">
                <w:txbxContent>
                  <w:p w14:paraId="78A575C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37667"/>
    <w:rsid w:val="7B03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0"/>
    </w:rPr>
  </w:style>
  <w:style w:type="paragraph" w:styleId="4">
    <w:name w:val="footer"/>
    <w:basedOn w:val="1"/>
    <w:unhideWhenUsed/>
    <w:qFormat/>
    <w:uiPriority w:val="99"/>
    <w:pPr>
      <w:tabs>
        <w:tab w:val="center" w:pos="4153"/>
        <w:tab w:val="right" w:pos="8306"/>
      </w:tabs>
      <w:spacing w:line="240" w:lineRule="auto"/>
      <w:jc w:val="left"/>
    </w:pPr>
    <w:rPr>
      <w:sz w:val="18"/>
      <w:szCs w:val="18"/>
    </w:rPr>
  </w:style>
  <w:style w:type="paragraph" w:styleId="5">
    <w:name w:val="Normal (Web)"/>
    <w:basedOn w:val="1"/>
    <w:qFormat/>
    <w:uiPriority w:val="0"/>
    <w:pPr>
      <w:spacing w:before="0" w:beforeAutospacing="1" w:after="0" w:afterAutospacing="1"/>
      <w:ind w:left="0" w:right="0"/>
      <w:jc w:val="left"/>
    </w:pPr>
    <w:rPr>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2025-11-10T00:35:00Z</dcterms:created>
  <dc:creator>iBelieve＂</dc:creator>
  <cp:lastModifiedBy>iBelieve＂</cp:lastModifiedBy>
  <dcterms:modified xsi:type="dcterms:W3CDTF">2025-11-10T00:36:26Z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EC721656749647EA8882938C0B05485C_11</vt:lpwstr>
  </property>
  <property fmtid="{D5CDD505-2E9C-101B-9397-08002B2CF9AE}" pid="4" name="KSOTemplateDocerSaveRecord">
    <vt:lpwstr>eyJoZGlkIjoiMmM4NzRlN2QzNjYyYjRhZTE1Yjk0NTA4YmExNmQyMzAiLCJ1c2VySWQiOiI4MDkwMDk3MjEifQ==</vt:lpwstr>
  </property>
</Properties>
</file>