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79F59">
      <w:pPr>
        <w:keepNext w:val="0"/>
        <w:keepLines w:val="0"/>
        <w:pageBreakBefore w:val="0"/>
        <w:widowControl w:val="0"/>
        <w:spacing w:line="560" w:lineRule="exact"/>
        <w:ind w:right="2100"/>
        <w:jc w:val="both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 w14:paraId="38EF6C97">
      <w:pPr>
        <w:keepNext w:val="0"/>
        <w:keepLines w:val="0"/>
        <w:pageBreakBefore w:val="0"/>
        <w:widowControl w:val="0"/>
        <w:spacing w:line="560" w:lineRule="exact"/>
        <w:ind w:left="2100" w:right="210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评分方法</w:t>
      </w:r>
    </w:p>
    <w:p w14:paraId="27039E4A">
      <w:pPr>
        <w:pStyle w:val="2"/>
        <w:keepNext w:val="0"/>
        <w:keepLines w:val="0"/>
        <w:pageBreakBefore w:val="0"/>
        <w:widowControl w:val="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6E23B34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560" w:lineRule="exact"/>
        <w:ind w:firstLine="640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一、评分原则</w:t>
      </w:r>
    </w:p>
    <w:p w14:paraId="209BE607">
      <w:pPr>
        <w:pStyle w:val="2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60" w:lineRule="exact"/>
        <w:ind w:right="0" w:firstLine="64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)评审依据：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文件和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文件为评定依据进行评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审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。</w:t>
      </w:r>
    </w:p>
    <w:p w14:paraId="3BDA9D06">
      <w:pPr>
        <w:pStyle w:val="2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)评审办法：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采用百分制综合评分法。</w:t>
      </w:r>
    </w:p>
    <w:p w14:paraId="30A61719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560" w:lineRule="exact"/>
        <w:ind w:firstLine="640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二、评分方法</w:t>
      </w:r>
    </w:p>
    <w:p w14:paraId="4CC813C8">
      <w:pPr>
        <w:pStyle w:val="2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评审小组对报价人的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文件资格性和符合性进行检查，对合格的响应文件，采用百分制综合评分法进行评审。</w:t>
      </w:r>
    </w:p>
    <w:p w14:paraId="71CB9919">
      <w:pPr>
        <w:pStyle w:val="2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评审小组将以采购文件、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文件为评审依据，提出最后总得分最高的报价人作为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项目成交供应商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。</w:t>
      </w:r>
    </w:p>
    <w:p w14:paraId="12264F57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560" w:lineRule="exact"/>
        <w:ind w:firstLine="640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三、评分细则（按四舍五入取至百分位）</w:t>
      </w:r>
    </w:p>
    <w:tbl>
      <w:tblPr>
        <w:tblStyle w:val="29"/>
        <w:tblW w:w="947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461"/>
        <w:gridCol w:w="1212"/>
        <w:gridCol w:w="5268"/>
        <w:gridCol w:w="991"/>
      </w:tblGrid>
      <w:tr w14:paraId="0EFA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tblCellSpacing w:w="0" w:type="dxa"/>
          <w:jc w:val="center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99FCB69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-105" w:right="-10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 w14:paraId="7A1ED540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-105" w:right="-10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评分项目</w:t>
            </w:r>
          </w:p>
        </w:tc>
        <w:tc>
          <w:tcPr>
            <w:tcW w:w="6480" w:type="dxa"/>
            <w:gridSpan w:val="2"/>
            <w:shd w:val="clear" w:color="auto" w:fill="auto"/>
            <w:noWrap w:val="0"/>
            <w:vAlign w:val="center"/>
          </w:tcPr>
          <w:p w14:paraId="2BDF43A4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评分细则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0EE0EB26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分值</w:t>
            </w:r>
          </w:p>
        </w:tc>
      </w:tr>
      <w:tr w14:paraId="2748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tblCellSpacing w:w="0" w:type="dxa"/>
          <w:jc w:val="center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0AF8B33C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 w14:paraId="14026AA2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价格分</w:t>
            </w:r>
          </w:p>
          <w:p w14:paraId="03708EF9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0分）</w:t>
            </w:r>
          </w:p>
        </w:tc>
        <w:tc>
          <w:tcPr>
            <w:tcW w:w="6480" w:type="dxa"/>
            <w:gridSpan w:val="2"/>
            <w:shd w:val="clear" w:color="auto" w:fill="auto"/>
            <w:noWrap w:val="0"/>
            <w:vAlign w:val="center"/>
          </w:tcPr>
          <w:p w14:paraId="3B9B8C56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不超过最高投标限价的申请人投标报价为有效报价。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shd w:val="clear" w:color="auto" w:fill="FFFFFF"/>
              </w:rPr>
              <w:t>本次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shd w:val="clear" w:color="auto" w:fill="FFFFFF"/>
              </w:rPr>
              <w:t>中，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以进入综合评分环节的最低报价为评标基准价。</w:t>
            </w:r>
          </w:p>
          <w:p w14:paraId="0419A9D0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  <w:p w14:paraId="39D1AD9D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示例：某报价人价格分=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>评标基准价（元）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0分</w:t>
            </w:r>
          </w:p>
          <w:p w14:paraId="4DD9C801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2800" w:firstLineChars="10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某报价人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评标报价（元）</w:t>
            </w:r>
            <w:bookmarkEnd w:id="0"/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0F2EF134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0分</w:t>
            </w:r>
          </w:p>
        </w:tc>
      </w:tr>
      <w:tr w14:paraId="0B89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tblCellSpacing w:w="0" w:type="dxa"/>
          <w:jc w:val="center"/>
        </w:trPr>
        <w:tc>
          <w:tcPr>
            <w:tcW w:w="547" w:type="dxa"/>
            <w:vMerge w:val="restart"/>
            <w:shd w:val="clear" w:color="auto" w:fill="auto"/>
            <w:noWrap w:val="0"/>
            <w:vAlign w:val="center"/>
          </w:tcPr>
          <w:p w14:paraId="247DB4EA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1" w:type="dxa"/>
            <w:vMerge w:val="restart"/>
            <w:shd w:val="clear" w:color="auto" w:fill="auto"/>
            <w:noWrap w:val="0"/>
            <w:vAlign w:val="center"/>
          </w:tcPr>
          <w:p w14:paraId="083E5C02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能力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分（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0分）</w:t>
            </w:r>
          </w:p>
          <w:p w14:paraId="6627DD2E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12" w:type="dxa"/>
            <w:shd w:val="clear" w:color="auto" w:fill="auto"/>
            <w:noWrap w:val="0"/>
            <w:vAlign w:val="center"/>
          </w:tcPr>
          <w:p w14:paraId="3517E3F8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设备能力</w:t>
            </w:r>
          </w:p>
        </w:tc>
        <w:tc>
          <w:tcPr>
            <w:tcW w:w="5268" w:type="dxa"/>
            <w:shd w:val="clear" w:color="auto" w:fill="auto"/>
            <w:noWrap w:val="0"/>
            <w:vAlign w:val="center"/>
          </w:tcPr>
          <w:p w14:paraId="33985A63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投标商所拥有的印刷设备是否先进，能否满足本项目的印刷要求。</w:t>
            </w:r>
          </w:p>
          <w:p w14:paraId="2EF37572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一档（5分）：能简单提供设备技术性能及技术资料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34EFBAB4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二档（10分）：提供较详细的设备技术性能、型号参数及部分设备运行案例，设备基本满足项目需求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31B98460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三档（15分）：提供完整的先进设备清单（含进口/高端设备证明）、技术参数、近期运行报告及专业认证，设备性能完全匹配项目高标准需求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2D4C03E1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分</w:t>
            </w:r>
          </w:p>
        </w:tc>
      </w:tr>
      <w:tr w14:paraId="326F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tblCellSpacing w:w="0" w:type="dxa"/>
          <w:jc w:val="center"/>
        </w:trPr>
        <w:tc>
          <w:tcPr>
            <w:tcW w:w="547" w:type="dxa"/>
            <w:vMerge w:val="continue"/>
            <w:shd w:val="clear" w:color="auto" w:fill="auto"/>
            <w:noWrap w:val="0"/>
            <w:vAlign w:val="center"/>
          </w:tcPr>
          <w:p w14:paraId="255621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61" w:type="dxa"/>
            <w:vMerge w:val="continue"/>
            <w:shd w:val="clear" w:color="auto" w:fill="auto"/>
            <w:noWrap w:val="0"/>
            <w:vAlign w:val="center"/>
          </w:tcPr>
          <w:p w14:paraId="7DC605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12" w:type="dxa"/>
            <w:shd w:val="clear" w:color="auto" w:fill="auto"/>
            <w:noWrap w:val="0"/>
            <w:vAlign w:val="center"/>
          </w:tcPr>
          <w:p w14:paraId="7D44E43F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人员素质</w:t>
            </w:r>
          </w:p>
        </w:tc>
        <w:tc>
          <w:tcPr>
            <w:tcW w:w="5268" w:type="dxa"/>
            <w:shd w:val="clear" w:color="auto" w:fill="auto"/>
            <w:noWrap w:val="0"/>
            <w:vAlign w:val="center"/>
          </w:tcPr>
          <w:p w14:paraId="137E551D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投标商的印刷工人是否拥有丰富的经验和专业技术，能否保证印刷品的质量。</w:t>
            </w:r>
          </w:p>
          <w:p w14:paraId="67A4318E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一档（5分）：少数工人有2年以下印刷经验，无专业技术证书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1A85EE5B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二档（10分）：多数工人具备2-5年印刷经验，30%以上持有印刷专业技术证书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7F26B152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三档（15分）：多数工人拥有5年以上印刷经验，60%以上持有高级印刷技术证书，提供年度专业培训记录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77B1B835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分</w:t>
            </w:r>
          </w:p>
        </w:tc>
      </w:tr>
      <w:tr w14:paraId="547F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tblCellSpacing w:w="0" w:type="dxa"/>
          <w:jc w:val="center"/>
        </w:trPr>
        <w:tc>
          <w:tcPr>
            <w:tcW w:w="547" w:type="dxa"/>
            <w:vMerge w:val="continue"/>
            <w:shd w:val="clear" w:color="auto" w:fill="auto"/>
            <w:noWrap w:val="0"/>
            <w:vAlign w:val="center"/>
          </w:tcPr>
          <w:p w14:paraId="3C8EDF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61" w:type="dxa"/>
            <w:vMerge w:val="continue"/>
            <w:shd w:val="clear" w:color="auto" w:fill="auto"/>
            <w:noWrap w:val="0"/>
            <w:vAlign w:val="center"/>
          </w:tcPr>
          <w:p w14:paraId="2659BA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12" w:type="dxa"/>
            <w:shd w:val="clear" w:color="auto" w:fill="auto"/>
            <w:noWrap w:val="0"/>
            <w:vAlign w:val="center"/>
          </w:tcPr>
          <w:p w14:paraId="48E40344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质量控制</w:t>
            </w:r>
          </w:p>
        </w:tc>
        <w:tc>
          <w:tcPr>
            <w:tcW w:w="5268" w:type="dxa"/>
            <w:shd w:val="clear" w:color="auto" w:fill="auto"/>
            <w:noWrap w:val="0"/>
            <w:vAlign w:val="center"/>
          </w:tcPr>
          <w:p w14:paraId="55F93727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投标商有健全的承印验证、登记、保管、交付、销毁等管理制度。</w:t>
            </w:r>
          </w:p>
          <w:p w14:paraId="5FF8E89C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一档（3分）：管理制度较为简单，仅涵盖核心环节。</w:t>
            </w:r>
          </w:p>
          <w:p w14:paraId="053082C9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二档（6分）：能提供部分管理制度，覆盖80%以上关键流程，有基础执行记录。</w:t>
            </w:r>
          </w:p>
          <w:p w14:paraId="49A390B3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三档（10分）：提供健全的管理规章制度，覆盖全流程，含质量追溯机制和应急处理预案，有完整执行台账。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30EC4A77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分</w:t>
            </w:r>
          </w:p>
        </w:tc>
      </w:tr>
      <w:tr w14:paraId="1B2B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tblCellSpacing w:w="0" w:type="dxa"/>
          <w:jc w:val="center"/>
        </w:trPr>
        <w:tc>
          <w:tcPr>
            <w:tcW w:w="547" w:type="dxa"/>
            <w:vMerge w:val="continue"/>
            <w:shd w:val="clear" w:color="auto" w:fill="auto"/>
            <w:noWrap w:val="0"/>
            <w:vAlign w:val="center"/>
          </w:tcPr>
          <w:p w14:paraId="74142B0E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vMerge w:val="continue"/>
            <w:shd w:val="clear" w:color="auto" w:fill="auto"/>
            <w:noWrap w:val="0"/>
            <w:vAlign w:val="center"/>
          </w:tcPr>
          <w:p w14:paraId="29873EE4"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shd w:val="clear" w:color="auto" w:fill="auto"/>
            <w:noWrap w:val="0"/>
            <w:vAlign w:val="center"/>
          </w:tcPr>
          <w:p w14:paraId="45B2A99E">
            <w:pPr>
              <w:pStyle w:val="28"/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样品评估</w:t>
            </w:r>
          </w:p>
        </w:tc>
        <w:tc>
          <w:tcPr>
            <w:tcW w:w="5268" w:type="dxa"/>
            <w:shd w:val="clear" w:color="auto" w:fill="auto"/>
            <w:noWrap w:val="0"/>
            <w:vAlign w:val="center"/>
          </w:tcPr>
          <w:p w14:paraId="6FBA0141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对投标商提供的样品进行评估，包括纸张选择、印刷效果等方面，确保印刷品质量符合要求。</w:t>
            </w:r>
          </w:p>
          <w:p w14:paraId="632D0D2D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一档（3分）：纸张材质一般，印刷偶有模糊、套印偏差，整体质量基本达标。</w:t>
            </w:r>
          </w:p>
          <w:p w14:paraId="39154D91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二档（6分）：纸张符合项目基本要求，印刷清晰度较好，套印准确，无明显瑕疵。</w:t>
            </w:r>
          </w:p>
          <w:p w14:paraId="375788E4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三档（10分）：纸张优质且与项目需求高度匹配，印刷色彩还原准确、细节清晰，无任何质量缺陷。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4623A747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10分</w:t>
            </w:r>
          </w:p>
        </w:tc>
      </w:tr>
      <w:tr w14:paraId="56F8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CellSpacing w:w="0" w:type="dxa"/>
          <w:jc w:val="center"/>
        </w:trPr>
        <w:tc>
          <w:tcPr>
            <w:tcW w:w="547" w:type="dxa"/>
            <w:vMerge w:val="continue"/>
            <w:shd w:val="clear" w:color="auto" w:fill="auto"/>
            <w:noWrap w:val="0"/>
            <w:vAlign w:val="center"/>
          </w:tcPr>
          <w:p w14:paraId="07F62635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Merge w:val="continue"/>
            <w:shd w:val="clear" w:color="auto" w:fill="auto"/>
            <w:noWrap w:val="0"/>
            <w:vAlign w:val="center"/>
          </w:tcPr>
          <w:p w14:paraId="2D00A983"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shd w:val="clear" w:color="auto" w:fill="auto"/>
            <w:noWrap w:val="0"/>
            <w:vAlign w:val="center"/>
          </w:tcPr>
          <w:p w14:paraId="7BAACBF6">
            <w:pPr>
              <w:pStyle w:val="28"/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印刷效果</w:t>
            </w:r>
          </w:p>
        </w:tc>
        <w:tc>
          <w:tcPr>
            <w:tcW w:w="5268" w:type="dxa"/>
            <w:shd w:val="clear" w:color="auto" w:fill="auto"/>
            <w:noWrap w:val="0"/>
            <w:vAlign w:val="center"/>
          </w:tcPr>
          <w:p w14:paraId="5CF86BA3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印刷品的颜色是否准确、清晰度是否高、版面排版是否整齐等方面。</w:t>
            </w:r>
          </w:p>
          <w:p w14:paraId="53F7238D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一档（3分）：颜色偏差较大，清晰度一般，排版偶有错位或留白不均。</w:t>
            </w:r>
          </w:p>
          <w:p w14:paraId="436EEA52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二档（6分）：颜色基本准确，清晰度较好，排版整齐，留白合理。</w:t>
            </w:r>
          </w:p>
          <w:p w14:paraId="0AF352C3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三档（10分）：颜色完全符合色标要求，超高清晰度，排版精准美观，细节处理专业。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617D3A35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10分</w:t>
            </w:r>
          </w:p>
        </w:tc>
      </w:tr>
      <w:tr w14:paraId="6D867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tblCellSpacing w:w="0" w:type="dxa"/>
          <w:jc w:val="center"/>
        </w:trPr>
        <w:tc>
          <w:tcPr>
            <w:tcW w:w="547" w:type="dxa"/>
            <w:vMerge w:val="restart"/>
            <w:shd w:val="clear" w:color="auto" w:fill="auto"/>
            <w:noWrap w:val="0"/>
            <w:vAlign w:val="center"/>
          </w:tcPr>
          <w:p w14:paraId="7FA704DF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61" w:type="dxa"/>
            <w:vMerge w:val="restart"/>
            <w:shd w:val="clear" w:color="auto" w:fill="auto"/>
            <w:noWrap w:val="0"/>
            <w:vAlign w:val="center"/>
          </w:tcPr>
          <w:p w14:paraId="2F51F4B5"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商务分</w:t>
            </w:r>
          </w:p>
          <w:p w14:paraId="20DDCE7E"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1212" w:type="dxa"/>
            <w:shd w:val="clear" w:color="auto" w:fill="auto"/>
            <w:noWrap w:val="0"/>
            <w:vAlign w:val="center"/>
          </w:tcPr>
          <w:p w14:paraId="79E67B6F">
            <w:pPr>
              <w:pStyle w:val="28"/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项目经验</w:t>
            </w:r>
          </w:p>
        </w:tc>
        <w:tc>
          <w:tcPr>
            <w:tcW w:w="5268" w:type="dxa"/>
            <w:shd w:val="clear" w:color="auto" w:fill="auto"/>
            <w:noWrap w:val="0"/>
            <w:vAlign w:val="center"/>
          </w:tcPr>
          <w:p w14:paraId="5ED67512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近2年内（2023年1月1日至今），承担过类似印刷项目，每提供一个项目合同得5分，最高得10分。</w:t>
            </w:r>
          </w:p>
          <w:p w14:paraId="510DB640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需提供项目合同关键页复印件（包含项目名称、服务内容、合同签订时间、双方盖章等），原件备查。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72526A23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分</w:t>
            </w:r>
          </w:p>
        </w:tc>
      </w:tr>
      <w:tr w14:paraId="1295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tblCellSpacing w:w="0" w:type="dxa"/>
          <w:jc w:val="center"/>
        </w:trPr>
        <w:tc>
          <w:tcPr>
            <w:tcW w:w="547" w:type="dxa"/>
            <w:vMerge w:val="continue"/>
            <w:shd w:val="clear" w:color="auto" w:fill="auto"/>
            <w:noWrap w:val="0"/>
            <w:vAlign w:val="center"/>
          </w:tcPr>
          <w:p w14:paraId="115E5412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Merge w:val="continue"/>
            <w:shd w:val="clear" w:color="auto" w:fill="auto"/>
            <w:noWrap w:val="0"/>
            <w:vAlign w:val="center"/>
          </w:tcPr>
          <w:p w14:paraId="61C68762"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shd w:val="clear" w:color="auto" w:fill="auto"/>
            <w:noWrap w:val="0"/>
            <w:vAlign w:val="center"/>
          </w:tcPr>
          <w:p w14:paraId="4276CFA7">
            <w:pPr>
              <w:pStyle w:val="28"/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响应速度</w:t>
            </w:r>
          </w:p>
        </w:tc>
        <w:tc>
          <w:tcPr>
            <w:tcW w:w="5268" w:type="dxa"/>
            <w:shd w:val="clear" w:color="auto" w:fill="auto"/>
            <w:noWrap w:val="0"/>
            <w:vAlign w:val="center"/>
          </w:tcPr>
          <w:p w14:paraId="74C39222">
            <w:pPr>
              <w:pStyle w:val="2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一档（3分）：接到售后服务请求后24小时以上才予以响应，且未主动说明延迟原因；响应方式仅为文字回复，未提供具体处理思路或联系人信息。​</w:t>
            </w:r>
          </w:p>
          <w:p w14:paraId="7C069D3D">
            <w:pPr>
              <w:pStyle w:val="2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二档（6分）：接到售后服务请求后12-24小时内响应，能简单说明处理方向；响应方式包含文字回复及初步沟通，可提供基础问题解答。​</w:t>
            </w:r>
          </w:p>
          <w:p w14:paraId="1BB4B084">
            <w:pPr>
              <w:pStyle w:val="2"/>
              <w:ind w:firstLine="560" w:firstLineChars="200"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三档（10分）：接到售后服务请求后6-12小时内快速响应，主动告知处理流程和预计解决时间；响应方式涵盖电话沟通、文字说明及专人对接，能针对问题提供详细解决方案框架。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60F94E37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分</w:t>
            </w:r>
          </w:p>
        </w:tc>
      </w:tr>
      <w:tr w14:paraId="28F5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tblCellSpacing w:w="0" w:type="dxa"/>
          <w:jc w:val="center"/>
        </w:trPr>
        <w:tc>
          <w:tcPr>
            <w:tcW w:w="547" w:type="dxa"/>
            <w:vMerge w:val="continue"/>
            <w:shd w:val="clear" w:color="auto" w:fill="auto"/>
            <w:noWrap w:val="0"/>
            <w:vAlign w:val="center"/>
          </w:tcPr>
          <w:p w14:paraId="4B07867D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Merge w:val="continue"/>
            <w:shd w:val="clear" w:color="auto" w:fill="auto"/>
            <w:noWrap w:val="0"/>
            <w:vAlign w:val="center"/>
          </w:tcPr>
          <w:p w14:paraId="00085A56"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shd w:val="clear" w:color="auto" w:fill="auto"/>
            <w:noWrap w:val="0"/>
            <w:vAlign w:val="center"/>
          </w:tcPr>
          <w:p w14:paraId="205A08ED">
            <w:pPr>
              <w:pStyle w:val="28"/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交货期控制</w:t>
            </w:r>
          </w:p>
        </w:tc>
        <w:tc>
          <w:tcPr>
            <w:tcW w:w="5268" w:type="dxa"/>
            <w:shd w:val="clear" w:color="auto" w:fill="auto"/>
            <w:noWrap w:val="0"/>
            <w:vAlign w:val="center"/>
          </w:tcPr>
          <w:p w14:paraId="247BB127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投标商是否能准时交付产品，是否能灵活应对突发情况，保证印刷品的及时性。</w:t>
            </w:r>
          </w:p>
          <w:p w14:paraId="2BEED2B7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一档（3分）：基本承诺交货期，未提供应急保障方案。</w:t>
            </w:r>
          </w:p>
          <w:p w14:paraId="4442F633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二档（6分）：承诺按时交付，提供简单应急处理措施。</w:t>
            </w:r>
          </w:p>
          <w:p w14:paraId="19B8F71F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420"/>
              <w:jc w:val="both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三档（10分）：在规定时间内完成印刷品交付，售后服务响应及时、态度良好，提供完善的进度跟踪机制和突发情况应对预案。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762CEC2E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分</w:t>
            </w:r>
          </w:p>
        </w:tc>
      </w:tr>
      <w:tr w14:paraId="2AF4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tblCellSpacing w:w="0" w:type="dxa"/>
          <w:jc w:val="center"/>
        </w:trPr>
        <w:tc>
          <w:tcPr>
            <w:tcW w:w="2008" w:type="dxa"/>
            <w:gridSpan w:val="2"/>
            <w:shd w:val="clear" w:color="auto" w:fill="auto"/>
            <w:noWrap w:val="0"/>
            <w:vAlign w:val="center"/>
          </w:tcPr>
          <w:p w14:paraId="2AA0169C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总得分</w:t>
            </w:r>
          </w:p>
        </w:tc>
        <w:tc>
          <w:tcPr>
            <w:tcW w:w="6480" w:type="dxa"/>
            <w:gridSpan w:val="2"/>
            <w:shd w:val="clear" w:color="auto" w:fill="auto"/>
            <w:noWrap w:val="0"/>
            <w:vAlign w:val="center"/>
          </w:tcPr>
          <w:p w14:paraId="05BB462D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1+2+3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3468C843">
            <w:pPr>
              <w:pStyle w:val="2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100分</w:t>
            </w:r>
          </w:p>
        </w:tc>
      </w:tr>
    </w:tbl>
    <w:p w14:paraId="6BDFE702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560" w:lineRule="exact"/>
        <w:ind w:firstLine="640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四、成交候选人推荐原则</w:t>
      </w:r>
    </w:p>
    <w:p w14:paraId="102159B9">
      <w:pPr>
        <w:pStyle w:val="2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（一）评审小组按报价人的总得分由高到低排列成交候选人顺序（总得分相同的，由全体评审小组人员投票确定），并依照次序确定成交候选人。采购人应当确定评审小组推荐排名第一的成交候选人为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此次项目成交供应商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。排名第一的成交候选人拒绝签订采购合同的，采购人可以确定排名第二的成交候选人为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项目成交供应商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。排名第二的成交候选人因前款规定的同样原因不能签订合同的，采购人可以确定排名第三的成交候选人为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项目成交供应商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，其余以此类推。</w:t>
      </w:r>
    </w:p>
    <w:p w14:paraId="583B973B">
      <w:pPr>
        <w:pStyle w:val="2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二）评审小组认为，某报价人的有效报价或者某些分项报价明显不合理或者低于成本，有可能影响商品质量和不能诚信履约的，应要求其在规定的期限内提供书面文件予以解释说明，并提交相关证明材料，否则，评审小组可以取消该报价人的成交候选人资格，按顺序由排在后面的成交候选人递补，以此类推。</w:t>
      </w:r>
    </w:p>
    <w:p w14:paraId="05BD07F1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560" w:lineRule="exact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161723A">
      <w:pPr>
        <w:pStyle w:val="2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6DFE97B">
      <w:pPr>
        <w:keepNext w:val="0"/>
        <w:keepLines w:val="0"/>
        <w:pageBreakBefore w:val="0"/>
        <w:widowControl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sectPr>
      <w:pgSz w:w="11906" w:h="16838"/>
      <w:pgMar w:top="1440" w:right="1576" w:bottom="1440" w:left="1576" w:header="851" w:footer="992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trackedChanges"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C708A"/>
    <w:rsid w:val="0BFF25BC"/>
    <w:rsid w:val="12EE5B49"/>
    <w:rsid w:val="16A2615F"/>
    <w:rsid w:val="18836AA1"/>
    <w:rsid w:val="1B52395E"/>
    <w:rsid w:val="21A60D5F"/>
    <w:rsid w:val="29F45C48"/>
    <w:rsid w:val="2A9E7B6E"/>
    <w:rsid w:val="2AD21111"/>
    <w:rsid w:val="2B940F71"/>
    <w:rsid w:val="2D4F2E55"/>
    <w:rsid w:val="354854D6"/>
    <w:rsid w:val="383C0547"/>
    <w:rsid w:val="387C248B"/>
    <w:rsid w:val="3B683DC6"/>
    <w:rsid w:val="55ED715E"/>
    <w:rsid w:val="60384BCD"/>
    <w:rsid w:val="68011F10"/>
    <w:rsid w:val="69F06D97"/>
    <w:rsid w:val="6D446505"/>
    <w:rsid w:val="75273889"/>
    <w:rsid w:val="765C4908"/>
    <w:rsid w:val="79C6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24"/>
      <w:szCs w:val="24"/>
      <w:lang w:val="en-US" w:eastAsia="zh-CN" w:bidi="ar"/>
    </w:rPr>
  </w:style>
  <w:style w:type="paragraph" w:styleId="7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sz w:val="24"/>
      <w:lang w:val="en-US" w:eastAsia="zh-CN" w:bidi="ar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31"/>
    <w:link w:val="4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31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3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31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31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31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31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6">
    <w:name w:val="Title Char"/>
    <w:basedOn w:val="31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2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1"/>
    <w:link w:val="19"/>
    <w:qFormat/>
    <w:uiPriority w:val="99"/>
  </w:style>
  <w:style w:type="character" w:customStyle="1" w:styleId="53">
    <w:name w:val="Footer Char"/>
    <w:basedOn w:val="31"/>
    <w:link w:val="18"/>
    <w:qFormat/>
    <w:uiPriority w:val="99"/>
  </w:style>
  <w:style w:type="character" w:customStyle="1" w:styleId="54">
    <w:name w:val="Caption Char"/>
    <w:link w:val="18"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63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65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67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0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75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9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0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1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84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5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8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91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92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95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96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9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10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14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17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21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22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28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2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3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64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65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66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9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71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72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80">
    <w:name w:val="Footnote Text Char"/>
    <w:link w:val="23"/>
    <w:qFormat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4</Pages>
  <Words>1871</Words>
  <Characters>1919</Characters>
  <TotalTime>17</TotalTime>
  <ScaleCrop>false</ScaleCrop>
  <LinksUpToDate>false</LinksUpToDate>
  <CharactersWithSpaces>1920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gxws</dc:creator>
  <cp:lastModifiedBy>凌珊</cp:lastModifiedBy>
  <cp:lastPrinted>2025-09-03T08:37:10Z</cp:lastPrinted>
  <dcterms:modified xsi:type="dcterms:W3CDTF">2025-09-03T08:38:17Z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eyJoZGlkIjoiZjY2YTM3NTVmMjZhYTQzZmFmYTI1YTFhODU2MmRlMjIiLCJ1c2VySWQiOiI5MzE5OTU4ODMifQ==</vt:lpwstr>
  </property>
  <property fmtid="{D5CDD505-2E9C-101B-9397-08002B2CF9AE}" pid="4" name="ICV">
    <vt:lpwstr>C5FD3DFE1CED4645A16EE548C1074C72_13</vt:lpwstr>
  </property>
</Properties>
</file>