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24C31">
      <w:pPr>
        <w:rPr>
          <w:rFonts w:hint="eastAsia" w:ascii="宋体" w:hAnsi="宋体"/>
          <w:b/>
          <w:bCs/>
          <w:color w:val="auto"/>
          <w:sz w:val="52"/>
          <w:highlight w:val="none"/>
        </w:rPr>
      </w:pPr>
      <w:r>
        <w:rPr>
          <w:rFonts w:ascii="宋体" w:hAnsi="宋体"/>
          <w:color w:val="auto"/>
          <w:highlight w:val="none"/>
        </w:rPr>
        <w:drawing>
          <wp:anchor distT="0" distB="0" distL="114300" distR="114300" simplePos="0" relativeHeight="251660288" behindDoc="0" locked="0" layoutInCell="1" allowOverlap="1">
            <wp:simplePos x="0" y="0"/>
            <wp:positionH relativeFrom="column">
              <wp:posOffset>2433320</wp:posOffset>
            </wp:positionH>
            <wp:positionV relativeFrom="paragraph">
              <wp:posOffset>354965</wp:posOffset>
            </wp:positionV>
            <wp:extent cx="752475" cy="752475"/>
            <wp:effectExtent l="0" t="0" r="0" b="0"/>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8"/>
                    <a:stretch>
                      <a:fillRect/>
                    </a:stretch>
                  </pic:blipFill>
                  <pic:spPr>
                    <a:xfrm>
                      <a:off x="0" y="0"/>
                      <a:ext cx="752475" cy="752475"/>
                    </a:xfrm>
                    <a:prstGeom prst="rect">
                      <a:avLst/>
                    </a:prstGeom>
                    <a:noFill/>
                    <a:ln>
                      <a:noFill/>
                    </a:ln>
                  </pic:spPr>
                </pic:pic>
              </a:graphicData>
            </a:graphic>
          </wp:anchor>
        </w:drawing>
      </w:r>
    </w:p>
    <w:p w14:paraId="0CE06A6B">
      <w:pPr>
        <w:rPr>
          <w:rFonts w:hint="eastAsia" w:ascii="宋体" w:hAnsi="宋体"/>
          <w:b/>
          <w:bCs/>
          <w:color w:val="auto"/>
          <w:sz w:val="52"/>
          <w:highlight w:val="none"/>
        </w:rPr>
      </w:pPr>
    </w:p>
    <w:p w14:paraId="57C2FCE6">
      <w:pPr>
        <w:rPr>
          <w:rFonts w:hint="eastAsia" w:ascii="宋体" w:hAnsi="宋体"/>
          <w:color w:val="auto"/>
          <w:highlight w:val="none"/>
        </w:rPr>
      </w:pPr>
    </w:p>
    <w:p w14:paraId="3602CCB8">
      <w:pPr>
        <w:ind w:firstLine="198" w:firstLineChars="41"/>
        <w:jc w:val="center"/>
        <w:rPr>
          <w:rFonts w:hint="eastAsia" w:ascii="宋体" w:hAnsi="宋体"/>
          <w:b/>
          <w:bCs/>
          <w:color w:val="auto"/>
          <w:sz w:val="48"/>
          <w:szCs w:val="48"/>
          <w:highlight w:val="none"/>
        </w:rPr>
      </w:pPr>
      <w:r>
        <w:rPr>
          <w:rFonts w:hint="eastAsia" w:ascii="宋体" w:hAnsi="宋体"/>
          <w:b/>
          <w:bCs/>
          <w:color w:val="auto"/>
          <w:sz w:val="48"/>
          <w:szCs w:val="48"/>
          <w:highlight w:val="none"/>
        </w:rPr>
        <w:t>广西中信恒泰工程顾问有限公司</w:t>
      </w:r>
    </w:p>
    <w:p w14:paraId="13A0EDEB">
      <w:pPr>
        <w:ind w:firstLine="199" w:firstLineChars="66"/>
        <w:jc w:val="center"/>
        <w:rPr>
          <w:rFonts w:hint="eastAsia" w:ascii="宋体" w:hAnsi="宋体"/>
          <w:b/>
          <w:bCs/>
          <w:color w:val="auto"/>
          <w:sz w:val="30"/>
          <w:szCs w:val="30"/>
          <w:highlight w:val="none"/>
        </w:rPr>
      </w:pPr>
      <w:r>
        <w:rPr>
          <w:rFonts w:hint="eastAsia" w:ascii="宋体" w:hAnsi="宋体"/>
          <w:b/>
          <w:color w:val="auto"/>
          <w:sz w:val="30"/>
          <w:szCs w:val="30"/>
          <w:highlight w:val="none"/>
        </w:rPr>
        <w:t xml:space="preserve">Guangxi Zhongxinhengtai </w:t>
      </w:r>
      <w:r>
        <w:rPr>
          <w:rFonts w:hint="eastAsia" w:ascii="宋体" w:hAnsi="宋体"/>
          <w:b/>
          <w:caps/>
          <w:color w:val="auto"/>
          <w:sz w:val="30"/>
          <w:szCs w:val="30"/>
          <w:highlight w:val="none"/>
        </w:rPr>
        <w:t>e</w:t>
      </w:r>
      <w:r>
        <w:rPr>
          <w:rFonts w:hint="eastAsia" w:ascii="宋体" w:hAnsi="宋体"/>
          <w:b/>
          <w:color w:val="auto"/>
          <w:sz w:val="30"/>
          <w:szCs w:val="30"/>
          <w:highlight w:val="none"/>
        </w:rPr>
        <w:t xml:space="preserve">ngineering </w:t>
      </w:r>
      <w:r>
        <w:rPr>
          <w:rFonts w:hint="eastAsia" w:ascii="宋体" w:hAnsi="宋体"/>
          <w:b/>
          <w:caps/>
          <w:color w:val="auto"/>
          <w:sz w:val="30"/>
          <w:szCs w:val="30"/>
          <w:highlight w:val="none"/>
        </w:rPr>
        <w:t>c</w:t>
      </w:r>
      <w:r>
        <w:rPr>
          <w:rFonts w:hint="eastAsia" w:ascii="宋体" w:hAnsi="宋体"/>
          <w:b/>
          <w:color w:val="auto"/>
          <w:sz w:val="30"/>
          <w:szCs w:val="30"/>
          <w:highlight w:val="none"/>
        </w:rPr>
        <w:t xml:space="preserve">onsulting </w:t>
      </w:r>
      <w:r>
        <w:rPr>
          <w:rFonts w:hint="eastAsia" w:ascii="宋体" w:hAnsi="宋体"/>
          <w:b/>
          <w:caps/>
          <w:color w:val="auto"/>
          <w:sz w:val="30"/>
          <w:szCs w:val="30"/>
          <w:highlight w:val="none"/>
        </w:rPr>
        <w:t>c</w:t>
      </w:r>
      <w:r>
        <w:rPr>
          <w:rFonts w:hint="eastAsia" w:ascii="宋体" w:hAnsi="宋体"/>
          <w:b/>
          <w:color w:val="auto"/>
          <w:sz w:val="30"/>
          <w:szCs w:val="30"/>
          <w:highlight w:val="none"/>
        </w:rPr>
        <w:t xml:space="preserve">o., </w:t>
      </w:r>
      <w:r>
        <w:rPr>
          <w:rFonts w:hint="eastAsia" w:ascii="宋体" w:hAnsi="宋体"/>
          <w:b/>
          <w:caps/>
          <w:color w:val="auto"/>
          <w:sz w:val="30"/>
          <w:szCs w:val="30"/>
          <w:highlight w:val="none"/>
        </w:rPr>
        <w:t>l</w:t>
      </w:r>
      <w:r>
        <w:rPr>
          <w:rFonts w:hint="eastAsia" w:ascii="宋体" w:hAnsi="宋体"/>
          <w:b/>
          <w:color w:val="auto"/>
          <w:sz w:val="30"/>
          <w:szCs w:val="30"/>
          <w:highlight w:val="none"/>
        </w:rPr>
        <w:t>td</w:t>
      </w:r>
    </w:p>
    <w:p w14:paraId="344C91FF">
      <w:pPr>
        <w:pStyle w:val="12"/>
        <w:ind w:firstLine="400"/>
        <w:rPr>
          <w:rFonts w:hint="eastAsia" w:ascii="宋体" w:hAnsi="宋体"/>
          <w:color w:val="auto"/>
          <w:szCs w:val="21"/>
          <w:highlight w:val="none"/>
          <w14:shadow w14:blurRad="50800" w14:dist="38100" w14:dir="2700000" w14:sx="100000" w14:sy="100000" w14:kx="0" w14:ky="0" w14:algn="tl">
            <w14:srgbClr w14:val="000000">
              <w14:alpha w14:val="60000"/>
            </w14:srgbClr>
          </w14:shadow>
        </w:rPr>
      </w:pPr>
      <w:r>
        <w:rPr>
          <w:rFonts w:ascii="宋体" w:hAnsi="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77470</wp:posOffset>
                </wp:positionV>
                <wp:extent cx="5944235" cy="8255"/>
                <wp:effectExtent l="0" t="0" r="0" b="0"/>
                <wp:wrapNone/>
                <wp:docPr id="1" name="直线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11.2pt;margin-top:6.1pt;height:0.65pt;width:468.05pt;z-index:251659264;mso-width-relative:page;mso-height-relative:page;" filled="f" stroked="t" coordsize="21600,21600" o:gfxdata="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B8WPXAAAACQEAAA8AAAAAAAAAAQAgAAAAIgAAAGRycy9kb3ducmV2LnhtbFBLAQIUABQA&#10;AAAIAIdO4kDeaa0R8QEAAOkDAAAOAAAAAAAAAAEAIAAAACYBAABkcnMvZTJvRG9jLnhtbFBLBQYA&#10;AAAABgAGAFkBAACJBQAAAAA=&#10;">
                <v:fill on="f" focussize="0,0"/>
                <v:stroke weight="2.25pt" color="#000000" joinstyle="round"/>
                <v:imagedata o:title=""/>
                <o:lock v:ext="edit" aspectratio="f"/>
              </v:line>
            </w:pict>
          </mc:Fallback>
        </mc:AlternateContent>
      </w:r>
      <w:r>
        <w:rPr>
          <w:rFonts w:hint="eastAsia" w:ascii="宋体" w:hAnsi="宋体"/>
          <w:b/>
          <w:bCs/>
          <w:color w:val="auto"/>
          <w:sz w:val="10"/>
          <w:highlight w:val="none"/>
        </w:rPr>
        <w:t xml:space="preserve">                                                                                                </w:t>
      </w:r>
    </w:p>
    <w:p w14:paraId="08995596">
      <w:pPr>
        <w:snapToGrid w:val="0"/>
        <w:jc w:val="center"/>
        <w:rPr>
          <w:rFonts w:hint="eastAsia" w:ascii="宋体" w:hAnsi="宋体"/>
          <w:b/>
          <w:color w:val="auto"/>
          <w:sz w:val="72"/>
          <w:szCs w:val="72"/>
          <w:highlight w:val="none"/>
        </w:rPr>
      </w:pPr>
    </w:p>
    <w:p w14:paraId="54B85B95">
      <w:pPr>
        <w:snapToGrid w:val="0"/>
        <w:jc w:val="center"/>
        <w:rPr>
          <w:rFonts w:hint="eastAsia" w:ascii="宋体" w:hAnsi="宋体" w:cs="方正小标宋简体"/>
          <w:b/>
          <w:color w:val="auto"/>
          <w:sz w:val="44"/>
          <w:szCs w:val="44"/>
          <w:highlight w:val="none"/>
        </w:rPr>
      </w:pPr>
      <w:r>
        <w:rPr>
          <w:rFonts w:hint="eastAsia" w:ascii="宋体" w:hAnsi="宋体"/>
          <w:b/>
          <w:color w:val="auto"/>
          <w:sz w:val="72"/>
          <w:szCs w:val="72"/>
          <w:highlight w:val="none"/>
        </w:rPr>
        <w:t>竞争性磋商采购文件</w:t>
      </w:r>
    </w:p>
    <w:p w14:paraId="16BCD9D7">
      <w:pPr>
        <w:jc w:val="center"/>
        <w:rPr>
          <w:rFonts w:hint="eastAsia" w:ascii="宋体" w:hAnsi="宋体"/>
          <w:b/>
          <w:color w:val="auto"/>
          <w:sz w:val="32"/>
          <w:szCs w:val="32"/>
          <w:highlight w:val="none"/>
        </w:rPr>
      </w:pPr>
      <w:r>
        <w:rPr>
          <w:rFonts w:hint="eastAsia" w:ascii="宋体" w:hAnsi="宋体"/>
          <w:b/>
          <w:color w:val="auto"/>
          <w:sz w:val="32"/>
          <w:szCs w:val="32"/>
          <w:highlight w:val="none"/>
        </w:rPr>
        <w:t>（服务类）</w:t>
      </w:r>
    </w:p>
    <w:p w14:paraId="0E550B1B">
      <w:pPr>
        <w:rPr>
          <w:rFonts w:hint="eastAsia" w:ascii="宋体" w:hAnsi="宋体"/>
          <w:color w:val="auto"/>
          <w:highlight w:val="none"/>
        </w:rPr>
      </w:pPr>
    </w:p>
    <w:p w14:paraId="7FFAAB22">
      <w:pPr>
        <w:rPr>
          <w:rFonts w:hint="eastAsia" w:ascii="宋体" w:hAnsi="宋体"/>
          <w:color w:val="auto"/>
          <w:highlight w:val="none"/>
        </w:rPr>
      </w:pPr>
    </w:p>
    <w:p w14:paraId="303E4FB0">
      <w:pPr>
        <w:rPr>
          <w:rFonts w:hint="eastAsia" w:ascii="宋体" w:hAnsi="宋体"/>
          <w:color w:val="auto"/>
          <w:highlight w:val="none"/>
        </w:rPr>
      </w:pPr>
    </w:p>
    <w:p w14:paraId="1A78794B">
      <w:pPr>
        <w:rPr>
          <w:rFonts w:hint="eastAsia" w:ascii="宋体" w:hAnsi="宋体"/>
          <w:color w:val="auto"/>
          <w:highlight w:val="none"/>
        </w:rPr>
      </w:pPr>
    </w:p>
    <w:p w14:paraId="3E985CCF">
      <w:pPr>
        <w:rPr>
          <w:rFonts w:hint="eastAsia" w:ascii="宋体" w:hAnsi="宋体"/>
          <w:color w:val="auto"/>
          <w:highlight w:val="none"/>
        </w:rPr>
      </w:pPr>
    </w:p>
    <w:p w14:paraId="0E324844">
      <w:pPr>
        <w:jc w:val="center"/>
        <w:rPr>
          <w:rFonts w:hint="eastAsia" w:ascii="宋体" w:hAnsi="宋体"/>
          <w:b/>
          <w:color w:val="auto"/>
          <w:sz w:val="32"/>
          <w:szCs w:val="32"/>
          <w:highlight w:val="none"/>
        </w:rPr>
      </w:pPr>
    </w:p>
    <w:p w14:paraId="1DF71C7B">
      <w:pPr>
        <w:jc w:val="center"/>
        <w:rPr>
          <w:rFonts w:hint="eastAsia" w:ascii="宋体" w:hAnsi="宋体"/>
          <w:b/>
          <w:color w:val="auto"/>
          <w:sz w:val="32"/>
          <w:szCs w:val="32"/>
          <w:highlight w:val="none"/>
        </w:rPr>
      </w:pPr>
    </w:p>
    <w:p w14:paraId="5A21DF71">
      <w:pPr>
        <w:spacing w:line="360" w:lineRule="auto"/>
        <w:ind w:left="2244" w:leftChars="304" w:hanging="1606" w:hangingChars="500"/>
        <w:rPr>
          <w:rFonts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val="en-US" w:eastAsia="zh-CN"/>
        </w:rPr>
        <w:t>2024年</w:t>
      </w:r>
      <w:r>
        <w:rPr>
          <w:rFonts w:hint="eastAsia" w:ascii="宋体" w:hAnsi="宋体"/>
          <w:b/>
          <w:color w:val="auto"/>
          <w:sz w:val="32"/>
          <w:szCs w:val="32"/>
          <w:highlight w:val="none"/>
        </w:rPr>
        <w:t>网络安全运维服务采购</w:t>
      </w:r>
    </w:p>
    <w:p w14:paraId="55706A22">
      <w:pPr>
        <w:spacing w:line="360" w:lineRule="auto"/>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项目编号：ZXHTZB2</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04XG01B</w:t>
      </w:r>
      <w:r>
        <w:rPr>
          <w:rFonts w:hint="eastAsia" w:ascii="宋体" w:hAnsi="宋体"/>
          <w:b/>
          <w:color w:val="auto"/>
          <w:sz w:val="32"/>
          <w:szCs w:val="32"/>
          <w:highlight w:val="none"/>
          <w:lang w:val="en-US" w:eastAsia="zh-CN"/>
        </w:rPr>
        <w:t>085C</w:t>
      </w:r>
    </w:p>
    <w:p w14:paraId="12B5CB63">
      <w:pPr>
        <w:rPr>
          <w:rFonts w:hint="eastAsia" w:ascii="宋体" w:hAnsi="宋体"/>
          <w:color w:val="auto"/>
          <w:highlight w:val="none"/>
        </w:rPr>
      </w:pPr>
    </w:p>
    <w:p w14:paraId="2AE8E8A3">
      <w:pPr>
        <w:spacing w:line="360" w:lineRule="auto"/>
        <w:ind w:firstLine="890" w:firstLineChars="445"/>
        <w:rPr>
          <w:rFonts w:hint="eastAsia" w:ascii="宋体" w:hAnsi="宋体"/>
          <w:b/>
          <w:color w:val="auto"/>
          <w:sz w:val="32"/>
          <w:szCs w:val="32"/>
          <w:highlight w:val="none"/>
        </w:rPr>
      </w:pPr>
      <w:r>
        <w:rPr>
          <w:rFonts w:ascii="宋体" w:hAnsi="宋体"/>
          <w:color w:val="auto"/>
          <w:sz w:val="20"/>
          <w:highlight w:val="none"/>
          <w:u w:val="single"/>
        </w:rPr>
        <mc:AlternateContent>
          <mc:Choice Requires="wps">
            <w:drawing>
              <wp:anchor distT="0" distB="0" distL="114300" distR="114300" simplePos="0" relativeHeight="251661312" behindDoc="0" locked="0" layoutInCell="1" allowOverlap="1">
                <wp:simplePos x="0" y="0"/>
                <wp:positionH relativeFrom="column">
                  <wp:posOffset>-102235</wp:posOffset>
                </wp:positionH>
                <wp:positionV relativeFrom="paragraph">
                  <wp:posOffset>127000</wp:posOffset>
                </wp:positionV>
                <wp:extent cx="5944235" cy="8255"/>
                <wp:effectExtent l="0" t="0" r="0" b="0"/>
                <wp:wrapNone/>
                <wp:docPr id="3" name="直线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8.05pt;margin-top:10pt;height:0.65pt;width:468.05pt;z-index:251661312;mso-width-relative:page;mso-height-relative:page;" filled="f" stroked="t" coordsize="21600,21600" o:gfxdata="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ENDr3WAAAACQEAAA8AAAAAAAAAAQAgAAAAIgAAAGRycy9kb3ducmV2LnhtbFBLAQIUABQA&#10;AAAIAIdO4kA5uLD18gEAAOkDAAAOAAAAAAAAAAEAIAAAACUBAABkcnMvZTJvRG9jLnhtbFBLBQYA&#10;AAAABgAGAFkBAACJBQAAAAA=&#10;">
                <v:fill on="f" focussize="0,0"/>
                <v:stroke weight="2.25pt" color="#000000" joinstyle="round"/>
                <v:imagedata o:title=""/>
                <o:lock v:ext="edit" aspectratio="f"/>
              </v:line>
            </w:pict>
          </mc:Fallback>
        </mc:AlternateContent>
      </w:r>
    </w:p>
    <w:p w14:paraId="5F12D832">
      <w:pPr>
        <w:spacing w:line="360" w:lineRule="auto"/>
        <w:ind w:firstLine="643" w:firstLineChars="200"/>
        <w:rPr>
          <w:rFonts w:hint="eastAsia" w:ascii="宋体" w:hAnsi="宋体"/>
          <w:b/>
          <w:color w:val="auto"/>
          <w:sz w:val="32"/>
          <w:szCs w:val="32"/>
          <w:highlight w:val="none"/>
        </w:rPr>
      </w:pPr>
      <w:r>
        <w:rPr>
          <w:rFonts w:hint="eastAsia" w:ascii="宋体" w:hAnsi="宋体"/>
          <w:b/>
          <w:color w:val="auto"/>
          <w:sz w:val="32"/>
          <w:szCs w:val="32"/>
          <w:highlight w:val="none"/>
        </w:rPr>
        <w:t>采购人：广西壮族自治区卫生健康统计信息中心</w:t>
      </w:r>
    </w:p>
    <w:p w14:paraId="0AFBE6F8">
      <w:pPr>
        <w:spacing w:line="360" w:lineRule="auto"/>
        <w:ind w:firstLine="643" w:firstLineChars="200"/>
        <w:rPr>
          <w:rFonts w:hint="eastAsia" w:ascii="宋体" w:hAnsi="宋体"/>
          <w:b/>
          <w:color w:val="auto"/>
          <w:sz w:val="32"/>
          <w:szCs w:val="32"/>
          <w:highlight w:val="none"/>
        </w:rPr>
      </w:pPr>
      <w:r>
        <w:rPr>
          <w:rFonts w:hint="eastAsia" w:ascii="宋体" w:hAnsi="宋体"/>
          <w:b/>
          <w:color w:val="auto"/>
          <w:sz w:val="32"/>
          <w:szCs w:val="32"/>
          <w:highlight w:val="none"/>
        </w:rPr>
        <w:t>采购代理机构：广西中信恒泰工程顾问有限公司</w:t>
      </w:r>
    </w:p>
    <w:p w14:paraId="1BDC544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8</w:t>
      </w:r>
      <w:r>
        <w:rPr>
          <w:rFonts w:hint="eastAsia" w:ascii="宋体" w:hAnsi="宋体"/>
          <w:b/>
          <w:color w:val="auto"/>
          <w:sz w:val="32"/>
          <w:szCs w:val="32"/>
          <w:highlight w:val="none"/>
        </w:rPr>
        <w:t>月</w:t>
      </w:r>
    </w:p>
    <w:p w14:paraId="593F9114">
      <w:pPr>
        <w:spacing w:line="360" w:lineRule="auto"/>
        <w:jc w:val="center"/>
        <w:rPr>
          <w:rFonts w:hint="eastAsia" w:ascii="宋体" w:hAnsi="宋体"/>
          <w:b/>
          <w:color w:val="auto"/>
          <w:sz w:val="44"/>
          <w:szCs w:val="44"/>
          <w:highlight w:val="none"/>
        </w:rPr>
      </w:pPr>
      <w:r>
        <w:rPr>
          <w:rFonts w:ascii="宋体" w:hAnsi="宋体"/>
          <w:b/>
          <w:color w:val="auto"/>
          <w:sz w:val="32"/>
          <w:szCs w:val="32"/>
          <w:highlight w:val="none"/>
        </w:rPr>
        <w:br w:type="page"/>
      </w:r>
      <w:r>
        <w:rPr>
          <w:rFonts w:hint="eastAsia" w:ascii="宋体" w:hAnsi="宋体"/>
          <w:b/>
          <w:color w:val="auto"/>
          <w:sz w:val="44"/>
          <w:szCs w:val="44"/>
          <w:highlight w:val="none"/>
        </w:rPr>
        <w:t>目   录</w:t>
      </w:r>
    </w:p>
    <w:p w14:paraId="0480F1FE">
      <w:pPr>
        <w:spacing w:line="400" w:lineRule="exact"/>
        <w:jc w:val="center"/>
        <w:rPr>
          <w:rFonts w:hint="eastAsia" w:ascii="宋体" w:hAnsi="宋体"/>
          <w:b/>
          <w:color w:val="auto"/>
          <w:sz w:val="44"/>
          <w:szCs w:val="44"/>
          <w:highlight w:val="none"/>
        </w:rPr>
      </w:pPr>
    </w:p>
    <w:p w14:paraId="7E0CDE87">
      <w:pPr>
        <w:pStyle w:val="21"/>
        <w:tabs>
          <w:tab w:val="right" w:leader="dot" w:pos="8992"/>
          <w:tab w:val="clear" w:pos="8296"/>
        </w:tabs>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TOC \o "1-3" \h \z \u </w:instrText>
      </w:r>
      <w:r>
        <w:rPr>
          <w:rFonts w:hint="eastAsia" w:ascii="宋体" w:hAnsi="宋体" w:cs="宋体"/>
          <w:b/>
          <w:color w:val="auto"/>
          <w:sz w:val="28"/>
          <w:szCs w:val="28"/>
          <w:highlight w:val="none"/>
        </w:rPr>
        <w:fldChar w:fldCharType="separate"/>
      </w:r>
      <w:r>
        <w:rPr>
          <w:rFonts w:hint="eastAsia" w:ascii="宋体" w:hAnsi="宋体" w:cs="宋体"/>
          <w:color w:val="auto"/>
          <w:szCs w:val="28"/>
          <w:highlight w:val="none"/>
        </w:rPr>
        <w:fldChar w:fldCharType="begin"/>
      </w:r>
      <w:r>
        <w:rPr>
          <w:rFonts w:hint="eastAsia" w:ascii="宋体" w:hAnsi="宋体" w:cs="宋体"/>
          <w:szCs w:val="28"/>
          <w:highlight w:val="none"/>
        </w:rPr>
        <w:instrText xml:space="preserve"> HYPERLINK \l _Toc13000 </w:instrText>
      </w:r>
      <w:r>
        <w:rPr>
          <w:rFonts w:hint="eastAsia" w:ascii="宋体" w:hAnsi="宋体" w:cs="宋体"/>
          <w:szCs w:val="28"/>
          <w:highlight w:val="none"/>
        </w:rPr>
        <w:fldChar w:fldCharType="separate"/>
      </w:r>
      <w:r>
        <w:rPr>
          <w:rFonts w:hint="eastAsia" w:ascii="宋体" w:hAnsi="宋体"/>
          <w:highlight w:val="none"/>
        </w:rPr>
        <w:t>第一章  竞争性磋商公告</w:t>
      </w:r>
      <w:r>
        <w:tab/>
      </w:r>
      <w:r>
        <w:fldChar w:fldCharType="begin"/>
      </w:r>
      <w:r>
        <w:instrText xml:space="preserve"> PAGEREF _Toc13000 \h </w:instrText>
      </w:r>
      <w:r>
        <w:fldChar w:fldCharType="separate"/>
      </w:r>
      <w:r>
        <w:t>1</w:t>
      </w:r>
      <w:r>
        <w:fldChar w:fldCharType="end"/>
      </w:r>
      <w:r>
        <w:rPr>
          <w:rFonts w:hint="eastAsia" w:ascii="宋体" w:hAnsi="宋体" w:cs="宋体"/>
          <w:color w:val="auto"/>
          <w:szCs w:val="28"/>
          <w:highlight w:val="none"/>
        </w:rPr>
        <w:fldChar w:fldCharType="end"/>
      </w:r>
    </w:p>
    <w:p w14:paraId="52C42E56">
      <w:pPr>
        <w:pStyle w:val="21"/>
        <w:tabs>
          <w:tab w:val="right" w:leader="dot" w:pos="8992"/>
          <w:tab w:val="clear" w:pos="8296"/>
        </w:tabs>
      </w:pPr>
      <w:r>
        <w:rPr>
          <w:rFonts w:hint="eastAsia" w:ascii="宋体" w:hAnsi="宋体" w:cs="宋体"/>
          <w:color w:val="auto"/>
          <w:szCs w:val="28"/>
          <w:highlight w:val="none"/>
        </w:rPr>
        <w:fldChar w:fldCharType="begin"/>
      </w:r>
      <w:r>
        <w:rPr>
          <w:rFonts w:hint="eastAsia" w:ascii="宋体" w:hAnsi="宋体" w:cs="宋体"/>
          <w:szCs w:val="28"/>
          <w:highlight w:val="none"/>
        </w:rPr>
        <w:instrText xml:space="preserve"> HYPERLINK \l _Toc15479 </w:instrText>
      </w:r>
      <w:r>
        <w:rPr>
          <w:rFonts w:hint="eastAsia" w:ascii="宋体" w:hAnsi="宋体" w:cs="宋体"/>
          <w:szCs w:val="28"/>
          <w:highlight w:val="none"/>
        </w:rPr>
        <w:fldChar w:fldCharType="separate"/>
      </w:r>
      <w:r>
        <w:rPr>
          <w:rFonts w:hint="eastAsia" w:ascii="宋体" w:hAnsi="宋体"/>
          <w:highlight w:val="none"/>
        </w:rPr>
        <w:t>第二章  供应商须知</w:t>
      </w:r>
      <w:r>
        <w:tab/>
      </w:r>
      <w:r>
        <w:fldChar w:fldCharType="begin"/>
      </w:r>
      <w:r>
        <w:instrText xml:space="preserve"> PAGEREF _Toc15479 \h </w:instrText>
      </w:r>
      <w:r>
        <w:fldChar w:fldCharType="separate"/>
      </w:r>
      <w:r>
        <w:t>4</w:t>
      </w:r>
      <w:r>
        <w:fldChar w:fldCharType="end"/>
      </w:r>
      <w:r>
        <w:rPr>
          <w:rFonts w:hint="eastAsia" w:ascii="宋体" w:hAnsi="宋体" w:cs="宋体"/>
          <w:color w:val="auto"/>
          <w:szCs w:val="28"/>
          <w:highlight w:val="none"/>
        </w:rPr>
        <w:fldChar w:fldCharType="end"/>
      </w:r>
    </w:p>
    <w:p w14:paraId="0274A4D0">
      <w:pPr>
        <w:pStyle w:val="21"/>
        <w:tabs>
          <w:tab w:val="right" w:leader="dot" w:pos="8992"/>
          <w:tab w:val="clear" w:pos="8296"/>
        </w:tabs>
      </w:pPr>
      <w:r>
        <w:rPr>
          <w:rFonts w:hint="eastAsia" w:ascii="宋体" w:hAnsi="宋体" w:cs="宋体"/>
          <w:color w:val="auto"/>
          <w:szCs w:val="28"/>
          <w:highlight w:val="none"/>
        </w:rPr>
        <w:fldChar w:fldCharType="begin"/>
      </w:r>
      <w:r>
        <w:rPr>
          <w:rFonts w:hint="eastAsia" w:ascii="宋体" w:hAnsi="宋体" w:cs="宋体"/>
          <w:szCs w:val="28"/>
          <w:highlight w:val="none"/>
        </w:rPr>
        <w:instrText xml:space="preserve"> HYPERLINK \l _Toc9604 </w:instrText>
      </w:r>
      <w:r>
        <w:rPr>
          <w:rFonts w:hint="eastAsia" w:ascii="宋体" w:hAnsi="宋体" w:cs="宋体"/>
          <w:szCs w:val="28"/>
          <w:highlight w:val="none"/>
        </w:rPr>
        <w:fldChar w:fldCharType="separate"/>
      </w:r>
      <w:r>
        <w:rPr>
          <w:rFonts w:hint="eastAsia" w:ascii="宋体" w:hAnsi="宋体"/>
          <w:highlight w:val="none"/>
        </w:rPr>
        <w:t>第三章  采购需求</w:t>
      </w:r>
      <w:r>
        <w:tab/>
      </w:r>
      <w:r>
        <w:fldChar w:fldCharType="begin"/>
      </w:r>
      <w:r>
        <w:instrText xml:space="preserve"> PAGEREF _Toc9604 \h </w:instrText>
      </w:r>
      <w:r>
        <w:fldChar w:fldCharType="separate"/>
      </w:r>
      <w:r>
        <w:t>20</w:t>
      </w:r>
      <w:r>
        <w:fldChar w:fldCharType="end"/>
      </w:r>
      <w:r>
        <w:rPr>
          <w:rFonts w:hint="eastAsia" w:ascii="宋体" w:hAnsi="宋体" w:cs="宋体"/>
          <w:color w:val="auto"/>
          <w:szCs w:val="28"/>
          <w:highlight w:val="none"/>
        </w:rPr>
        <w:fldChar w:fldCharType="end"/>
      </w:r>
    </w:p>
    <w:p w14:paraId="0EAB2AF8">
      <w:pPr>
        <w:pStyle w:val="21"/>
        <w:tabs>
          <w:tab w:val="right" w:leader="dot" w:pos="8992"/>
          <w:tab w:val="clear" w:pos="8296"/>
        </w:tabs>
      </w:pPr>
      <w:r>
        <w:rPr>
          <w:rFonts w:hint="eastAsia" w:ascii="宋体" w:hAnsi="宋体" w:cs="宋体"/>
          <w:color w:val="auto"/>
          <w:szCs w:val="28"/>
          <w:highlight w:val="none"/>
        </w:rPr>
        <w:fldChar w:fldCharType="begin"/>
      </w:r>
      <w:r>
        <w:rPr>
          <w:rFonts w:hint="eastAsia" w:ascii="宋体" w:hAnsi="宋体" w:cs="宋体"/>
          <w:szCs w:val="28"/>
          <w:highlight w:val="none"/>
        </w:rPr>
        <w:instrText xml:space="preserve"> HYPERLINK \l _Toc6395 </w:instrText>
      </w:r>
      <w:r>
        <w:rPr>
          <w:rFonts w:hint="eastAsia" w:ascii="宋体" w:hAnsi="宋体" w:cs="宋体"/>
          <w:szCs w:val="28"/>
          <w:highlight w:val="none"/>
        </w:rPr>
        <w:fldChar w:fldCharType="separate"/>
      </w:r>
      <w:r>
        <w:rPr>
          <w:rFonts w:hint="eastAsia" w:ascii="宋体" w:hAnsi="宋体"/>
          <w:highlight w:val="none"/>
        </w:rPr>
        <w:t>第四章  评审程序、评审方法和评审标准</w:t>
      </w:r>
      <w:r>
        <w:tab/>
      </w:r>
      <w:r>
        <w:fldChar w:fldCharType="begin"/>
      </w:r>
      <w:r>
        <w:instrText xml:space="preserve"> PAGEREF _Toc6395 \h </w:instrText>
      </w:r>
      <w:r>
        <w:fldChar w:fldCharType="separate"/>
      </w:r>
      <w:r>
        <w:t>27</w:t>
      </w:r>
      <w:r>
        <w:fldChar w:fldCharType="end"/>
      </w:r>
      <w:r>
        <w:rPr>
          <w:rFonts w:hint="eastAsia" w:ascii="宋体" w:hAnsi="宋体" w:cs="宋体"/>
          <w:color w:val="auto"/>
          <w:szCs w:val="28"/>
          <w:highlight w:val="none"/>
        </w:rPr>
        <w:fldChar w:fldCharType="end"/>
      </w:r>
    </w:p>
    <w:p w14:paraId="3C204801">
      <w:pPr>
        <w:pStyle w:val="21"/>
        <w:tabs>
          <w:tab w:val="right" w:leader="dot" w:pos="8992"/>
          <w:tab w:val="clear" w:pos="8296"/>
        </w:tabs>
      </w:pPr>
      <w:r>
        <w:rPr>
          <w:rFonts w:hint="eastAsia" w:ascii="宋体" w:hAnsi="宋体" w:cs="宋体"/>
          <w:color w:val="auto"/>
          <w:szCs w:val="28"/>
          <w:highlight w:val="none"/>
        </w:rPr>
        <w:fldChar w:fldCharType="begin"/>
      </w:r>
      <w:r>
        <w:rPr>
          <w:rFonts w:hint="eastAsia" w:ascii="宋体" w:hAnsi="宋体" w:cs="宋体"/>
          <w:szCs w:val="28"/>
          <w:highlight w:val="none"/>
        </w:rPr>
        <w:instrText xml:space="preserve"> HYPERLINK \l _Toc12271 </w:instrText>
      </w:r>
      <w:r>
        <w:rPr>
          <w:rFonts w:hint="eastAsia" w:ascii="宋体" w:hAnsi="宋体" w:cs="宋体"/>
          <w:szCs w:val="28"/>
          <w:highlight w:val="none"/>
        </w:rPr>
        <w:fldChar w:fldCharType="separate"/>
      </w:r>
      <w:r>
        <w:rPr>
          <w:rFonts w:hint="eastAsia" w:ascii="宋体" w:hAnsi="宋体"/>
          <w:highlight w:val="none"/>
        </w:rPr>
        <w:t>第五章  响应文件格式</w:t>
      </w:r>
      <w:r>
        <w:tab/>
      </w:r>
      <w:r>
        <w:fldChar w:fldCharType="begin"/>
      </w:r>
      <w:r>
        <w:instrText xml:space="preserve"> PAGEREF _Toc12271 \h </w:instrText>
      </w:r>
      <w:r>
        <w:fldChar w:fldCharType="separate"/>
      </w:r>
      <w:r>
        <w:t>36</w:t>
      </w:r>
      <w:r>
        <w:fldChar w:fldCharType="end"/>
      </w:r>
      <w:r>
        <w:rPr>
          <w:rFonts w:hint="eastAsia" w:ascii="宋体" w:hAnsi="宋体" w:cs="宋体"/>
          <w:color w:val="auto"/>
          <w:szCs w:val="28"/>
          <w:highlight w:val="none"/>
        </w:rPr>
        <w:fldChar w:fldCharType="end"/>
      </w:r>
    </w:p>
    <w:p w14:paraId="05B3E03E">
      <w:pPr>
        <w:pStyle w:val="21"/>
        <w:tabs>
          <w:tab w:val="right" w:leader="dot" w:pos="8992"/>
          <w:tab w:val="clear" w:pos="8296"/>
        </w:tabs>
      </w:pPr>
      <w:r>
        <w:rPr>
          <w:rFonts w:hint="eastAsia" w:ascii="宋体" w:hAnsi="宋体" w:cs="宋体"/>
          <w:color w:val="auto"/>
          <w:szCs w:val="28"/>
          <w:highlight w:val="none"/>
        </w:rPr>
        <w:fldChar w:fldCharType="begin"/>
      </w:r>
      <w:r>
        <w:rPr>
          <w:rFonts w:hint="eastAsia" w:ascii="宋体" w:hAnsi="宋体" w:cs="宋体"/>
          <w:szCs w:val="28"/>
          <w:highlight w:val="none"/>
        </w:rPr>
        <w:instrText xml:space="preserve"> HYPERLINK \l _Toc24444 </w:instrText>
      </w:r>
      <w:r>
        <w:rPr>
          <w:rFonts w:hint="eastAsia" w:ascii="宋体" w:hAnsi="宋体" w:cs="宋体"/>
          <w:szCs w:val="28"/>
          <w:highlight w:val="none"/>
        </w:rPr>
        <w:fldChar w:fldCharType="separate"/>
      </w:r>
      <w:r>
        <w:rPr>
          <w:rFonts w:hint="eastAsia" w:ascii="宋体" w:hAnsi="宋体"/>
          <w:highlight w:val="none"/>
        </w:rPr>
        <w:t>第六章  采购合同</w:t>
      </w:r>
      <w:r>
        <w:tab/>
      </w:r>
      <w:r>
        <w:fldChar w:fldCharType="begin"/>
      </w:r>
      <w:r>
        <w:instrText xml:space="preserve"> PAGEREF _Toc24444 \h </w:instrText>
      </w:r>
      <w:r>
        <w:fldChar w:fldCharType="separate"/>
      </w:r>
      <w:r>
        <w:t>58</w:t>
      </w:r>
      <w:r>
        <w:fldChar w:fldCharType="end"/>
      </w:r>
      <w:r>
        <w:rPr>
          <w:rFonts w:hint="eastAsia" w:ascii="宋体" w:hAnsi="宋体" w:cs="宋体"/>
          <w:color w:val="auto"/>
          <w:szCs w:val="28"/>
          <w:highlight w:val="none"/>
        </w:rPr>
        <w:fldChar w:fldCharType="end"/>
      </w:r>
    </w:p>
    <w:p w14:paraId="295BC444">
      <w:pPr>
        <w:pStyle w:val="21"/>
        <w:spacing w:line="360" w:lineRule="auto"/>
        <w:rPr>
          <w:rFonts w:hint="eastAsia" w:ascii="宋体" w:hAnsi="宋体"/>
          <w:color w:val="auto"/>
          <w:sz w:val="28"/>
          <w:szCs w:val="28"/>
          <w:highlight w:val="none"/>
        </w:rPr>
      </w:pPr>
      <w:r>
        <w:rPr>
          <w:rFonts w:hint="eastAsia" w:ascii="宋体" w:hAnsi="宋体" w:cs="宋体"/>
          <w:color w:val="auto"/>
          <w:szCs w:val="28"/>
          <w:highlight w:val="none"/>
        </w:rPr>
        <w:fldChar w:fldCharType="end"/>
      </w:r>
    </w:p>
    <w:p w14:paraId="54EFBC45">
      <w:pPr>
        <w:spacing w:line="400" w:lineRule="exact"/>
        <w:jc w:val="left"/>
        <w:rPr>
          <w:rFonts w:hint="eastAsia" w:ascii="宋体" w:hAnsi="宋体"/>
          <w:b/>
          <w:color w:val="auto"/>
          <w:sz w:val="32"/>
          <w:szCs w:val="32"/>
          <w:highlight w:val="none"/>
        </w:rPr>
      </w:pPr>
    </w:p>
    <w:p w14:paraId="73941BDC">
      <w:pPr>
        <w:spacing w:line="400" w:lineRule="exact"/>
        <w:jc w:val="center"/>
        <w:rPr>
          <w:rFonts w:hint="eastAsia" w:ascii="宋体" w:hAnsi="宋体"/>
          <w:b/>
          <w:color w:val="auto"/>
          <w:sz w:val="32"/>
          <w:szCs w:val="32"/>
          <w:highlight w:val="none"/>
        </w:rPr>
      </w:pPr>
    </w:p>
    <w:p w14:paraId="2D9F251A">
      <w:pPr>
        <w:spacing w:line="400" w:lineRule="exact"/>
        <w:jc w:val="center"/>
        <w:rPr>
          <w:rFonts w:hint="eastAsia" w:ascii="宋体" w:hAnsi="宋体"/>
          <w:b/>
          <w:color w:val="auto"/>
          <w:sz w:val="32"/>
          <w:szCs w:val="32"/>
          <w:highlight w:val="none"/>
        </w:rPr>
      </w:pPr>
    </w:p>
    <w:p w14:paraId="34EA6675">
      <w:pPr>
        <w:spacing w:line="400" w:lineRule="exact"/>
        <w:jc w:val="center"/>
        <w:rPr>
          <w:rFonts w:hint="eastAsia" w:ascii="宋体" w:hAnsi="宋体"/>
          <w:b/>
          <w:color w:val="auto"/>
          <w:sz w:val="32"/>
          <w:szCs w:val="32"/>
          <w:highlight w:val="none"/>
        </w:rPr>
      </w:pPr>
    </w:p>
    <w:p w14:paraId="2C8698FC">
      <w:pPr>
        <w:spacing w:line="400" w:lineRule="exact"/>
        <w:jc w:val="center"/>
        <w:rPr>
          <w:rFonts w:hint="eastAsia" w:ascii="宋体" w:hAnsi="宋体"/>
          <w:b/>
          <w:color w:val="auto"/>
          <w:sz w:val="32"/>
          <w:szCs w:val="32"/>
          <w:highlight w:val="none"/>
        </w:rPr>
      </w:pPr>
    </w:p>
    <w:p w14:paraId="04F61D6C">
      <w:pPr>
        <w:spacing w:line="400" w:lineRule="exact"/>
        <w:rPr>
          <w:rFonts w:hint="eastAsia" w:ascii="宋体" w:hAnsi="宋体"/>
          <w:b/>
          <w:color w:val="auto"/>
          <w:sz w:val="32"/>
          <w:szCs w:val="32"/>
          <w:highlight w:val="none"/>
        </w:rPr>
        <w:sectPr>
          <w:headerReference r:id="rId3" w:type="default"/>
          <w:pgSz w:w="11906" w:h="16838"/>
          <w:pgMar w:top="1440" w:right="1440" w:bottom="1440" w:left="1474" w:header="851" w:footer="992" w:gutter="0"/>
          <w:pgNumType w:start="1"/>
          <w:cols w:space="720" w:num="1"/>
          <w:docGrid w:type="lines" w:linePitch="312" w:charSpace="0"/>
        </w:sectPr>
      </w:pPr>
    </w:p>
    <w:p w14:paraId="31816CFE">
      <w:pPr>
        <w:pStyle w:val="3"/>
        <w:jc w:val="center"/>
        <w:rPr>
          <w:rFonts w:hint="eastAsia" w:ascii="宋体" w:hAnsi="宋体"/>
          <w:color w:val="auto"/>
          <w:highlight w:val="none"/>
        </w:rPr>
      </w:pPr>
      <w:bookmarkStart w:id="0" w:name="_Toc13000"/>
      <w:r>
        <w:rPr>
          <w:rFonts w:hint="eastAsia" w:ascii="宋体" w:hAnsi="宋体"/>
          <w:color w:val="auto"/>
          <w:highlight w:val="none"/>
        </w:rPr>
        <w:t xml:space="preserve">第一章  </w:t>
      </w:r>
      <w:bookmarkStart w:id="191" w:name="_GoBack"/>
      <w:r>
        <w:rPr>
          <w:rFonts w:hint="eastAsia" w:ascii="宋体" w:hAnsi="宋体"/>
          <w:color w:val="auto"/>
          <w:highlight w:val="none"/>
        </w:rPr>
        <w:t>竞争性磋商公告</w:t>
      </w:r>
      <w:bookmarkEnd w:id="0"/>
    </w:p>
    <w:p w14:paraId="758EFBB0">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1" w:name="_Hlk37430271"/>
      <w:bookmarkStart w:id="2" w:name="_Hlk148367583"/>
      <w:r>
        <w:rPr>
          <w:rFonts w:hint="eastAsia" w:ascii="宋体" w:hAnsi="宋体"/>
          <w:color w:val="auto"/>
          <w:szCs w:val="21"/>
          <w:highlight w:val="none"/>
        </w:rPr>
        <w:t>项目概况</w:t>
      </w:r>
    </w:p>
    <w:p w14:paraId="37228EE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val="en-US" w:eastAsia="zh-CN"/>
        </w:rPr>
        <w:t>2024年</w:t>
      </w:r>
      <w:r>
        <w:rPr>
          <w:rFonts w:hint="eastAsia" w:ascii="宋体" w:hAnsi="宋体"/>
          <w:color w:val="auto"/>
          <w:szCs w:val="21"/>
          <w:highlight w:val="none"/>
          <w:u w:val="single"/>
        </w:rPr>
        <w:t>网络安全运维服务采购</w:t>
      </w:r>
      <w:r>
        <w:rPr>
          <w:rFonts w:hint="eastAsia" w:ascii="宋体" w:hAnsi="宋体"/>
          <w:color w:val="auto"/>
          <w:szCs w:val="21"/>
          <w:highlight w:val="none"/>
          <w:u w:val="none"/>
        </w:rPr>
        <w:t>项目</w:t>
      </w:r>
      <w:r>
        <w:rPr>
          <w:rFonts w:hint="eastAsia" w:ascii="宋体" w:hAnsi="宋体"/>
          <w:color w:val="auto"/>
          <w:szCs w:val="21"/>
          <w:highlight w:val="none"/>
        </w:rPr>
        <w:t>的潜在供应商应在</w:t>
      </w:r>
      <w:r>
        <w:rPr>
          <w:rFonts w:hint="eastAsia" w:ascii="宋体" w:hAnsi="宋体"/>
          <w:color w:val="auto"/>
          <w:szCs w:val="21"/>
          <w:highlight w:val="none"/>
          <w:u w:val="single"/>
        </w:rPr>
        <w:t>广西中信恒泰工程顾问有限公司（广西南宁市青秀区云景路69号南宁轨道大厦B</w:t>
      </w:r>
      <w:r>
        <w:rPr>
          <w:rFonts w:hint="eastAsia" w:ascii="宋体" w:hAnsi="宋体"/>
          <w:color w:val="auto"/>
          <w:szCs w:val="21"/>
          <w:highlight w:val="none"/>
          <w:u w:val="single"/>
          <w:lang w:val="en-US" w:eastAsia="zh-CN"/>
        </w:rPr>
        <w:t>座15</w:t>
      </w:r>
      <w:r>
        <w:rPr>
          <w:rFonts w:hint="eastAsia" w:ascii="宋体" w:hAnsi="宋体"/>
          <w:color w:val="auto"/>
          <w:szCs w:val="21"/>
          <w:highlight w:val="none"/>
          <w:u w:val="single"/>
        </w:rPr>
        <w:t>层</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，联系电话：0771-5776251</w:t>
      </w:r>
      <w:r>
        <w:rPr>
          <w:rFonts w:hint="eastAsia" w:ascii="宋体" w:hAnsi="宋体"/>
          <w:color w:val="auto"/>
          <w:szCs w:val="21"/>
          <w:highlight w:val="none"/>
        </w:rPr>
        <w:t>获取竞争性磋商文件，并于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5E965582">
      <w:pPr>
        <w:rPr>
          <w:rFonts w:ascii="宋体" w:hAnsi="宋体"/>
          <w:b/>
          <w:bCs/>
          <w:color w:val="auto"/>
          <w:highlight w:val="none"/>
        </w:rPr>
      </w:pPr>
      <w:bookmarkStart w:id="3" w:name="_Toc35393798"/>
      <w:bookmarkStart w:id="4" w:name="_Toc35393629"/>
      <w:bookmarkStart w:id="5" w:name="_Toc28359012"/>
      <w:bookmarkStart w:id="6" w:name="_Toc28359089"/>
      <w:bookmarkStart w:id="7" w:name="_Toc44229878"/>
      <w:r>
        <w:rPr>
          <w:rFonts w:hint="eastAsia" w:ascii="宋体" w:hAnsi="宋体"/>
          <w:b/>
          <w:bCs/>
          <w:color w:val="auto"/>
          <w:highlight w:val="none"/>
        </w:rPr>
        <w:t>一、项目基本情况</w:t>
      </w:r>
      <w:bookmarkEnd w:id="3"/>
      <w:bookmarkEnd w:id="4"/>
      <w:bookmarkEnd w:id="5"/>
      <w:bookmarkEnd w:id="6"/>
      <w:bookmarkEnd w:id="7"/>
    </w:p>
    <w:p w14:paraId="41FC241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项目编号：ZXHTZB2</w:t>
      </w:r>
      <w:r>
        <w:rPr>
          <w:rFonts w:hint="eastAsia" w:ascii="宋体" w:hAnsi="宋体"/>
          <w:color w:val="auto"/>
          <w:szCs w:val="21"/>
          <w:highlight w:val="none"/>
          <w:lang w:val="en-US" w:eastAsia="zh-CN"/>
        </w:rPr>
        <w:t>4</w:t>
      </w:r>
      <w:r>
        <w:rPr>
          <w:rFonts w:hint="eastAsia" w:ascii="宋体" w:hAnsi="宋体"/>
          <w:color w:val="auto"/>
          <w:szCs w:val="21"/>
          <w:highlight w:val="none"/>
        </w:rPr>
        <w:t>04XG01B</w:t>
      </w:r>
      <w:r>
        <w:rPr>
          <w:rFonts w:hint="eastAsia" w:ascii="宋体" w:hAnsi="宋体"/>
          <w:color w:val="auto"/>
          <w:szCs w:val="21"/>
          <w:highlight w:val="none"/>
          <w:lang w:val="en-US" w:eastAsia="zh-CN"/>
        </w:rPr>
        <w:t>085C</w:t>
      </w:r>
    </w:p>
    <w:p w14:paraId="64365ACD">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项目名称：</w:t>
      </w:r>
      <w:r>
        <w:rPr>
          <w:rFonts w:hint="eastAsia" w:ascii="宋体" w:hAnsi="宋体"/>
          <w:color w:val="auto"/>
          <w:szCs w:val="21"/>
          <w:highlight w:val="none"/>
          <w:lang w:val="en-US" w:eastAsia="zh-CN"/>
        </w:rPr>
        <w:t>2024年</w:t>
      </w:r>
      <w:r>
        <w:rPr>
          <w:rFonts w:hint="eastAsia" w:ascii="宋体" w:hAnsi="宋体"/>
          <w:color w:val="auto"/>
          <w:szCs w:val="21"/>
          <w:highlight w:val="none"/>
        </w:rPr>
        <w:t>网络安全运维服务采购</w:t>
      </w:r>
    </w:p>
    <w:p w14:paraId="252EC0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采购方式：竞争性磋商</w:t>
      </w:r>
    </w:p>
    <w:p w14:paraId="2F242DE8">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预算金额：</w:t>
      </w:r>
      <w:bookmarkStart w:id="8" w:name="预算"/>
      <w:bookmarkEnd w:id="8"/>
      <w:r>
        <w:rPr>
          <w:rFonts w:hint="eastAsia" w:ascii="宋体" w:hAnsi="宋体"/>
          <w:color w:val="auto"/>
          <w:szCs w:val="21"/>
          <w:highlight w:val="none"/>
          <w:lang w:val="en-US" w:eastAsia="zh-CN"/>
        </w:rPr>
        <w:t>人民币（大写）贰拾万元整（</w:t>
      </w:r>
      <w:r>
        <w:rPr>
          <w:rFonts w:hint="default" w:ascii="Arial" w:hAnsi="Arial" w:cs="Arial"/>
          <w:color w:val="auto"/>
          <w:szCs w:val="21"/>
          <w:highlight w:val="none"/>
          <w:lang w:val="en-US" w:eastAsia="zh-CN"/>
        </w:rPr>
        <w:t>¥</w:t>
      </w:r>
      <w:r>
        <w:rPr>
          <w:rFonts w:hint="eastAsia" w:ascii="宋体" w:hAnsi="宋体"/>
          <w:color w:val="auto"/>
          <w:szCs w:val="21"/>
          <w:highlight w:val="none"/>
          <w:lang w:val="en-US" w:eastAsia="zh-CN"/>
        </w:rPr>
        <w:t>200000.00）</w:t>
      </w:r>
    </w:p>
    <w:p w14:paraId="648FA3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采购需求：</w:t>
      </w:r>
      <w:bookmarkStart w:id="9" w:name="采购需求"/>
      <w:bookmarkEnd w:id="9"/>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2239"/>
        <w:gridCol w:w="709"/>
        <w:gridCol w:w="709"/>
        <w:gridCol w:w="5253"/>
      </w:tblGrid>
      <w:tr w14:paraId="06D7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1FC3BA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bookmarkStart w:id="10" w:name="_Toc35393799"/>
            <w:bookmarkStart w:id="11" w:name="_Toc28359013"/>
            <w:bookmarkStart w:id="12" w:name="_Toc44229879"/>
            <w:bookmarkStart w:id="13" w:name="_Toc35393630"/>
            <w:bookmarkStart w:id="14" w:name="_Toc28359090"/>
            <w:r>
              <w:rPr>
                <w:rFonts w:hint="eastAsia" w:ascii="宋体" w:hAnsi="宋体" w:eastAsia="宋体" w:cs="宋体"/>
                <w:color w:val="auto"/>
                <w:sz w:val="21"/>
                <w:szCs w:val="21"/>
                <w:highlight w:val="none"/>
              </w:rPr>
              <w:t>序号</w:t>
            </w:r>
          </w:p>
        </w:tc>
        <w:tc>
          <w:tcPr>
            <w:tcW w:w="2239" w:type="dxa"/>
            <w:tcBorders>
              <w:top w:val="single" w:color="auto" w:sz="4" w:space="0"/>
              <w:left w:val="single" w:color="auto" w:sz="4" w:space="0"/>
              <w:bottom w:val="single" w:color="auto" w:sz="4" w:space="0"/>
              <w:right w:val="single" w:color="auto" w:sz="4" w:space="0"/>
            </w:tcBorders>
            <w:noWrap w:val="0"/>
            <w:vAlign w:val="center"/>
          </w:tcPr>
          <w:p w14:paraId="3203200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BE9BB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EAC52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1C3D3BB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r>
      <w:tr w14:paraId="18F59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0CB0C66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39" w:type="dxa"/>
            <w:tcBorders>
              <w:top w:val="single" w:color="auto" w:sz="4" w:space="0"/>
              <w:left w:val="single" w:color="auto" w:sz="4" w:space="0"/>
              <w:bottom w:val="single" w:color="auto" w:sz="4" w:space="0"/>
              <w:right w:val="single" w:color="auto" w:sz="4" w:space="0"/>
            </w:tcBorders>
            <w:noWrap w:val="0"/>
            <w:vAlign w:val="center"/>
          </w:tcPr>
          <w:p w14:paraId="074504E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安全运维服务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B3DCF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441F3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97F029F">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网络安全运维服务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如需进一步了解详细内容，详见磋商文件。</w:t>
            </w:r>
          </w:p>
        </w:tc>
      </w:tr>
    </w:tbl>
    <w:p w14:paraId="176A743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服务期限：服务期不少于一年，签订合同后下一个工作日生效。</w:t>
      </w:r>
    </w:p>
    <w:p w14:paraId="4D6CF2F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.本项目不接受联合体磋商。</w:t>
      </w:r>
    </w:p>
    <w:p w14:paraId="3FE1D307">
      <w:pPr>
        <w:rPr>
          <w:rFonts w:hint="eastAsia" w:ascii="宋体" w:hAnsi="宋体"/>
          <w:b/>
          <w:bCs/>
          <w:color w:val="auto"/>
          <w:highlight w:val="none"/>
        </w:rPr>
      </w:pPr>
      <w:r>
        <w:rPr>
          <w:rFonts w:hint="eastAsia" w:ascii="宋体" w:hAnsi="宋体"/>
          <w:b/>
          <w:bCs/>
          <w:color w:val="auto"/>
          <w:highlight w:val="none"/>
        </w:rPr>
        <w:t>二、供应商的资格条件：</w:t>
      </w:r>
      <w:bookmarkEnd w:id="10"/>
      <w:bookmarkEnd w:id="11"/>
      <w:bookmarkEnd w:id="12"/>
      <w:bookmarkEnd w:id="13"/>
      <w:bookmarkEnd w:id="14"/>
    </w:p>
    <w:p w14:paraId="1612AE33">
      <w:pPr>
        <w:spacing w:line="360" w:lineRule="auto"/>
        <w:ind w:firstLine="420" w:firstLineChars="200"/>
        <w:rPr>
          <w:rFonts w:hint="eastAsia" w:ascii="宋体" w:hAnsi="宋体"/>
          <w:color w:val="auto"/>
          <w:szCs w:val="21"/>
          <w:highlight w:val="none"/>
        </w:rPr>
      </w:pPr>
      <w:bookmarkStart w:id="15" w:name="_Toc44229880"/>
      <w:bookmarkStart w:id="16" w:name="_Toc35393631"/>
      <w:bookmarkStart w:id="17" w:name="_Toc35393800"/>
      <w:bookmarkStart w:id="18" w:name="_Toc28359091"/>
      <w:bookmarkStart w:id="19" w:name="_Toc28359014"/>
      <w:r>
        <w:rPr>
          <w:rFonts w:hint="eastAsia" w:ascii="宋体" w:hAnsi="宋体"/>
          <w:color w:val="auto"/>
          <w:szCs w:val="21"/>
          <w:highlight w:val="none"/>
        </w:rPr>
        <w:t>1.满足《中华人民共和国政府采购法》第二十二条规定；</w:t>
      </w:r>
    </w:p>
    <w:p w14:paraId="2C9A64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4ECDF8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p>
    <w:p w14:paraId="17BD987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630596C2">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lang w:eastAsia="zh-CN"/>
        </w:rPr>
        <w:t>。</w:t>
      </w:r>
    </w:p>
    <w:p w14:paraId="55BF279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7F0718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3686D5B">
      <w:pPr>
        <w:ind w:firstLine="422" w:firstLineChars="200"/>
        <w:rPr>
          <w:rFonts w:hint="eastAsia" w:ascii="宋体" w:hAnsi="宋体"/>
          <w:b/>
          <w:bCs/>
          <w:color w:val="auto"/>
          <w:highlight w:val="none"/>
        </w:rPr>
      </w:pPr>
      <w:r>
        <w:rPr>
          <w:rFonts w:hint="eastAsia" w:ascii="宋体" w:hAnsi="宋体"/>
          <w:b/>
          <w:bCs/>
          <w:color w:val="auto"/>
          <w:highlight w:val="none"/>
        </w:rPr>
        <w:t>三、获取竞争性磋商文件</w:t>
      </w:r>
      <w:bookmarkEnd w:id="15"/>
      <w:bookmarkEnd w:id="16"/>
      <w:bookmarkEnd w:id="17"/>
      <w:bookmarkEnd w:id="18"/>
      <w:bookmarkEnd w:id="19"/>
    </w:p>
    <w:p w14:paraId="52F44A81">
      <w:pPr>
        <w:spacing w:line="440" w:lineRule="exact"/>
        <w:ind w:firstLine="540"/>
        <w:rPr>
          <w:rFonts w:ascii="宋体" w:hAnsi="宋体"/>
          <w:color w:val="auto"/>
          <w:kern w:val="0"/>
          <w:highlight w:val="none"/>
        </w:rPr>
      </w:pPr>
      <w:bookmarkStart w:id="20" w:name="_Toc28359092"/>
      <w:bookmarkStart w:id="21" w:name="_Toc35393801"/>
      <w:bookmarkStart w:id="22" w:name="_Toc28359015"/>
      <w:bookmarkStart w:id="23" w:name="_Toc35393632"/>
      <w:bookmarkStart w:id="24" w:name="_Toc44229881"/>
      <w:r>
        <w:rPr>
          <w:rFonts w:hint="eastAsia" w:ascii="宋体" w:hAnsi="宋体"/>
          <w:color w:val="auto"/>
          <w:kern w:val="0"/>
          <w:highlight w:val="none"/>
        </w:rPr>
        <w:t>时间：</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日至202</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日</w:t>
      </w:r>
      <w:r>
        <w:rPr>
          <w:rFonts w:hint="eastAsia" w:ascii="宋体" w:hAnsi="宋体"/>
          <w:color w:val="auto"/>
          <w:kern w:val="0"/>
          <w:highlight w:val="none"/>
        </w:rPr>
        <w:t>，每天上午8:30至12:00，下午14:30至17:30（北京时间，法定节假日除外）；</w:t>
      </w:r>
    </w:p>
    <w:p w14:paraId="679471FE">
      <w:pPr>
        <w:spacing w:line="440" w:lineRule="exact"/>
        <w:ind w:firstLine="540"/>
        <w:rPr>
          <w:rFonts w:hint="eastAsia" w:ascii="宋体" w:hAnsi="宋体"/>
          <w:color w:val="auto"/>
          <w:highlight w:val="none"/>
        </w:rPr>
      </w:pPr>
      <w:r>
        <w:rPr>
          <w:rFonts w:hint="eastAsia" w:ascii="宋体" w:hAnsi="宋体"/>
          <w:color w:val="auto"/>
          <w:highlight w:val="none"/>
        </w:rPr>
        <w:t>地点：广西中信恒泰工程顾问有限公司（广西南宁市青秀区云景路69号南宁轨道大厦B</w:t>
      </w:r>
      <w:r>
        <w:rPr>
          <w:rFonts w:hint="eastAsia" w:ascii="宋体" w:hAnsi="宋体"/>
          <w:color w:val="auto"/>
          <w:highlight w:val="none"/>
          <w:lang w:val="en-US" w:eastAsia="zh-CN"/>
        </w:rPr>
        <w:t>座15</w:t>
      </w:r>
      <w:r>
        <w:rPr>
          <w:rFonts w:hint="eastAsia" w:ascii="宋体" w:hAnsi="宋体"/>
          <w:color w:val="auto"/>
          <w:highlight w:val="none"/>
        </w:rPr>
        <w:t>层，联系电话：0771-5776251）；</w:t>
      </w:r>
    </w:p>
    <w:p w14:paraId="76669D4C">
      <w:pPr>
        <w:spacing w:line="440" w:lineRule="exact"/>
        <w:ind w:firstLine="540"/>
        <w:rPr>
          <w:rFonts w:hint="eastAsia" w:ascii="宋体" w:hAnsi="宋体" w:eastAsia="宋体" w:cs="Times New Roman"/>
          <w:color w:val="auto"/>
          <w:highlight w:val="none"/>
        </w:rPr>
      </w:pPr>
      <w:r>
        <w:rPr>
          <w:rFonts w:hint="eastAsia" w:ascii="宋体" w:hAnsi="宋体" w:eastAsia="宋体" w:cs="Times New Roman"/>
          <w:color w:val="auto"/>
          <w:highlight w:val="none"/>
        </w:rPr>
        <w:t>方式：由供应商的法定代表人或委托代理人携本人身份证原件、法定代表人授权委托书原件（委托代理时提供）获取采购文件。以上资料复印件加盖单位公章一份；经采购代理机构审核无误后方予购买。</w:t>
      </w:r>
    </w:p>
    <w:p w14:paraId="0CA00D16">
      <w:pPr>
        <w:spacing w:line="440" w:lineRule="exact"/>
        <w:ind w:firstLine="540"/>
        <w:rPr>
          <w:rFonts w:hint="eastAsia" w:ascii="宋体" w:hAnsi="宋体"/>
          <w:color w:val="auto"/>
          <w:highlight w:val="none"/>
        </w:rPr>
      </w:pPr>
      <w:r>
        <w:rPr>
          <w:rFonts w:hint="eastAsia" w:ascii="宋体" w:hAnsi="宋体"/>
          <w:color w:val="auto"/>
          <w:highlight w:val="none"/>
        </w:rPr>
        <w:t>售价：采购文件费300元，售后不退。</w:t>
      </w:r>
    </w:p>
    <w:p w14:paraId="52A58ED0">
      <w:pPr>
        <w:rPr>
          <w:rFonts w:hint="eastAsia" w:ascii="宋体" w:hAnsi="宋体"/>
          <w:b/>
          <w:bCs/>
          <w:color w:val="auto"/>
          <w:highlight w:val="none"/>
        </w:rPr>
      </w:pPr>
      <w:r>
        <w:rPr>
          <w:rFonts w:hint="eastAsia" w:ascii="宋体" w:hAnsi="宋体"/>
          <w:b/>
          <w:bCs/>
          <w:color w:val="auto"/>
          <w:highlight w:val="none"/>
        </w:rPr>
        <w:t>四、响应文件提交</w:t>
      </w:r>
      <w:bookmarkEnd w:id="20"/>
      <w:bookmarkEnd w:id="21"/>
      <w:bookmarkEnd w:id="22"/>
      <w:bookmarkEnd w:id="23"/>
      <w:bookmarkEnd w:id="24"/>
    </w:p>
    <w:p w14:paraId="2D4F47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bookmarkStart w:id="25" w:name="_Hlk141105924"/>
      <w:r>
        <w:rPr>
          <w:rFonts w:hint="eastAsia" w:ascii="宋体" w:hAnsi="宋体"/>
          <w:color w:val="auto"/>
          <w:szCs w:val="21"/>
          <w:highlight w:val="none"/>
        </w:rPr>
        <w:t>首次响应文件提交起止时间</w:t>
      </w:r>
      <w:bookmarkEnd w:id="25"/>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19</w:t>
      </w:r>
      <w:r>
        <w:rPr>
          <w:rFonts w:hint="eastAsia" w:ascii="宋体" w:hAnsi="宋体"/>
          <w:color w:val="auto"/>
          <w:szCs w:val="21"/>
          <w:highlight w:val="none"/>
        </w:rPr>
        <w:t>日09时00分-09时30分（北京时间）</w:t>
      </w:r>
    </w:p>
    <w:p w14:paraId="67B9B3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2.首次响应文件提交截止时间：202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19</w:t>
      </w:r>
      <w:r>
        <w:rPr>
          <w:rFonts w:hint="eastAsia" w:ascii="宋体" w:hAnsi="宋体"/>
          <w:color w:val="auto"/>
          <w:szCs w:val="21"/>
          <w:highlight w:val="none"/>
        </w:rPr>
        <w:t>日09时30分（北京时间）</w:t>
      </w:r>
    </w:p>
    <w:p w14:paraId="13040A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3.首次响应文件提交地点：广西中信恒泰工程顾问有限公司开标厅（广西南宁市青秀区云景路69号南宁轨道大厦B</w:t>
      </w:r>
      <w:r>
        <w:rPr>
          <w:rFonts w:hint="eastAsia" w:ascii="宋体" w:hAnsi="宋体"/>
          <w:color w:val="auto"/>
          <w:szCs w:val="21"/>
          <w:highlight w:val="none"/>
          <w:lang w:val="en-US" w:eastAsia="zh-CN"/>
        </w:rPr>
        <w:t>座15</w:t>
      </w:r>
      <w:r>
        <w:rPr>
          <w:rFonts w:hint="eastAsia" w:ascii="宋体" w:hAnsi="宋体"/>
          <w:color w:val="auto"/>
          <w:szCs w:val="21"/>
          <w:highlight w:val="none"/>
        </w:rPr>
        <w:t>层</w:t>
      </w:r>
      <w:r>
        <w:rPr>
          <w:rFonts w:hint="eastAsia" w:ascii="宋体" w:hAnsi="宋体"/>
          <w:color w:val="auto"/>
          <w:szCs w:val="21"/>
          <w:highlight w:val="none"/>
          <w:lang w:val="en-US" w:eastAsia="zh-CN"/>
        </w:rPr>
        <w:t>1503</w:t>
      </w:r>
      <w:r>
        <w:rPr>
          <w:rFonts w:hint="eastAsia" w:ascii="宋体" w:hAnsi="宋体"/>
          <w:color w:val="auto"/>
          <w:szCs w:val="21"/>
          <w:highlight w:val="none"/>
        </w:rPr>
        <w:t>室。</w:t>
      </w:r>
    </w:p>
    <w:p w14:paraId="70738792">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注：供应商必须在首次响应文件提交截止时间前，将响应文件密封送达首次响应文件提交地点。在首次响应文件提交截止时间后送达的响应文件为无效文件，采购代理机构应当拒收。</w:t>
      </w:r>
    </w:p>
    <w:p w14:paraId="17D378AC">
      <w:pPr>
        <w:rPr>
          <w:rFonts w:hint="eastAsia" w:ascii="宋体" w:hAnsi="宋体"/>
          <w:b/>
          <w:bCs/>
          <w:color w:val="auto"/>
          <w:highlight w:val="none"/>
        </w:rPr>
      </w:pPr>
      <w:bookmarkStart w:id="26" w:name="_Toc35393802"/>
      <w:bookmarkStart w:id="27" w:name="_Toc28359093"/>
      <w:bookmarkStart w:id="28" w:name="_Toc28359016"/>
      <w:bookmarkStart w:id="29" w:name="_Toc35393633"/>
      <w:bookmarkStart w:id="30" w:name="_Toc44229882"/>
      <w:r>
        <w:rPr>
          <w:rFonts w:hint="eastAsia" w:ascii="宋体" w:hAnsi="宋体"/>
          <w:b/>
          <w:bCs/>
          <w:color w:val="auto"/>
          <w:highlight w:val="none"/>
        </w:rPr>
        <w:t>五、开启</w:t>
      </w:r>
      <w:bookmarkEnd w:id="26"/>
      <w:bookmarkEnd w:id="27"/>
      <w:bookmarkEnd w:id="28"/>
      <w:bookmarkEnd w:id="29"/>
      <w:bookmarkEnd w:id="30"/>
    </w:p>
    <w:p w14:paraId="35133AFA">
      <w:pPr>
        <w:spacing w:line="44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bookmarkStart w:id="31" w:name="_Toc28359017"/>
      <w:bookmarkStart w:id="32" w:name="_Toc28359094"/>
      <w:bookmarkStart w:id="33" w:name="_Toc35393803"/>
      <w:bookmarkStart w:id="34" w:name="_Toc44229883"/>
      <w:bookmarkStart w:id="35" w:name="_Toc35393634"/>
      <w:r>
        <w:rPr>
          <w:rFonts w:hint="eastAsia" w:ascii="宋体" w:hAnsi="宋体"/>
          <w:color w:val="auto"/>
          <w:szCs w:val="21"/>
          <w:highlight w:val="none"/>
        </w:rPr>
        <w:t>时间：202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19</w:t>
      </w:r>
      <w:r>
        <w:rPr>
          <w:rFonts w:hint="eastAsia" w:ascii="宋体" w:hAnsi="宋体"/>
          <w:color w:val="auto"/>
          <w:szCs w:val="21"/>
          <w:highlight w:val="none"/>
        </w:rPr>
        <w:t>日</w:t>
      </w:r>
      <w:r>
        <w:rPr>
          <w:rFonts w:hint="eastAsia" w:ascii="宋体" w:hAnsi="宋体"/>
          <w:bCs/>
          <w:color w:val="auto"/>
          <w:szCs w:val="21"/>
          <w:highlight w:val="none"/>
        </w:rPr>
        <w:t>09时30分（北京时间）</w:t>
      </w:r>
      <w:r>
        <w:rPr>
          <w:rFonts w:hint="eastAsia" w:ascii="宋体" w:hAnsi="宋体"/>
          <w:color w:val="auto"/>
          <w:szCs w:val="21"/>
          <w:highlight w:val="none"/>
        </w:rPr>
        <w:t>后</w:t>
      </w:r>
    </w:p>
    <w:p w14:paraId="167EE5FE">
      <w:pPr>
        <w:spacing w:line="44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color w:val="auto"/>
          <w:szCs w:val="21"/>
          <w:highlight w:val="none"/>
          <w:u w:val="single"/>
        </w:rPr>
        <w:t>广西中信恒泰工程顾问有限公司开标厅（广西南宁市青秀区云景路69号南宁轨道大厦B</w:t>
      </w:r>
      <w:r>
        <w:rPr>
          <w:rFonts w:hint="eastAsia" w:ascii="宋体" w:hAnsi="宋体"/>
          <w:color w:val="auto"/>
          <w:szCs w:val="21"/>
          <w:highlight w:val="none"/>
          <w:u w:val="single"/>
          <w:lang w:val="en-US" w:eastAsia="zh-CN"/>
        </w:rPr>
        <w:t>座15</w:t>
      </w:r>
      <w:r>
        <w:rPr>
          <w:rFonts w:hint="eastAsia" w:ascii="宋体" w:hAnsi="宋体"/>
          <w:color w:val="auto"/>
          <w:szCs w:val="21"/>
          <w:highlight w:val="none"/>
          <w:u w:val="single"/>
        </w:rPr>
        <w:t>层</w:t>
      </w:r>
      <w:r>
        <w:rPr>
          <w:rFonts w:hint="eastAsia" w:ascii="宋体" w:hAnsi="宋体"/>
          <w:color w:val="auto"/>
          <w:szCs w:val="21"/>
          <w:highlight w:val="none"/>
          <w:u w:val="single"/>
          <w:lang w:val="en-US" w:eastAsia="zh-CN"/>
        </w:rPr>
        <w:t>1503</w:t>
      </w:r>
      <w:r>
        <w:rPr>
          <w:rFonts w:hint="eastAsia" w:ascii="宋体" w:hAnsi="宋体"/>
          <w:color w:val="auto"/>
          <w:szCs w:val="21"/>
          <w:highlight w:val="none"/>
          <w:u w:val="single"/>
        </w:rPr>
        <w:t>室。</w:t>
      </w:r>
    </w:p>
    <w:p w14:paraId="2132623C">
      <w:pPr>
        <w:rPr>
          <w:rFonts w:hint="eastAsia" w:ascii="宋体" w:hAnsi="宋体"/>
          <w:b/>
          <w:bCs/>
          <w:color w:val="auto"/>
          <w:highlight w:val="none"/>
        </w:rPr>
      </w:pPr>
      <w:r>
        <w:rPr>
          <w:rFonts w:hint="eastAsia" w:ascii="宋体" w:hAnsi="宋体"/>
          <w:b/>
          <w:bCs/>
          <w:color w:val="auto"/>
          <w:highlight w:val="none"/>
        </w:rPr>
        <w:t>六、公告期限</w:t>
      </w:r>
      <w:bookmarkEnd w:id="31"/>
      <w:bookmarkEnd w:id="32"/>
      <w:bookmarkEnd w:id="33"/>
      <w:bookmarkEnd w:id="34"/>
      <w:bookmarkEnd w:id="35"/>
    </w:p>
    <w:p w14:paraId="3441234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51454A1">
      <w:pPr>
        <w:rPr>
          <w:rFonts w:hint="eastAsia" w:ascii="宋体" w:hAnsi="宋体"/>
          <w:b/>
          <w:bCs/>
          <w:color w:val="auto"/>
          <w:highlight w:val="none"/>
        </w:rPr>
      </w:pPr>
      <w:bookmarkStart w:id="36" w:name="_Toc35393635"/>
      <w:bookmarkStart w:id="37" w:name="_Toc44229884"/>
      <w:bookmarkStart w:id="38" w:name="_Toc35393804"/>
      <w:r>
        <w:rPr>
          <w:rFonts w:hint="eastAsia" w:ascii="宋体" w:hAnsi="宋体"/>
          <w:b/>
          <w:bCs/>
          <w:color w:val="auto"/>
          <w:highlight w:val="none"/>
        </w:rPr>
        <w:t>七、其他补充事宜</w:t>
      </w:r>
      <w:bookmarkEnd w:id="36"/>
      <w:bookmarkEnd w:id="37"/>
      <w:bookmarkEnd w:id="38"/>
    </w:p>
    <w:p w14:paraId="2D8C0C4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w:t>
      </w:r>
    </w:p>
    <w:p w14:paraId="3800796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lang w:val="en-US" w:eastAsia="zh-CN"/>
        </w:rPr>
        <w:t>壹仟元整（¥</w:t>
      </w:r>
      <w:r>
        <w:rPr>
          <w:rFonts w:hint="eastAsia" w:ascii="宋体" w:hAnsi="宋体" w:cs="宋体"/>
          <w:color w:val="auto"/>
          <w:kern w:val="0"/>
          <w:szCs w:val="21"/>
          <w:highlight w:val="none"/>
          <w:u w:val="single"/>
          <w:lang w:val="en-US" w:eastAsia="zh-CN"/>
        </w:rPr>
        <w:t>10</w:t>
      </w:r>
      <w:r>
        <w:rPr>
          <w:rFonts w:ascii="宋体" w:hAnsi="宋体" w:cs="宋体"/>
          <w:color w:val="auto"/>
          <w:kern w:val="0"/>
          <w:szCs w:val="21"/>
          <w:highlight w:val="none"/>
          <w:u w:val="single"/>
        </w:rPr>
        <w:t>00</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p>
    <w:p w14:paraId="59C347D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磋商保证金的交纳方式：应于磋商截止时间前将磋商保证金以电汇、转账等形式交到以下账户，并在交款凭据上注明项目编号：</w:t>
      </w:r>
    </w:p>
    <w:p w14:paraId="21373B7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开户名称：广西中信恒泰工程顾问有限公司</w:t>
      </w:r>
    </w:p>
    <w:p w14:paraId="3BB9AB7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开户银行：建行南宁金湖广场支行</w:t>
      </w:r>
    </w:p>
    <w:p w14:paraId="67D2BB5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银行帐号：4500 1604 2660 5250 2851。</w:t>
      </w:r>
    </w:p>
    <w:p w14:paraId="076990D4">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网上查询地址:中国采购与招标网（www.chinabidding.com.cn）、广西壮族自治区卫生健康委官网招投标信息栏目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https://wsjkw.gxzf.gov.cn/xxgk_49493/fdzdgk/czxx/ztbxx/</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广西中信恒泰工程顾问有限公司网（www.gxzxht.com）。</w:t>
      </w:r>
    </w:p>
    <w:p w14:paraId="33998116">
      <w:pPr>
        <w:rPr>
          <w:rFonts w:hint="eastAsia" w:ascii="宋体" w:hAnsi="宋体"/>
          <w:b/>
          <w:bCs/>
          <w:color w:val="auto"/>
          <w:highlight w:val="none"/>
        </w:rPr>
      </w:pPr>
      <w:bookmarkStart w:id="39" w:name="_Toc35393805"/>
      <w:bookmarkStart w:id="40" w:name="_Toc44229885"/>
      <w:bookmarkStart w:id="41" w:name="_Toc28359095"/>
      <w:bookmarkStart w:id="42" w:name="_Toc35393636"/>
      <w:bookmarkStart w:id="43" w:name="_Toc28359018"/>
      <w:r>
        <w:rPr>
          <w:rFonts w:hint="eastAsia" w:ascii="宋体" w:hAnsi="宋体"/>
          <w:b/>
          <w:bCs/>
          <w:color w:val="auto"/>
          <w:highlight w:val="none"/>
        </w:rPr>
        <w:t>八、凡对本次采购提出询问，请按以下方式联系。</w:t>
      </w:r>
      <w:bookmarkEnd w:id="39"/>
      <w:bookmarkEnd w:id="40"/>
      <w:bookmarkEnd w:id="41"/>
      <w:bookmarkEnd w:id="42"/>
      <w:bookmarkEnd w:id="43"/>
    </w:p>
    <w:p w14:paraId="094A13CC">
      <w:pPr>
        <w:spacing w:line="360" w:lineRule="auto"/>
        <w:jc w:val="left"/>
        <w:rPr>
          <w:rFonts w:hint="eastAsia" w:ascii="宋体" w:hAnsi="宋体" w:cs="宋体"/>
          <w:color w:val="auto"/>
          <w:szCs w:val="21"/>
          <w:highlight w:val="none"/>
        </w:rPr>
      </w:pPr>
      <w:r>
        <w:rPr>
          <w:rFonts w:hint="eastAsia" w:ascii="宋体" w:hAnsi="宋体"/>
          <w:color w:val="auto"/>
          <w:highlight w:val="none"/>
        </w:rPr>
        <w:t>1.</w:t>
      </w:r>
      <w:r>
        <w:rPr>
          <w:rFonts w:hint="eastAsia" w:ascii="宋体" w:hAnsi="宋体" w:cs="宋体"/>
          <w:color w:val="auto"/>
          <w:szCs w:val="21"/>
          <w:highlight w:val="none"/>
        </w:rPr>
        <w:t>采购人信息</w:t>
      </w:r>
    </w:p>
    <w:p w14:paraId="787041B1">
      <w:pPr>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名称：广西壮族自治区卫生健康统计信息中心</w:t>
      </w:r>
    </w:p>
    <w:p w14:paraId="71A6FAFA">
      <w:pPr>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地址：南宁市青秀区金洲路18号</w:t>
      </w:r>
    </w:p>
    <w:p w14:paraId="1D44DA24">
      <w:pPr>
        <w:spacing w:line="360" w:lineRule="auto"/>
        <w:ind w:firstLine="630" w:firstLineChars="300"/>
        <w:jc w:val="left"/>
        <w:rPr>
          <w:rFonts w:hint="default" w:ascii="宋体" w:hAnsi="宋体" w:cs="宋体"/>
          <w:color w:val="auto"/>
          <w:szCs w:val="21"/>
          <w:highlight w:val="none"/>
          <w:u w:val="single"/>
          <w:lang w:val="en-US"/>
        </w:rPr>
      </w:pPr>
      <w:r>
        <w:rPr>
          <w:rFonts w:hint="eastAsia" w:ascii="宋体" w:hAnsi="宋体" w:cs="宋体"/>
          <w:color w:val="auto"/>
          <w:szCs w:val="21"/>
          <w:highlight w:val="none"/>
        </w:rPr>
        <w:t>联系方式：</w:t>
      </w:r>
      <w:bookmarkStart w:id="44" w:name="_Toc28359009"/>
      <w:bookmarkStart w:id="45" w:name="_Toc28359086"/>
      <w:r>
        <w:rPr>
          <w:rFonts w:hint="eastAsia" w:ascii="宋体" w:hAnsi="宋体" w:cs="宋体"/>
          <w:color w:val="auto"/>
          <w:szCs w:val="21"/>
          <w:highlight w:val="none"/>
          <w:u w:val="single"/>
          <w:lang w:val="en-US" w:eastAsia="zh-CN"/>
        </w:rPr>
        <w:t>吴工 0771-2811550转206</w:t>
      </w:r>
    </w:p>
    <w:p w14:paraId="5F57165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44"/>
      <w:bookmarkEnd w:id="45"/>
    </w:p>
    <w:p w14:paraId="1DFEE237">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广西中信恒泰工程顾问有限公司</w:t>
      </w:r>
    </w:p>
    <w:p w14:paraId="150E3E70">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广西南宁市青秀区云景路69号南宁轨道大厦B</w:t>
      </w:r>
      <w:r>
        <w:rPr>
          <w:rFonts w:hint="eastAsia" w:ascii="宋体" w:hAnsi="宋体" w:cs="宋体"/>
          <w:color w:val="auto"/>
          <w:szCs w:val="21"/>
          <w:highlight w:val="none"/>
          <w:u w:val="single"/>
          <w:lang w:val="en-US" w:eastAsia="zh-CN"/>
        </w:rPr>
        <w:t>座15</w:t>
      </w:r>
      <w:r>
        <w:rPr>
          <w:rFonts w:hint="eastAsia" w:ascii="宋体" w:hAnsi="宋体" w:cs="宋体"/>
          <w:color w:val="auto"/>
          <w:szCs w:val="21"/>
          <w:highlight w:val="none"/>
          <w:u w:val="single"/>
        </w:rPr>
        <w:t>层</w:t>
      </w:r>
    </w:p>
    <w:p w14:paraId="1016F9D6">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联系方式：</w:t>
      </w:r>
      <w:bookmarkStart w:id="46" w:name="_Toc28359087"/>
      <w:bookmarkStart w:id="47" w:name="_Toc28359010"/>
      <w:r>
        <w:rPr>
          <w:rFonts w:hint="eastAsia" w:ascii="宋体" w:hAnsi="宋体" w:cs="宋体"/>
          <w:color w:val="auto"/>
          <w:szCs w:val="21"/>
          <w:highlight w:val="none"/>
          <w:u w:val="single"/>
          <w:lang w:val="en-US" w:eastAsia="zh-CN"/>
        </w:rPr>
        <w:t>韦廷富 陈燕英 田甜</w:t>
      </w:r>
      <w:r>
        <w:rPr>
          <w:rFonts w:hint="eastAsia" w:ascii="宋体" w:hAnsi="宋体" w:cs="宋体"/>
          <w:color w:val="auto"/>
          <w:szCs w:val="21"/>
          <w:highlight w:val="none"/>
          <w:u w:val="single"/>
        </w:rPr>
        <w:t>0771-5776251</w:t>
      </w:r>
    </w:p>
    <w:bookmarkEnd w:id="1"/>
    <w:bookmarkEnd w:id="46"/>
    <w:bookmarkEnd w:id="47"/>
    <w:p w14:paraId="68D15D04">
      <w:pPr>
        <w:spacing w:line="360" w:lineRule="auto"/>
        <w:jc w:val="right"/>
        <w:rPr>
          <w:rFonts w:ascii="宋体" w:hAnsi="宋体"/>
          <w:color w:val="auto"/>
          <w:szCs w:val="21"/>
          <w:highlight w:val="none"/>
        </w:rPr>
      </w:pPr>
    </w:p>
    <w:p w14:paraId="6E0E1536">
      <w:pPr>
        <w:spacing w:line="360" w:lineRule="auto"/>
        <w:jc w:val="right"/>
        <w:rPr>
          <w:rFonts w:ascii="宋体" w:hAnsi="宋体"/>
          <w:color w:val="auto"/>
          <w:szCs w:val="21"/>
          <w:highlight w:val="none"/>
        </w:rPr>
      </w:pPr>
    </w:p>
    <w:p w14:paraId="5B12C79E">
      <w:pPr>
        <w:spacing w:line="360" w:lineRule="auto"/>
        <w:jc w:val="right"/>
        <w:rPr>
          <w:rFonts w:ascii="宋体" w:hAnsi="宋体"/>
          <w:color w:val="auto"/>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7</w:t>
      </w:r>
      <w:r>
        <w:rPr>
          <w:rFonts w:hint="eastAsia" w:ascii="宋体" w:hAnsi="宋体"/>
          <w:color w:val="auto"/>
          <w:szCs w:val="21"/>
          <w:highlight w:val="none"/>
        </w:rPr>
        <w:t>日</w:t>
      </w:r>
      <w:bookmarkEnd w:id="191"/>
    </w:p>
    <w:bookmarkEnd w:id="2"/>
    <w:p w14:paraId="166C69C9">
      <w:pPr>
        <w:pStyle w:val="3"/>
        <w:bidi w:val="0"/>
        <w:jc w:val="center"/>
        <w:rPr>
          <w:rFonts w:hint="eastAsia" w:ascii="宋体" w:hAnsi="宋体"/>
          <w:color w:val="auto"/>
          <w:highlight w:val="none"/>
        </w:rPr>
      </w:pPr>
      <w:r>
        <w:rPr>
          <w:rFonts w:ascii="宋体" w:hAnsi="宋体"/>
          <w:color w:val="auto"/>
          <w:highlight w:val="none"/>
        </w:rPr>
        <w:br w:type="page"/>
      </w:r>
      <w:bookmarkStart w:id="48" w:name="_Toc15479"/>
      <w:r>
        <w:rPr>
          <w:rFonts w:hint="eastAsia" w:ascii="宋体" w:hAnsi="宋体"/>
          <w:color w:val="auto"/>
          <w:highlight w:val="none"/>
        </w:rPr>
        <w:t>第二章  供应商须知</w:t>
      </w:r>
      <w:bookmarkEnd w:id="48"/>
    </w:p>
    <w:p w14:paraId="1D11021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27"/>
        <w:tblpPr w:leftFromText="180" w:rightFromText="180" w:vertAnchor="text" w:horzAnchor="page" w:tblpX="1690" w:tblpY="30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92EA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top"/>
          </w:tcPr>
          <w:p w14:paraId="572420CA">
            <w:pPr>
              <w:spacing w:line="4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0FA69E7E">
            <w:pPr>
              <w:spacing w:line="4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4CF76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5BC4803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3111A46E">
            <w:pPr>
              <w:spacing w:line="460" w:lineRule="exact"/>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113F6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1F8846E7">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5F851F24">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487EC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2CFB84FE">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7912" w:type="dxa"/>
            <w:noWrap w:val="0"/>
            <w:vAlign w:val="center"/>
          </w:tcPr>
          <w:p w14:paraId="40A10D0D">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如接受联合体竞标，联合体竞标要求如下：无</w:t>
            </w:r>
          </w:p>
        </w:tc>
      </w:tr>
      <w:tr w14:paraId="73C0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19FE1DC0">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1F0EEC94">
            <w:pPr>
              <w:pStyle w:val="10"/>
              <w:spacing w:line="460" w:lineRule="exact"/>
              <w:rPr>
                <w:rFonts w:hint="eastAsia"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不允许分包</w:t>
            </w:r>
          </w:p>
          <w:p w14:paraId="10CA42D4">
            <w:pPr>
              <w:pStyle w:val="10"/>
              <w:spacing w:line="460" w:lineRule="exact"/>
              <w:rPr>
                <w:rFonts w:hint="eastAsia" w:ascii="宋体" w:hAnsi="宋体" w:cs="宋体"/>
                <w:color w:val="auto"/>
                <w:szCs w:val="21"/>
                <w:highlight w:val="none"/>
              </w:rPr>
            </w:pPr>
            <w:r>
              <w:rPr>
                <w:rFonts w:hint="eastAsia" w:ascii="宋体" w:hAnsi="宋体" w:cs="宋体"/>
                <w:color w:val="auto"/>
                <w:szCs w:val="21"/>
                <w:highlight w:val="none"/>
              </w:rPr>
              <w:t>□允许分包</w:t>
            </w:r>
          </w:p>
          <w:p w14:paraId="62DC28CA">
            <w:pPr>
              <w:pStyle w:val="10"/>
              <w:spacing w:line="46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1E365DA">
            <w:pPr>
              <w:pStyle w:val="10"/>
              <w:spacing w:line="46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0F72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25F46F9C">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noWrap w:val="0"/>
            <w:vAlign w:val="center"/>
          </w:tcPr>
          <w:p w14:paraId="0DA7A8D3">
            <w:pPr>
              <w:snapToGrid w:val="0"/>
              <w:spacing w:line="4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71DD883">
            <w:pPr>
              <w:pStyle w:val="1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652A3A">
            <w:pPr>
              <w:pStyle w:val="1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2.供应商依法缴纳税收的相关材料[近半年内任意连续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56E573A">
            <w:pPr>
              <w:pStyle w:val="1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3.供应商依法缴纳社会保障资金的相关材料[近半年内任意连续</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个月的</w:t>
            </w:r>
          </w:p>
          <w:p w14:paraId="4B00D683">
            <w:pPr>
              <w:pStyle w:val="1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409923">
            <w:pPr>
              <w:pStyle w:val="10"/>
              <w:spacing w:line="4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年度</w:t>
            </w:r>
            <w:r>
              <w:rPr>
                <w:rFonts w:hint="eastAsia" w:ascii="宋体" w:hAnsi="宋体" w:eastAsia="宋体" w:cs="宋体"/>
                <w:color w:val="auto"/>
                <w:sz w:val="21"/>
                <w:szCs w:val="21"/>
                <w:highlight w:val="none"/>
              </w:rPr>
              <w:t>经会计师事务所审计的财务报告（须</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加盖会计师事务所公章及注册会计师签章的</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当年新成立公司的，应提供于公司成立之日后的财务状况报告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其中，上述财务状况报告包括：</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执行《企业会计准则》的，提供资产负债表、利润表、现金流量表、所有者权益变动表及其附注（以下称“四表一注”）；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执行《小企业会计准则》的，提供资产负债表、利润表、现金流量表及其附注（以下称“三表一注”）；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执行《政府会计制度》的，提供资产负债表、收入费用表和净资产变动表及其附注</w:t>
            </w:r>
            <w:r>
              <w:rPr>
                <w:rFonts w:hint="eastAsia" w:ascii="宋体" w:hAnsi="宋体" w:cs="宋体"/>
                <w:color w:val="auto"/>
                <w:sz w:val="21"/>
                <w:szCs w:val="21"/>
                <w:highlight w:val="none"/>
                <w:lang w:eastAsia="zh-CN"/>
              </w:rPr>
              <w:t>；</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19EBEEAE">
            <w:pPr>
              <w:pStyle w:val="1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F2B92BB">
            <w:pPr>
              <w:pStyle w:val="1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2C11CB">
            <w:pPr>
              <w:pStyle w:val="10"/>
              <w:spacing w:line="4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7.落实政府采购政策需满足的资格要求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C6972C">
            <w:pPr>
              <w:pStyle w:val="1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8.本项目的特定资格要求；（必须提供，否则响应文件按无效响应处理）</w:t>
            </w:r>
          </w:p>
          <w:p w14:paraId="77EEC545">
            <w:pPr>
              <w:pStyle w:val="1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.除磋商文件规定必须提供以外，供应商认为需要提供的其他证明材料；</w:t>
            </w:r>
          </w:p>
          <w:p w14:paraId="112B42A2">
            <w:pPr>
              <w:snapToGrid w:val="0"/>
              <w:spacing w:line="4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2455FA8C">
            <w:pPr>
              <w:snapToGrid w:val="0"/>
              <w:spacing w:line="4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65D0192D">
            <w:pPr>
              <w:snapToGrid w:val="0"/>
              <w:spacing w:line="4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2.竞标声明必须由法定代表人在规定签章处签字并加盖供应商公章，否则响应文件按无效响应处理。</w:t>
            </w:r>
          </w:p>
          <w:p w14:paraId="4E72EA68">
            <w:pPr>
              <w:snapToGrid w:val="0"/>
              <w:spacing w:line="4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3.供应商直接控股、管理关系信息表必须由法定代表人或者委托代理人在规定签章处签字并加盖供应商公章，否则响应文件按无效响应处理。</w:t>
            </w:r>
          </w:p>
        </w:tc>
      </w:tr>
      <w:tr w14:paraId="5BC9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311ED025">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4448FE13">
            <w:pPr>
              <w:spacing w:line="46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报价商务技术文件</w:t>
            </w:r>
          </w:p>
          <w:p w14:paraId="6037D0F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220E0B">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1DE06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4AD8AC6">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9741628">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D1C617">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1AA411">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61023AB">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.项目实施人员一览表（格式自拟）； </w:t>
            </w:r>
          </w:p>
          <w:p w14:paraId="71F26D29">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.服务承诺（格式自拟）；</w:t>
            </w:r>
          </w:p>
          <w:p w14:paraId="3BA706D5">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.对应采购需求的技术需求、商务条款提供的其他文件资料；</w:t>
            </w:r>
          </w:p>
          <w:p w14:paraId="5DD1C87B">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4FEA3319">
            <w:pPr>
              <w:snapToGrid w:val="0"/>
              <w:spacing w:line="4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3D18B5E2">
            <w:pPr>
              <w:snapToGrid w:val="0"/>
              <w:spacing w:line="4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51436530">
            <w:pPr>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2.以上标明“必须提供”的材料属于复印件的，必须加盖供应商公章，否则响应文件按无效响应处理。</w:t>
            </w:r>
          </w:p>
          <w:p w14:paraId="7F1655F7">
            <w:pPr>
              <w:spacing w:line="46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6801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53C1B843">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7912" w:type="dxa"/>
            <w:noWrap w:val="0"/>
            <w:vAlign w:val="center"/>
          </w:tcPr>
          <w:p w14:paraId="78ABDB5A">
            <w:pPr>
              <w:snapToGrid w:val="0"/>
              <w:spacing w:line="460" w:lineRule="exact"/>
              <w:jc w:val="left"/>
              <w:rPr>
                <w:rFonts w:ascii="宋体" w:hAnsi="宋体" w:cs="宋体"/>
                <w:b/>
                <w:bCs/>
                <w:color w:val="auto"/>
                <w:szCs w:val="21"/>
                <w:highlight w:val="none"/>
              </w:rPr>
            </w:pPr>
            <w:r>
              <w:rPr>
                <w:rFonts w:hint="eastAsia" w:ascii="宋体" w:hAnsi="宋体" w:cs="宋体"/>
                <w:b/>
                <w:bCs/>
                <w:color w:val="auto"/>
                <w:szCs w:val="21"/>
                <w:highlight w:val="none"/>
              </w:rPr>
              <w:t>响应文件电子版。供应商在递交响应文件时，同时递交响应文件电子版。</w:t>
            </w:r>
          </w:p>
          <w:p w14:paraId="02A5A631">
            <w:pPr>
              <w:snapToGrid w:val="0"/>
              <w:spacing w:line="4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1.响应文件电子版内容：与纸质响应文件全部内容一致。</w:t>
            </w:r>
          </w:p>
          <w:p w14:paraId="7E936CD0">
            <w:pPr>
              <w:snapToGrid w:val="0"/>
              <w:spacing w:line="4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2.响应文件电子版形式：可编辑的word文档格式1份和已签字盖章的响应文件正本的扫描件（PDF格式）1份。</w:t>
            </w:r>
          </w:p>
          <w:p w14:paraId="0E237159">
            <w:pPr>
              <w:snapToGrid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3.响应文件电子版密封方式：响应文件电子版U盘与纸质版响应文件一并装入响应文件袋中。</w:t>
            </w:r>
          </w:p>
        </w:tc>
      </w:tr>
      <w:tr w14:paraId="5006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0A7ED514">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44F8BAF7">
            <w:pPr>
              <w:snapToGrid w:val="0"/>
              <w:spacing w:line="460" w:lineRule="exact"/>
              <w:jc w:val="left"/>
              <w:rPr>
                <w:rFonts w:hint="eastAsia" w:ascii="宋体" w:hAnsi="宋体" w:cs="宋体"/>
                <w:color w:val="auto"/>
                <w:szCs w:val="21"/>
                <w:highlight w:val="none"/>
              </w:rPr>
            </w:pPr>
            <w:r>
              <w:rPr>
                <w:rFonts w:hint="eastAsia" w:ascii="宋体" w:hAnsi="宋体" w:cs="宋体"/>
                <w:color w:val="auto"/>
                <w:szCs w:val="21"/>
                <w:highlight w:val="none"/>
              </w:rPr>
              <w:t>竞标报价必须包含满足本次竞标全部采购需求所应提供的服务，以及伴随的货物和工程（如有）的价格；包含竞标服务、货物、工程的成本、运输（含保险）、安装（如有）、调试、检验、技术服务、培训、税费等所有费用。</w:t>
            </w:r>
          </w:p>
          <w:p w14:paraId="5E207229">
            <w:pPr>
              <w:snapToGrid w:val="0"/>
              <w:spacing w:line="460" w:lineRule="exact"/>
              <w:rPr>
                <w:rFonts w:hint="eastAsia" w:ascii="宋体" w:hAnsi="宋体" w:cs="宋体"/>
                <w:b/>
                <w:color w:val="auto"/>
                <w:szCs w:val="21"/>
                <w:highlight w:val="none"/>
              </w:rPr>
            </w:pPr>
            <w:r>
              <w:rPr>
                <w:rFonts w:ascii="Segoe UI Symbol" w:hAnsi="Segoe UI Symbol" w:cs="Segoe UI Symbol"/>
                <w:color w:val="auto"/>
                <w:szCs w:val="21"/>
                <w:highlight w:val="none"/>
              </w:rPr>
              <w:t>☑</w:t>
            </w:r>
            <w:r>
              <w:rPr>
                <w:rFonts w:hint="eastAsia" w:ascii="宋体" w:hAnsi="宋体" w:cs="宋体"/>
                <w:b/>
                <w:color w:val="auto"/>
                <w:szCs w:val="21"/>
                <w:highlight w:val="none"/>
              </w:rPr>
              <w:t>竞标报价包含验收费用</w:t>
            </w:r>
          </w:p>
          <w:p w14:paraId="7E1385FE">
            <w:pPr>
              <w:snapToGrid w:val="0"/>
              <w:spacing w:line="460" w:lineRule="exact"/>
              <w:jc w:val="left"/>
              <w:rPr>
                <w:rFonts w:hint="eastAsia" w:ascii="宋体" w:hAnsi="宋体" w:cs="宋体"/>
                <w:color w:val="auto"/>
                <w:szCs w:val="21"/>
                <w:highlight w:val="none"/>
              </w:rPr>
            </w:pPr>
            <w:r>
              <w:rPr>
                <w:rFonts w:hint="eastAsia" w:ascii="宋体" w:hAnsi="宋体" w:cs="宋体"/>
                <w:b/>
                <w:color w:val="auto"/>
                <w:szCs w:val="21"/>
                <w:highlight w:val="none"/>
              </w:rPr>
              <w:t>□竞标报价不包含验收费用</w:t>
            </w:r>
          </w:p>
        </w:tc>
      </w:tr>
      <w:tr w14:paraId="17C4C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0E9BC4A6">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noWrap w:val="0"/>
            <w:vAlign w:val="center"/>
          </w:tcPr>
          <w:p w14:paraId="2E99733D">
            <w:pPr>
              <w:pStyle w:val="9"/>
              <w:widowControl w:val="0"/>
              <w:tabs>
                <w:tab w:val="clear" w:pos="454"/>
              </w:tabs>
              <w:snapToGrid w:val="0"/>
              <w:spacing w:afterLines="0" w:line="460" w:lineRule="exact"/>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14:paraId="1249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398D4B3E">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3EC46A95">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7C6FEB03">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230733DE">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1BD11D5B">
            <w:pPr>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9926492">
            <w:pPr>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2.磋商保证金采用支票、汇票、本票交纳方式的，供应商应将支票、汇票、本票的复印件作为磋商保证金提交凭证，放置于报价商务技术文件中，</w:t>
            </w:r>
            <w:r>
              <w:rPr>
                <w:rFonts w:hint="eastAsia" w:ascii="宋体" w:hAnsi="宋体" w:cs="宋体"/>
                <w:b/>
                <w:color w:val="auto"/>
                <w:szCs w:val="21"/>
                <w:highlight w:val="none"/>
              </w:rPr>
              <w:t>否则竞标无效</w:t>
            </w:r>
            <w:r>
              <w:rPr>
                <w:rFonts w:hint="eastAsia" w:ascii="宋体" w:hAnsi="宋体" w:cs="宋体"/>
                <w:color w:val="auto"/>
                <w:szCs w:val="21"/>
                <w:highlight w:val="none"/>
              </w:rPr>
              <w:t>。供应商必须于递交竞标文件时将支票、汇票、本票原件提交给采购人或者采购代理机构，由采购人或者采购代理机构向供应商出具回执，并妥善保管。</w:t>
            </w:r>
          </w:p>
          <w:p w14:paraId="2ADCE154">
            <w:pPr>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3.磋商保证金指定帐户：详见竞争性磋商公告。</w:t>
            </w:r>
          </w:p>
          <w:p w14:paraId="3038D2CB">
            <w:pPr>
              <w:snapToGrid w:val="0"/>
              <w:spacing w:line="4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5A9ABF07">
            <w:pPr>
              <w:snapToGrid w:val="0"/>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1.磋商保证金在首次响应文件提交截止时间后提交的，或者不按规定交纳方式交纳的，或者未足额交纳的（包含保函额度不足的），视为无效磋商保证金。</w:t>
            </w:r>
          </w:p>
          <w:p w14:paraId="48D28A5F">
            <w:pPr>
              <w:snapToGrid w:val="0"/>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0E535CE1">
            <w:pPr>
              <w:snapToGrid w:val="0"/>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53423BE6">
            <w:pPr>
              <w:snapToGrid w:val="0"/>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4.保函有效期低于竞标有效期的，视为无效磋商保证金。</w:t>
            </w:r>
          </w:p>
        </w:tc>
      </w:tr>
      <w:tr w14:paraId="69456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1245094B">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18.2</w:t>
            </w:r>
          </w:p>
        </w:tc>
        <w:tc>
          <w:tcPr>
            <w:tcW w:w="7912" w:type="dxa"/>
            <w:noWrap w:val="0"/>
            <w:vAlign w:val="center"/>
          </w:tcPr>
          <w:p w14:paraId="4FCAC285">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响应文件份数：正本壹份、副本贰份。</w:t>
            </w:r>
          </w:p>
        </w:tc>
      </w:tr>
      <w:tr w14:paraId="5C45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65CF22A8">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5CD5D224">
            <w:pPr>
              <w:snapToGrid w:val="0"/>
              <w:spacing w:line="46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首次响应文件提交起止时间：详见竞争性磋商公告。</w:t>
            </w:r>
          </w:p>
          <w:p w14:paraId="6AFAFA72">
            <w:pPr>
              <w:snapToGrid w:val="0"/>
              <w:spacing w:line="46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25CB9C50">
            <w:pPr>
              <w:snapToGrid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首次响应文件提交地点：详见竞争性磋商公告或者邀请函。</w:t>
            </w:r>
          </w:p>
          <w:p w14:paraId="7C41374C">
            <w:pPr>
              <w:snapToGrid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19C4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20F9B693">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35CF179A">
            <w:pPr>
              <w:snapToGrid w:val="0"/>
              <w:spacing w:line="4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1ED3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92" w:type="dxa"/>
            <w:vMerge w:val="restart"/>
            <w:noWrap w:val="0"/>
            <w:vAlign w:val="center"/>
          </w:tcPr>
          <w:p w14:paraId="5DC0C64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7912" w:type="dxa"/>
            <w:noWrap w:val="0"/>
            <w:vAlign w:val="center"/>
          </w:tcPr>
          <w:p w14:paraId="4A79E9AA">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871A91D">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23CD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noWrap w:val="0"/>
            <w:vAlign w:val="center"/>
          </w:tcPr>
          <w:p w14:paraId="73D9C79C">
            <w:pPr>
              <w:spacing w:line="460" w:lineRule="exact"/>
              <w:jc w:val="center"/>
              <w:rPr>
                <w:rFonts w:hint="eastAsia" w:ascii="宋体" w:hAnsi="宋体" w:cs="宋体"/>
                <w:color w:val="auto"/>
                <w:szCs w:val="21"/>
                <w:highlight w:val="none"/>
              </w:rPr>
            </w:pPr>
          </w:p>
        </w:tc>
        <w:tc>
          <w:tcPr>
            <w:tcW w:w="7912" w:type="dxa"/>
            <w:noWrap w:val="0"/>
            <w:vAlign w:val="center"/>
          </w:tcPr>
          <w:p w14:paraId="0C507303">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4405C49F">
            <w:pPr>
              <w:pStyle w:val="10"/>
              <w:spacing w:line="460" w:lineRule="exact"/>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7F93EB60">
            <w:pPr>
              <w:snapToGrid w:val="0"/>
              <w:spacing w:line="460" w:lineRule="exact"/>
              <w:rPr>
                <w:rFonts w:hint="eastAsia"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随机排序。</w:t>
            </w:r>
          </w:p>
          <w:p w14:paraId="495BEE3E">
            <w:pPr>
              <w:pStyle w:val="10"/>
              <w:spacing w:line="460" w:lineRule="exact"/>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75BC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52E79E20">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noWrap w:val="0"/>
            <w:vAlign w:val="center"/>
          </w:tcPr>
          <w:p w14:paraId="12276538">
            <w:pPr>
              <w:snapToGrid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履约保证金：</w:t>
            </w:r>
            <w:r>
              <w:rPr>
                <w:rFonts w:hint="eastAsia" w:ascii="宋体" w:hAnsi="宋体" w:cs="宋体"/>
                <w:color w:val="auto"/>
                <w:szCs w:val="21"/>
                <w:highlight w:val="none"/>
                <w:lang w:val="en-US" w:eastAsia="zh-CN"/>
              </w:rPr>
              <w:t>本项目不收取履约保证金。</w:t>
            </w:r>
          </w:p>
        </w:tc>
      </w:tr>
      <w:tr w14:paraId="106A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1ED6436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7912" w:type="dxa"/>
            <w:noWrap w:val="0"/>
            <w:vAlign w:val="center"/>
          </w:tcPr>
          <w:p w14:paraId="6491C082">
            <w:pPr>
              <w:autoSpaceDE w:val="0"/>
              <w:autoSpaceDN w:val="0"/>
              <w:snapToGrid w:val="0"/>
              <w:spacing w:line="4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59234053">
            <w:pPr>
              <w:autoSpaceDE w:val="0"/>
              <w:autoSpaceDN w:val="0"/>
              <w:snapToGrid w:val="0"/>
              <w:spacing w:line="46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ED250C2">
            <w:pPr>
              <w:autoSpaceDE w:val="0"/>
              <w:autoSpaceDN w:val="0"/>
              <w:snapToGrid w:val="0"/>
              <w:spacing w:line="46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628B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66839AAE">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noWrap w:val="0"/>
            <w:vAlign w:val="center"/>
          </w:tcPr>
          <w:p w14:paraId="70FD17F0">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7AA94912">
            <w:pPr>
              <w:pStyle w:val="15"/>
              <w:snapToGrid w:val="0"/>
              <w:spacing w:line="460" w:lineRule="exact"/>
              <w:ind w:firstLine="420" w:firstLineChars="200"/>
              <w:rPr>
                <w:rFonts w:hint="default" w:hAnsi="宋体" w:eastAsia="宋体" w:cs="宋体"/>
                <w:color w:val="auto"/>
                <w:kern w:val="2"/>
                <w:sz w:val="21"/>
                <w:szCs w:val="21"/>
                <w:highlight w:val="none"/>
                <w:u w:val="single"/>
                <w:lang w:val="en-US" w:eastAsia="zh-CN"/>
              </w:rPr>
            </w:pPr>
            <w:r>
              <w:rPr>
                <w:rFonts w:hint="eastAsia" w:hAnsi="宋体" w:cs="宋体"/>
                <w:color w:val="auto"/>
                <w:kern w:val="2"/>
                <w:sz w:val="21"/>
                <w:highlight w:val="none"/>
              </w:rPr>
              <w:t>质疑联系部门</w:t>
            </w:r>
            <w:r>
              <w:rPr>
                <w:rFonts w:hint="eastAsia" w:hAnsi="宋体" w:cs="宋体"/>
                <w:color w:val="auto"/>
                <w:kern w:val="2"/>
                <w:sz w:val="21"/>
                <w:szCs w:val="21"/>
                <w:highlight w:val="none"/>
              </w:rPr>
              <w:t>及联系方式：</w:t>
            </w:r>
            <w:r>
              <w:rPr>
                <w:rFonts w:hint="eastAsia" w:hAnsi="宋体" w:cs="宋体"/>
                <w:color w:val="auto"/>
                <w:kern w:val="2"/>
                <w:sz w:val="21"/>
                <w:szCs w:val="21"/>
                <w:highlight w:val="none"/>
                <w:u w:val="single"/>
              </w:rPr>
              <w:t>广西中信恒泰工程顾问有限公司</w:t>
            </w:r>
            <w:r>
              <w:rPr>
                <w:rFonts w:hint="eastAsia" w:hAnsi="宋体" w:cs="宋体"/>
                <w:color w:val="auto"/>
                <w:kern w:val="2"/>
                <w:sz w:val="21"/>
                <w:szCs w:val="21"/>
                <w:highlight w:val="none"/>
              </w:rPr>
              <w:t>，联系电话：</w:t>
            </w:r>
            <w:r>
              <w:rPr>
                <w:rFonts w:hint="eastAsia" w:hAnsi="宋体" w:cs="宋体"/>
                <w:color w:val="auto"/>
                <w:kern w:val="2"/>
                <w:sz w:val="21"/>
                <w:szCs w:val="21"/>
                <w:highlight w:val="none"/>
                <w:u w:val="single"/>
              </w:rPr>
              <w:t>0771-5776251</w:t>
            </w:r>
            <w:r>
              <w:rPr>
                <w:rFonts w:hint="eastAsia" w:hAnsi="宋体" w:cs="宋体"/>
                <w:color w:val="auto"/>
                <w:kern w:val="2"/>
                <w:sz w:val="21"/>
                <w:szCs w:val="21"/>
                <w:highlight w:val="none"/>
              </w:rPr>
              <w:t>，通讯地址：</w:t>
            </w:r>
            <w:r>
              <w:rPr>
                <w:rFonts w:hint="eastAsia" w:hAnsi="宋体" w:cs="宋体"/>
                <w:color w:val="auto"/>
                <w:kern w:val="2"/>
                <w:sz w:val="21"/>
                <w:szCs w:val="21"/>
                <w:highlight w:val="none"/>
                <w:u w:val="single"/>
              </w:rPr>
              <w:t>南宁市青秀区云景路69号南宁轨道大厦B</w:t>
            </w:r>
            <w:r>
              <w:rPr>
                <w:rFonts w:hint="eastAsia" w:hAnsi="宋体" w:cs="宋体"/>
                <w:color w:val="auto"/>
                <w:kern w:val="2"/>
                <w:sz w:val="21"/>
                <w:szCs w:val="21"/>
                <w:highlight w:val="none"/>
                <w:u w:val="single"/>
                <w:lang w:val="en-US" w:eastAsia="zh-CN"/>
              </w:rPr>
              <w:t>座15层</w:t>
            </w:r>
          </w:p>
          <w:p w14:paraId="4F54F48A">
            <w:pPr>
              <w:pStyle w:val="15"/>
              <w:snapToGrid w:val="0"/>
              <w:spacing w:line="460" w:lineRule="exact"/>
              <w:ind w:firstLine="420" w:firstLineChars="200"/>
              <w:rPr>
                <w:rFonts w:hint="eastAsia" w:hAnsi="宋体" w:cs="宋体"/>
                <w:color w:val="auto"/>
                <w:highlight w:val="none"/>
              </w:rPr>
            </w:pPr>
            <w:r>
              <w:rPr>
                <w:rFonts w:hint="eastAsia" w:hAnsi="宋体" w:cs="宋体"/>
                <w:color w:val="auto"/>
                <w:sz w:val="21"/>
                <w:szCs w:val="21"/>
                <w:highlight w:val="none"/>
              </w:rPr>
              <w:t>业务时间：上午</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时</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0分到12时00分，下午</w:t>
            </w:r>
            <w:r>
              <w:rPr>
                <w:rFonts w:hint="eastAsia" w:hAnsi="宋体" w:cs="宋体"/>
                <w:color w:val="auto"/>
                <w:sz w:val="21"/>
                <w:szCs w:val="21"/>
                <w:highlight w:val="none"/>
                <w:lang w:val="en-US" w:eastAsia="zh-CN"/>
              </w:rPr>
              <w:t>14</w:t>
            </w:r>
            <w:r>
              <w:rPr>
                <w:rFonts w:hint="eastAsia" w:hAnsi="宋体" w:cs="宋体"/>
                <w:color w:val="auto"/>
                <w:sz w:val="21"/>
                <w:szCs w:val="21"/>
                <w:highlight w:val="none"/>
              </w:rPr>
              <w:t>时</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0分到</w:t>
            </w:r>
            <w:r>
              <w:rPr>
                <w:rFonts w:hint="eastAsia" w:hAnsi="宋体" w:cs="宋体"/>
                <w:color w:val="auto"/>
                <w:sz w:val="21"/>
                <w:szCs w:val="21"/>
                <w:highlight w:val="none"/>
                <w:lang w:val="en-US" w:eastAsia="zh-CN"/>
              </w:rPr>
              <w:t>17</w:t>
            </w:r>
            <w:r>
              <w:rPr>
                <w:rFonts w:hint="eastAsia" w:hAnsi="宋体" w:cs="宋体"/>
                <w:color w:val="auto"/>
                <w:sz w:val="21"/>
                <w:szCs w:val="21"/>
                <w:highlight w:val="none"/>
              </w:rPr>
              <w:t>时30分，业务时间以外、双休日和法定节假日不办理业务。</w:t>
            </w:r>
          </w:p>
        </w:tc>
      </w:tr>
      <w:tr w14:paraId="4155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3353B89B">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noWrap w:val="0"/>
            <w:vAlign w:val="center"/>
          </w:tcPr>
          <w:p w14:paraId="5A9B0241">
            <w:pPr>
              <w:widowControl/>
              <w:snapToGrid w:val="0"/>
              <w:spacing w:line="360" w:lineRule="auto"/>
              <w:textAlignment w:val="baseline"/>
              <w:rPr>
                <w:rFonts w:ascii="宋体" w:hAnsi="宋体"/>
                <w:color w:val="auto"/>
                <w:kern w:val="0"/>
                <w:szCs w:val="21"/>
                <w:highlight w:val="none"/>
              </w:rPr>
            </w:pPr>
            <w:r>
              <w:rPr>
                <w:rFonts w:ascii="宋体" w:hAnsi="宋体"/>
                <w:color w:val="auto"/>
                <w:kern w:val="0"/>
                <w:szCs w:val="21"/>
                <w:highlight w:val="none"/>
              </w:rPr>
              <w:t>1.采购代理费支付方式：</w:t>
            </w:r>
          </w:p>
          <w:p w14:paraId="0F01D86D">
            <w:pPr>
              <w:widowControl/>
              <w:snapToGrid w:val="0"/>
              <w:spacing w:line="360" w:lineRule="auto"/>
              <w:textAlignment w:val="baseline"/>
              <w:rPr>
                <w:rFonts w:ascii="宋体" w:hAnsi="宋体"/>
                <w:color w:val="auto"/>
                <w:kern w:val="0"/>
                <w:szCs w:val="21"/>
                <w:highlight w:val="none"/>
              </w:rPr>
            </w:pPr>
            <w:r>
              <w:rPr>
                <w:rFonts w:ascii="Segoe UI Symbol" w:hAnsi="Segoe UI Symbol" w:cs="Segoe UI Symbol"/>
                <w:color w:val="auto"/>
                <w:kern w:val="0"/>
                <w:sz w:val="20"/>
                <w:szCs w:val="21"/>
                <w:highlight w:val="none"/>
              </w:rPr>
              <w:t>☑</w:t>
            </w:r>
            <w:r>
              <w:rPr>
                <w:rFonts w:ascii="宋体" w:hAnsi="宋体"/>
                <w:color w:val="auto"/>
                <w:kern w:val="0"/>
                <w:szCs w:val="21"/>
                <w:highlight w:val="none"/>
              </w:rPr>
              <w:t>本项目代理服务费由</w:t>
            </w:r>
            <w:r>
              <w:rPr>
                <w:rFonts w:ascii="宋体" w:hAnsi="宋体"/>
                <w:color w:val="auto"/>
                <w:kern w:val="0"/>
                <w:szCs w:val="21"/>
                <w:highlight w:val="none"/>
                <w:u w:val="single" w:color="000000"/>
              </w:rPr>
              <w:t>成交供应商</w:t>
            </w:r>
            <w:r>
              <w:rPr>
                <w:rFonts w:ascii="宋体" w:hAnsi="宋体"/>
                <w:color w:val="auto"/>
                <w:kern w:val="0"/>
                <w:szCs w:val="21"/>
                <w:highlight w:val="none"/>
              </w:rPr>
              <w:t>领取成交通知书前，一次性向采购代理机构支付。</w:t>
            </w:r>
          </w:p>
          <w:p w14:paraId="5A36C504">
            <w:pPr>
              <w:widowControl/>
              <w:snapToGrid w:val="0"/>
              <w:spacing w:line="360" w:lineRule="auto"/>
              <w:textAlignment w:val="baseline"/>
              <w:rPr>
                <w:rFonts w:ascii="宋体" w:hAnsi="宋体"/>
                <w:color w:val="auto"/>
                <w:kern w:val="0"/>
                <w:szCs w:val="21"/>
                <w:highlight w:val="none"/>
              </w:rPr>
            </w:pPr>
            <w:r>
              <w:rPr>
                <w:rFonts w:ascii="宋体" w:hAnsi="宋体"/>
                <w:color w:val="auto"/>
                <w:kern w:val="0"/>
                <w:sz w:val="20"/>
                <w:szCs w:val="21"/>
                <w:highlight w:val="none"/>
              </w:rPr>
              <w:t>□</w:t>
            </w:r>
            <w:r>
              <w:rPr>
                <w:rFonts w:ascii="宋体" w:hAnsi="宋体"/>
                <w:color w:val="auto"/>
                <w:kern w:val="0"/>
                <w:szCs w:val="21"/>
                <w:highlight w:val="none"/>
              </w:rPr>
              <w:t>采购人支付。</w:t>
            </w:r>
          </w:p>
          <w:p w14:paraId="4179C5A2">
            <w:pPr>
              <w:widowControl/>
              <w:snapToGrid w:val="0"/>
              <w:spacing w:line="360" w:lineRule="auto"/>
              <w:textAlignment w:val="baseline"/>
              <w:rPr>
                <w:rFonts w:ascii="宋体" w:hAnsi="宋体"/>
                <w:color w:val="auto"/>
                <w:szCs w:val="21"/>
                <w:highlight w:val="none"/>
              </w:rPr>
            </w:pPr>
            <w:r>
              <w:rPr>
                <w:rFonts w:ascii="宋体" w:hAnsi="宋体"/>
                <w:color w:val="auto"/>
                <w:szCs w:val="21"/>
                <w:highlight w:val="none"/>
              </w:rPr>
              <w:t>2.采购代理费收取标准：</w:t>
            </w:r>
          </w:p>
          <w:p w14:paraId="6BC40038">
            <w:pPr>
              <w:widowControl/>
              <w:snapToGrid w:val="0"/>
              <w:spacing w:line="360" w:lineRule="auto"/>
              <w:textAlignment w:val="baseline"/>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参照</w:t>
            </w:r>
            <w:r>
              <w:rPr>
                <w:rFonts w:hint="eastAsia" w:ascii="宋体" w:hAnsi="宋体" w:eastAsia="宋体" w:cs="Times New Roman"/>
                <w:color w:val="auto"/>
                <w:kern w:val="0"/>
                <w:szCs w:val="21"/>
                <w:highlight w:val="none"/>
              </w:rPr>
              <w:t>国家发展计划委员会《招标代理服务费管理暂行办法》(计价格 〔</w:t>
            </w:r>
            <w:r>
              <w:rPr>
                <w:rFonts w:hint="eastAsia" w:ascii="宋体" w:hAnsi="宋体" w:eastAsia="宋体" w:cs="Times New Roman"/>
                <w:color w:val="auto"/>
                <w:kern w:val="0"/>
                <w:szCs w:val="21"/>
                <w:highlight w:val="none"/>
                <w:lang w:val="en-US" w:eastAsia="zh-CN"/>
              </w:rPr>
              <w:t>2002</w:t>
            </w:r>
            <w:r>
              <w:rPr>
                <w:rFonts w:hint="eastAsia" w:ascii="宋体" w:hAnsi="宋体" w:eastAsia="宋体" w:cs="Times New Roman"/>
                <w:color w:val="auto"/>
                <w:kern w:val="0"/>
                <w:szCs w:val="21"/>
                <w:highlight w:val="none"/>
              </w:rPr>
              <w:t>〕1980 号收费标准、《国家发展改革委关于降低部分建设项目收费标准规范收费行为等有关问题的通知》(发改价格〔</w:t>
            </w:r>
            <w:r>
              <w:rPr>
                <w:rFonts w:hint="eastAsia" w:ascii="宋体" w:hAnsi="宋体" w:eastAsia="宋体" w:cs="Times New Roman"/>
                <w:color w:val="auto"/>
                <w:kern w:val="0"/>
                <w:szCs w:val="21"/>
                <w:highlight w:val="none"/>
                <w:lang w:val="en-US" w:eastAsia="zh-CN"/>
              </w:rPr>
              <w:t>2011</w:t>
            </w:r>
            <w:r>
              <w:rPr>
                <w:rFonts w:hint="eastAsia" w:ascii="宋体" w:hAnsi="宋体" w:eastAsia="宋体" w:cs="Times New Roman"/>
                <w:color w:val="auto"/>
                <w:kern w:val="0"/>
                <w:szCs w:val="21"/>
                <w:highlight w:val="none"/>
              </w:rPr>
              <w:t>〕534 号)规定的基础上</w:t>
            </w:r>
            <w:r>
              <w:rPr>
                <w:rFonts w:hint="eastAsia" w:ascii="宋体" w:hAnsi="宋体" w:eastAsia="宋体" w:cs="Times New Roman"/>
                <w:color w:val="auto"/>
                <w:kern w:val="0"/>
                <w:szCs w:val="21"/>
                <w:highlight w:val="none"/>
                <w:lang w:val="en-US" w:eastAsia="zh-CN"/>
              </w:rPr>
              <w:t>下浮16%</w:t>
            </w:r>
            <w:r>
              <w:rPr>
                <w:rFonts w:ascii="宋体" w:hAnsi="宋体" w:eastAsia="宋体" w:cs="Times New Roman"/>
                <w:color w:val="auto"/>
                <w:kern w:val="0"/>
                <w:szCs w:val="21"/>
                <w:highlight w:val="none"/>
              </w:rPr>
              <w:t>,由采购代理机构在发出</w:t>
            </w:r>
            <w:r>
              <w:rPr>
                <w:rFonts w:hint="eastAsia" w:ascii="宋体" w:hAnsi="宋体" w:eastAsia="宋体" w:cs="Times New Roman"/>
                <w:color w:val="auto"/>
                <w:kern w:val="0"/>
                <w:szCs w:val="21"/>
                <w:highlight w:val="none"/>
              </w:rPr>
              <w:t>成交</w:t>
            </w:r>
            <w:r>
              <w:rPr>
                <w:rFonts w:ascii="宋体" w:hAnsi="宋体" w:eastAsia="宋体" w:cs="Times New Roman"/>
                <w:color w:val="auto"/>
                <w:kern w:val="0"/>
                <w:szCs w:val="21"/>
                <w:highlight w:val="none"/>
              </w:rPr>
              <w:t>通知书之前一次性向</w:t>
            </w:r>
            <w:r>
              <w:rPr>
                <w:rFonts w:hint="eastAsia" w:ascii="宋体" w:hAnsi="宋体" w:eastAsia="宋体" w:cs="Times New Roman"/>
                <w:color w:val="auto"/>
                <w:kern w:val="0"/>
                <w:szCs w:val="21"/>
                <w:highlight w:val="none"/>
              </w:rPr>
              <w:t>成交</w:t>
            </w:r>
            <w:r>
              <w:rPr>
                <w:rFonts w:ascii="宋体" w:hAnsi="宋体" w:eastAsia="宋体" w:cs="Times New Roman"/>
                <w:color w:val="auto"/>
                <w:kern w:val="0"/>
                <w:szCs w:val="21"/>
                <w:highlight w:val="none"/>
              </w:rPr>
              <w:t>供应商收取。</w:t>
            </w:r>
          </w:p>
          <w:p w14:paraId="7CA99BBA">
            <w:pPr>
              <w:widowControl/>
              <w:snapToGrid w:val="0"/>
              <w:spacing w:line="360" w:lineRule="auto"/>
              <w:textAlignment w:val="baseline"/>
              <w:rPr>
                <w:rFonts w:ascii="宋体" w:hAnsi="宋体"/>
                <w:color w:val="auto"/>
                <w:kern w:val="0"/>
                <w:szCs w:val="21"/>
                <w:highlight w:val="none"/>
              </w:rPr>
            </w:pPr>
            <w:r>
              <w:rPr>
                <w:rFonts w:ascii="宋体" w:hAnsi="宋体"/>
                <w:color w:val="auto"/>
                <w:kern w:val="0"/>
                <w:szCs w:val="21"/>
                <w:highlight w:val="none"/>
              </w:rPr>
              <w:t>3. 采购代理费收取银行账户</w:t>
            </w:r>
          </w:p>
          <w:p w14:paraId="28E4B06B">
            <w:pPr>
              <w:widowControl/>
              <w:snapToGrid w:val="0"/>
              <w:spacing w:line="360" w:lineRule="auto"/>
              <w:textAlignment w:val="baseline"/>
              <w:rPr>
                <w:rFonts w:ascii="宋体" w:hAnsi="宋体"/>
                <w:color w:val="auto"/>
                <w:kern w:val="0"/>
                <w:szCs w:val="21"/>
                <w:highlight w:val="none"/>
              </w:rPr>
            </w:pPr>
            <w:r>
              <w:rPr>
                <w:rFonts w:ascii="宋体" w:hAnsi="宋体"/>
                <w:color w:val="auto"/>
                <w:kern w:val="0"/>
                <w:szCs w:val="21"/>
                <w:highlight w:val="none"/>
              </w:rPr>
              <w:t>开户名称：广西中信恒泰工程顾问有限公司</w:t>
            </w:r>
          </w:p>
          <w:p w14:paraId="10B5025E">
            <w:pPr>
              <w:widowControl/>
              <w:snapToGrid w:val="0"/>
              <w:spacing w:line="360" w:lineRule="auto"/>
              <w:textAlignment w:val="baseline"/>
              <w:rPr>
                <w:rFonts w:ascii="宋体" w:hAnsi="宋体"/>
                <w:color w:val="auto"/>
                <w:kern w:val="0"/>
                <w:szCs w:val="21"/>
                <w:highlight w:val="none"/>
              </w:rPr>
            </w:pPr>
            <w:r>
              <w:rPr>
                <w:rFonts w:ascii="宋体" w:hAnsi="宋体"/>
                <w:color w:val="auto"/>
                <w:kern w:val="0"/>
                <w:szCs w:val="21"/>
                <w:highlight w:val="none"/>
              </w:rPr>
              <w:t>开户银行：建行南宁金湖广场支行</w:t>
            </w:r>
          </w:p>
          <w:p w14:paraId="3AC57EE8">
            <w:pPr>
              <w:widowControl/>
              <w:snapToGrid w:val="0"/>
              <w:spacing w:line="360" w:lineRule="auto"/>
              <w:textAlignment w:val="baseline"/>
              <w:rPr>
                <w:rFonts w:hint="eastAsia" w:ascii="宋体" w:hAnsi="宋体" w:cs="宋体"/>
                <w:color w:val="auto"/>
                <w:highlight w:val="none"/>
              </w:rPr>
            </w:pPr>
            <w:r>
              <w:rPr>
                <w:rFonts w:ascii="宋体" w:hAnsi="宋体"/>
                <w:color w:val="auto"/>
                <w:highlight w:val="none"/>
              </w:rPr>
              <w:t>银行账号：4500 1604 2660 5250 2851</w:t>
            </w:r>
          </w:p>
        </w:tc>
      </w:tr>
      <w:tr w14:paraId="431D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1B9D68AE">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noWrap w:val="0"/>
            <w:vAlign w:val="center"/>
          </w:tcPr>
          <w:p w14:paraId="77A7BB42">
            <w:pPr>
              <w:pStyle w:val="15"/>
              <w:snapToGrid w:val="0"/>
              <w:spacing w:line="460" w:lineRule="exact"/>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5BC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noWrap w:val="0"/>
            <w:vAlign w:val="center"/>
          </w:tcPr>
          <w:p w14:paraId="7214D1D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noWrap w:val="0"/>
            <w:vAlign w:val="center"/>
          </w:tcPr>
          <w:p w14:paraId="38040545">
            <w:pPr>
              <w:pStyle w:val="15"/>
              <w:snapToGrid w:val="0"/>
              <w:spacing w:line="460" w:lineRule="exact"/>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8EF5636">
            <w:pPr>
              <w:pStyle w:val="15"/>
              <w:snapToGrid w:val="0"/>
              <w:spacing w:line="460" w:lineRule="exact"/>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C3EC09A">
            <w:pPr>
              <w:pStyle w:val="15"/>
              <w:snapToGrid w:val="0"/>
              <w:spacing w:line="460" w:lineRule="exact"/>
              <w:rPr>
                <w:rFonts w:hint="eastAsia"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7D5128D">
            <w:pPr>
              <w:pStyle w:val="15"/>
              <w:snapToGrid w:val="0"/>
              <w:spacing w:line="460" w:lineRule="exact"/>
              <w:rPr>
                <w:rFonts w:hint="eastAsia"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4F325FE">
            <w:pPr>
              <w:pStyle w:val="15"/>
              <w:snapToGrid w:val="0"/>
              <w:spacing w:line="460" w:lineRule="exact"/>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65E0C652">
      <w:pPr>
        <w:rPr>
          <w:rFonts w:hint="eastAsia" w:ascii="宋体" w:hAnsi="宋体"/>
          <w:color w:val="auto"/>
          <w:highlight w:val="none"/>
        </w:rPr>
      </w:pPr>
    </w:p>
    <w:p w14:paraId="1B66377C">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563BD50D">
      <w:pPr>
        <w:spacing w:line="400" w:lineRule="exact"/>
        <w:jc w:val="center"/>
        <w:rPr>
          <w:rFonts w:hint="eastAsia" w:ascii="宋体" w:hAnsi="宋体"/>
          <w:b/>
          <w:color w:val="auto"/>
          <w:sz w:val="32"/>
          <w:szCs w:val="32"/>
          <w:highlight w:val="none"/>
        </w:rPr>
      </w:pPr>
    </w:p>
    <w:p w14:paraId="78CDA42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761D12DE">
      <w:pPr>
        <w:spacing w:line="400" w:lineRule="exact"/>
        <w:rPr>
          <w:rFonts w:hint="eastAsia" w:ascii="宋体" w:hAnsi="宋体"/>
          <w:color w:val="auto"/>
          <w:szCs w:val="21"/>
          <w:highlight w:val="none"/>
        </w:rPr>
      </w:pPr>
    </w:p>
    <w:p w14:paraId="5361628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5E043A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E861DD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74DE93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2.1“采购人”是指广西壮族自治区卫生健康统计信息中心。</w:t>
      </w:r>
    </w:p>
    <w:p w14:paraId="4ABBA4C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2.2“采购代理机构”是指广西中信恒泰工程顾问有限公司。</w:t>
      </w:r>
    </w:p>
    <w:p w14:paraId="0849AA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9CD959B">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2D6FDF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3AEE05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EC74F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“实质性要求”是指采购需求中带“▲”的条款或者不能负偏离的条款或者已经指明不满足按响应文件作无效处理的条款。</w:t>
      </w:r>
    </w:p>
    <w:p w14:paraId="329435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w:t>
      </w:r>
      <w:r>
        <w:rPr>
          <w:rFonts w:hint="eastAsia" w:ascii="宋体" w:hAnsi="宋体" w:cs="宋体"/>
          <w:color w:val="auto"/>
          <w:szCs w:val="21"/>
          <w:highlight w:val="none"/>
        </w:rPr>
        <w:t>“正偏离”，是指响应文件对磋商文件“采购需求”中有关条款作出的响应优于条款要求并有利于采购人的情形。</w:t>
      </w:r>
    </w:p>
    <w:p w14:paraId="5D1D500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“负偏离”，是指响应文件对磋商文件“采购需求”中有关条款作出的响应不满足条款要求，导致采购人要求不能得到满足的情形。</w:t>
      </w:r>
    </w:p>
    <w:p w14:paraId="1EE303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1D05A9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11</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14:paraId="400F2E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12</w:t>
      </w:r>
      <w:r>
        <w:rPr>
          <w:rFonts w:hint="eastAsia" w:ascii="宋体" w:hAnsi="宋体" w:cs="宋体"/>
          <w:color w:val="auto"/>
          <w:szCs w:val="21"/>
          <w:highlight w:val="none"/>
        </w:rPr>
        <w:t>“首次报价”是指供应商提交的首次响应文件中的报价。</w:t>
      </w:r>
    </w:p>
    <w:p w14:paraId="0EF213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3</w:t>
      </w:r>
      <w:r>
        <w:rPr>
          <w:rFonts w:hint="eastAsia" w:ascii="宋体" w:hAnsi="宋体" w:cs="宋体"/>
          <w:color w:val="auto"/>
          <w:szCs w:val="21"/>
          <w:highlight w:val="none"/>
        </w:rPr>
        <w:t>“评审价”是指供应商提交的最后报价并经修正（如有）和政策功能价格扣除（如有）后的价格。</w:t>
      </w:r>
    </w:p>
    <w:p w14:paraId="185B19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1F1C5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886655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3C415D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3C9B66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0BC9F8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8C5B7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4769946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6.转包与分包</w:t>
      </w:r>
    </w:p>
    <w:p w14:paraId="3087ED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7FE955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4A0223A5">
      <w:pPr>
        <w:spacing w:line="360" w:lineRule="auto"/>
        <w:ind w:firstLine="482" w:firstLineChars="200"/>
        <w:rPr>
          <w:rFonts w:hint="eastAsia" w:ascii="宋体" w:hAnsi="宋体" w:cs="宋体"/>
          <w:b/>
          <w:bCs/>
          <w:color w:val="auto"/>
          <w:sz w:val="24"/>
          <w:highlight w:val="none"/>
        </w:rPr>
      </w:pPr>
      <w:bookmarkStart w:id="49" w:name="_Toc254970532"/>
      <w:bookmarkStart w:id="50" w:name="_Toc254970673"/>
      <w:r>
        <w:rPr>
          <w:rFonts w:hint="eastAsia" w:ascii="宋体" w:hAnsi="宋体" w:cs="宋体"/>
          <w:b/>
          <w:bCs/>
          <w:color w:val="auto"/>
          <w:sz w:val="24"/>
          <w:highlight w:val="none"/>
        </w:rPr>
        <w:t>7.特别说明</w:t>
      </w:r>
      <w:bookmarkEnd w:id="49"/>
      <w:bookmarkEnd w:id="50"/>
    </w:p>
    <w:p w14:paraId="7F8B8664">
      <w:pPr>
        <w:spacing w:line="360" w:lineRule="auto"/>
        <w:ind w:firstLine="420" w:firstLineChars="200"/>
        <w:rPr>
          <w:rFonts w:hint="eastAsia" w:ascii="宋体" w:hAnsi="宋体" w:cs="宋体"/>
          <w:color w:val="auto"/>
          <w:szCs w:val="21"/>
          <w:highlight w:val="none"/>
        </w:rPr>
      </w:pPr>
      <w:bookmarkStart w:id="51" w:name="_8.1提供相同品牌产品且通过资格审查、符合性审查的不同投标人参加同一合"/>
      <w:bookmarkEnd w:id="51"/>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olor w:val="auto"/>
          <w:szCs w:val="21"/>
          <w:highlight w:val="none"/>
        </w:rPr>
        <w:t>如果本磋商文件要求供应商提供资格、信誉、荣誉、业绩与企业认证等材料的，则供应商所提供的以上材料必须为供应商所拥有</w:t>
      </w:r>
      <w:r>
        <w:rPr>
          <w:rFonts w:hint="eastAsia" w:ascii="宋体" w:hAnsi="宋体" w:cs="宋体"/>
          <w:color w:val="auto"/>
          <w:szCs w:val="21"/>
          <w:highlight w:val="none"/>
        </w:rPr>
        <w:t>。</w:t>
      </w:r>
    </w:p>
    <w:p w14:paraId="0AEE15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23BF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60F70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7ED318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FF28E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9EC89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C8F53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D5132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41BF5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16C9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58F8E5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0AA09A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8243C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0AB11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AD224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D9CCF50">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4074F954">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243D51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9DC85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C9733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89C9A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0C4E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80EA2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21F5B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6102742">
      <w:pPr>
        <w:spacing w:line="360" w:lineRule="auto"/>
        <w:ind w:firstLine="420" w:firstLineChars="200"/>
        <w:rPr>
          <w:rFonts w:hint="eastAsia" w:ascii="宋体" w:hAnsi="宋体" w:cs="宋体"/>
          <w:color w:val="auto"/>
          <w:szCs w:val="21"/>
          <w:highlight w:val="none"/>
        </w:rPr>
      </w:pPr>
    </w:p>
    <w:p w14:paraId="3103C47F">
      <w:pPr>
        <w:spacing w:line="360" w:lineRule="auto"/>
        <w:jc w:val="center"/>
        <w:rPr>
          <w:rFonts w:hint="eastAsia" w:ascii="宋体" w:hAnsi="宋体"/>
          <w:b/>
          <w:bCs/>
          <w:color w:val="auto"/>
          <w:sz w:val="32"/>
          <w:szCs w:val="32"/>
          <w:highlight w:val="none"/>
        </w:rPr>
      </w:pPr>
      <w:bookmarkStart w:id="52" w:name="_Toc254970675"/>
      <w:bookmarkStart w:id="53" w:name="_Toc254970534"/>
      <w:r>
        <w:rPr>
          <w:rFonts w:hint="eastAsia" w:ascii="宋体" w:hAnsi="宋体"/>
          <w:b/>
          <w:bCs/>
          <w:color w:val="auto"/>
          <w:sz w:val="32"/>
          <w:szCs w:val="32"/>
          <w:highlight w:val="none"/>
        </w:rPr>
        <w:t>二、磋商文件</w:t>
      </w:r>
      <w:bookmarkEnd w:id="52"/>
      <w:bookmarkEnd w:id="53"/>
    </w:p>
    <w:p w14:paraId="67017CE3">
      <w:pPr>
        <w:spacing w:line="360" w:lineRule="auto"/>
        <w:jc w:val="center"/>
        <w:rPr>
          <w:rFonts w:hint="eastAsia" w:ascii="宋体" w:hAnsi="宋体"/>
          <w:color w:val="auto"/>
          <w:szCs w:val="21"/>
          <w:highlight w:val="none"/>
        </w:rPr>
      </w:pPr>
    </w:p>
    <w:p w14:paraId="0FC6FE4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7168F8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016AFAB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3A399AC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5F8D19E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3868865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6079ACF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14BE6C8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16F584D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4993AF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6FA5182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6DE6D246">
      <w:pPr>
        <w:spacing w:line="360" w:lineRule="auto"/>
        <w:rPr>
          <w:rFonts w:hint="eastAsia" w:ascii="宋体" w:hAnsi="宋体"/>
          <w:color w:val="auto"/>
          <w:szCs w:val="21"/>
          <w:highlight w:val="none"/>
        </w:rPr>
      </w:pPr>
    </w:p>
    <w:p w14:paraId="3534884B">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278C1918">
      <w:pPr>
        <w:spacing w:line="360" w:lineRule="auto"/>
        <w:rPr>
          <w:rFonts w:hint="eastAsia" w:ascii="宋体" w:hAnsi="宋体"/>
          <w:color w:val="auto"/>
          <w:szCs w:val="21"/>
          <w:highlight w:val="none"/>
        </w:rPr>
      </w:pPr>
    </w:p>
    <w:p w14:paraId="180C945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14FF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06385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1D0B7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3B30B37F">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79BC2E58">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报价商务技术文件：详见须知前附表</w:t>
      </w:r>
    </w:p>
    <w:p w14:paraId="38880A4A">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14:paraId="5F9A64C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16DD9A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636383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675573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895CE5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6B1A29C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2DEBF5A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20C63C02">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511C7A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1E8EEB3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715ECDF">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00D687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378877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竞标报价（包含首次报价、最后报价）超过所竞标分标规定的采购预算金额或者最高限价的，其响应文件将作无效处理。</w:t>
      </w:r>
    </w:p>
    <w:p w14:paraId="331A14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54"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54"/>
    <w:p w14:paraId="4076BC7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7891B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8C3CD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115967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A2D9D5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5044019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E7B610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4AEE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14:paraId="593558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43E7C275">
      <w:pPr>
        <w:pStyle w:val="7"/>
        <w:spacing w:line="360" w:lineRule="auto"/>
        <w:ind w:firstLine="315" w:firstLineChars="15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采用支票、汇票、本票或者金融、担保机构出具的保函方式的，由供应商代表持相关授权证明材料至采购人或者采购代理机构办理支票、汇票、本票或者金融、担保机构出具的保函原件退还手续。</w:t>
      </w:r>
    </w:p>
    <w:p w14:paraId="159263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17.2.2成交供应商的磋商保证金自签订合同之日起5个工作日内退还，退还方式同未成交供应商的磋商保证金的退还方式。</w:t>
      </w:r>
    </w:p>
    <w:p w14:paraId="5A8D7B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293B04A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29B954F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436E09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05604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386167A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34E1649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（5）磋商文件规定的其他情形。</w:t>
      </w:r>
    </w:p>
    <w:p w14:paraId="47A365C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9503A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18.1供应商应按本磋商文件规定的格式和顺序编制、装订响应文件并标注页码，响应文件内容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05A14C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14:paraId="7A606A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18.3响应文件的正本应打印或者用不褪色的墨水填写，响应文件正本除本“供应商须知”中规定的可提供复印件外均须提供原件，副本可为正本签字、盖章后的复印件，当副本和正本不一致时，以正本为准。</w:t>
      </w:r>
    </w:p>
    <w:p w14:paraId="7AAD02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18.4响应文件须由供应商在规定位置盖公章并由法定代表人或者委托代理人签字，否则其响应文件按无效响应处理。骑缝盖公章不视为在规定位置盖章。</w:t>
      </w:r>
    </w:p>
    <w:p w14:paraId="1958F3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18.5响应文件中标注的供应商名称应与营业执照（事业单位法人证书、执业许可证、自然人身份证）及公章一致，否则其响应文件按无效响应处理。</w:t>
      </w:r>
    </w:p>
    <w:p w14:paraId="750117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CE1B48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1FB1B7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19.1响应文件正、副本全部装入一个或者多个包封袋/箱（响应文件的补充、修改可另行单独递交）中并加以密封，封口处必须加盖供应商公章或者</w:t>
      </w:r>
      <w:r>
        <w:rPr>
          <w:rFonts w:hint="eastAsia" w:ascii="宋体" w:hAnsi="宋体" w:cs="宋体"/>
          <w:color w:val="auto"/>
          <w:highlight w:val="none"/>
        </w:rPr>
        <w:t>法定代表人签字</w:t>
      </w:r>
      <w:r>
        <w:rPr>
          <w:rFonts w:hint="eastAsia" w:ascii="宋体" w:hAnsi="宋体" w:cs="宋体"/>
          <w:color w:val="auto"/>
          <w:szCs w:val="21"/>
          <w:highlight w:val="none"/>
        </w:rPr>
        <w:t>或者委托代理人签字，以示密封。</w:t>
      </w:r>
    </w:p>
    <w:p w14:paraId="05DFE8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19.2响应文件外层包装封面上应标记“项目名称、项目编号、供应商名称、所竞分标、首次响应文件提交截止时间前不得启封”字样。</w:t>
      </w:r>
    </w:p>
    <w:p w14:paraId="29EF55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19.3未按上述规定密封的响应文件将被拒收。</w:t>
      </w:r>
    </w:p>
    <w:p w14:paraId="72E44B1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588617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7D54D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20.2采购代理机构工作人员收到响应文件后，应当如实记载响应文件的密封情况。</w:t>
      </w:r>
    </w:p>
    <w:p w14:paraId="5FB2A7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20.3在</w:t>
      </w:r>
      <w:r>
        <w:rPr>
          <w:rFonts w:hint="eastAsia" w:ascii="宋体" w:hAnsi="宋体"/>
          <w:color w:val="auto"/>
          <w:szCs w:val="21"/>
          <w:highlight w:val="none"/>
        </w:rPr>
        <w:t>首次响应文件提交截止时间</w:t>
      </w:r>
      <w:r>
        <w:rPr>
          <w:rFonts w:hint="eastAsia" w:ascii="宋体" w:hAnsi="宋体" w:cs="宋体"/>
          <w:color w:val="auto"/>
          <w:szCs w:val="21"/>
          <w:highlight w:val="none"/>
        </w:rPr>
        <w:t>后送达的或者不符合本须知正文第1</w:t>
      </w:r>
      <w:r>
        <w:rPr>
          <w:rFonts w:ascii="宋体" w:hAnsi="宋体" w:cs="宋体"/>
          <w:color w:val="auto"/>
          <w:szCs w:val="21"/>
          <w:highlight w:val="none"/>
        </w:rPr>
        <w:t>9.3</w:t>
      </w:r>
      <w:r>
        <w:rPr>
          <w:rFonts w:hint="eastAsia" w:ascii="宋体" w:hAnsi="宋体" w:cs="宋体"/>
          <w:color w:val="auto"/>
          <w:szCs w:val="21"/>
          <w:highlight w:val="none"/>
        </w:rPr>
        <w:t>条的响应文件为无效文件，采购人或者采购代理机构应当拒收。</w:t>
      </w:r>
    </w:p>
    <w:p w14:paraId="2F1962B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02F455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71B9FBCB">
      <w:pPr>
        <w:spacing w:line="360" w:lineRule="auto"/>
        <w:ind w:firstLine="482" w:firstLineChars="200"/>
        <w:rPr>
          <w:rFonts w:ascii="宋体" w:hAnsi="宋体" w:cs="宋体"/>
          <w:b/>
          <w:bCs/>
          <w:color w:val="auto"/>
          <w:sz w:val="24"/>
          <w:highlight w:val="none"/>
        </w:rPr>
      </w:pPr>
      <w:bookmarkStart w:id="55" w:name="_Hlk45702405"/>
      <w:r>
        <w:rPr>
          <w:rFonts w:hint="eastAsia" w:ascii="宋体" w:hAnsi="宋体" w:cs="宋体"/>
          <w:b/>
          <w:bCs/>
          <w:color w:val="auto"/>
          <w:sz w:val="24"/>
          <w:highlight w:val="none"/>
        </w:rPr>
        <w:t>22.首次响应文件的退回</w:t>
      </w:r>
    </w:p>
    <w:p w14:paraId="536C7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在首次响应文件提交截止时间止提交响应文件的供应商不足3家时，应当由供应商签字领回响应文件，除此之外采购人和采购代理机构对已提交的响应文件概不退回。</w:t>
      </w:r>
    </w:p>
    <w:p w14:paraId="567B03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4A7718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55"/>
    <w:p w14:paraId="00B04B5D">
      <w:pPr>
        <w:spacing w:line="360" w:lineRule="auto"/>
        <w:rPr>
          <w:rFonts w:hint="eastAsia" w:ascii="宋体" w:hAnsi="宋体"/>
          <w:color w:val="auto"/>
          <w:szCs w:val="21"/>
          <w:highlight w:val="none"/>
        </w:rPr>
      </w:pPr>
    </w:p>
    <w:p w14:paraId="60C48DFF">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46676080">
      <w:pPr>
        <w:spacing w:line="360" w:lineRule="auto"/>
        <w:ind w:left="420" w:firstLine="420"/>
        <w:rPr>
          <w:rFonts w:hint="eastAsia" w:ascii="宋体" w:hAnsi="宋体"/>
          <w:color w:val="auto"/>
          <w:szCs w:val="21"/>
          <w:highlight w:val="none"/>
        </w:rPr>
      </w:pPr>
    </w:p>
    <w:p w14:paraId="4F3C2CC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7C6A8F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231B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从采购代理机构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F516E7">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25.</w:t>
      </w:r>
      <w:r>
        <w:rPr>
          <w:rFonts w:hint="eastAsia" w:ascii="宋体" w:hAnsi="宋体" w:cs="宋体"/>
          <w:b/>
          <w:bCs/>
          <w:color w:val="auto"/>
          <w:sz w:val="24"/>
          <w:highlight w:val="none"/>
        </w:rPr>
        <w:t>首次响应文件的开启</w:t>
      </w:r>
    </w:p>
    <w:p w14:paraId="579698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11E1A039">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26</w:t>
      </w:r>
      <w:r>
        <w:rPr>
          <w:rFonts w:hint="eastAsia" w:ascii="宋体" w:hAnsi="宋体" w:cs="宋体"/>
          <w:b/>
          <w:bCs/>
          <w:color w:val="auto"/>
          <w:sz w:val="24"/>
          <w:highlight w:val="none"/>
        </w:rPr>
        <w:t>.评审程序、评审方法和评审标准</w:t>
      </w:r>
    </w:p>
    <w:p w14:paraId="57EEBB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DE9F75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28FB4A0C">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27</w:t>
      </w:r>
      <w:r>
        <w:rPr>
          <w:rFonts w:hint="eastAsia" w:ascii="宋体" w:hAnsi="宋体" w:cs="宋体"/>
          <w:b/>
          <w:bCs/>
          <w:color w:val="auto"/>
          <w:sz w:val="24"/>
          <w:highlight w:val="none"/>
        </w:rPr>
        <w:t>.确定成交供应商及结果公告</w:t>
      </w:r>
    </w:p>
    <w:p w14:paraId="224B377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E72E38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52EB46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4381005">
      <w:pPr>
        <w:spacing w:line="360" w:lineRule="auto"/>
        <w:ind w:firstLine="420" w:firstLineChars="200"/>
        <w:rPr>
          <w:rFonts w:hint="eastAsia"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E76C636">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28</w:t>
      </w:r>
      <w:r>
        <w:rPr>
          <w:rFonts w:hint="eastAsia" w:ascii="宋体" w:hAnsi="宋体" w:cs="宋体"/>
          <w:b/>
          <w:bCs/>
          <w:color w:val="auto"/>
          <w:sz w:val="24"/>
          <w:highlight w:val="none"/>
        </w:rPr>
        <w:t>.履约保证金</w:t>
      </w:r>
    </w:p>
    <w:p w14:paraId="62138309">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5BB815B1">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56270C95">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在履约保证金退还日期前，若成交供应商的开户名称、开户银行、帐号有变动的，请以书面形式通知履约保证金收取单位，否则由此产生的后果由成交供应商自行承担。</w:t>
      </w:r>
    </w:p>
    <w:p w14:paraId="7A4C5756">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29</w:t>
      </w:r>
      <w:r>
        <w:rPr>
          <w:rFonts w:hint="eastAsia" w:ascii="宋体" w:hAnsi="宋体" w:cs="宋体"/>
          <w:b/>
          <w:bCs/>
          <w:color w:val="auto"/>
          <w:sz w:val="24"/>
          <w:highlight w:val="none"/>
        </w:rPr>
        <w:t>.签订合同</w:t>
      </w:r>
    </w:p>
    <w:p w14:paraId="44EFA8E8">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14:paraId="47183AC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.2签订合同时间：按成交通知书规定的时间与采购人签订政府采购合同。</w:t>
      </w:r>
    </w:p>
    <w:p w14:paraId="4E8A1792">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3C9E94C8">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30</w:t>
      </w:r>
      <w:r>
        <w:rPr>
          <w:rFonts w:hint="eastAsia" w:ascii="宋体" w:hAnsi="宋体" w:cs="宋体"/>
          <w:b/>
          <w:bCs/>
          <w:color w:val="auto"/>
          <w:sz w:val="24"/>
          <w:highlight w:val="none"/>
        </w:rPr>
        <w:t>.政府采购合同公告</w:t>
      </w:r>
    </w:p>
    <w:p w14:paraId="1F1B23EA">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31</w:t>
      </w:r>
      <w:r>
        <w:rPr>
          <w:rFonts w:hint="eastAsia" w:ascii="宋体" w:hAnsi="宋体" w:cs="宋体"/>
          <w:b/>
          <w:bCs/>
          <w:color w:val="auto"/>
          <w:sz w:val="24"/>
          <w:highlight w:val="none"/>
        </w:rPr>
        <w:t>.询问、质疑和投诉</w:t>
      </w:r>
    </w:p>
    <w:p w14:paraId="6295D9B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33908F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宋体"/>
          <w:color w:val="auto"/>
          <w:highlight w:val="none"/>
        </w:rPr>
        <w:t>接收质疑函的方式、联系部门、联系电话和通讯地址等信息</w:t>
      </w:r>
      <w:r>
        <w:rPr>
          <w:rFonts w:hint="eastAsia" w:ascii="宋体" w:hAnsi="宋体" w:cs="宋体"/>
          <w:color w:val="auto"/>
          <w:highlight w:val="none"/>
        </w:rPr>
        <w:t>详见“供应商须</w:t>
      </w:r>
      <w:r>
        <w:rPr>
          <w:rFonts w:hint="eastAsia" w:ascii="宋体" w:hAnsi="宋体" w:cs="宋体"/>
          <w:color w:val="auto"/>
          <w:szCs w:val="21"/>
          <w:highlight w:val="none"/>
        </w:rPr>
        <w:t>知前附表”</w:t>
      </w:r>
      <w:r>
        <w:rPr>
          <w:rFonts w:hint="eastAsia" w:ascii="宋体" w:hAnsi="宋体" w:cs="宋体"/>
          <w:color w:val="auto"/>
          <w:highlight w:val="none"/>
        </w:rPr>
        <w:t>。具体质疑起算时间如下：</w:t>
      </w:r>
    </w:p>
    <w:p w14:paraId="73F399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0B92E0F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FE1C7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B71CB5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4946A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ascii="宋体" w:hAnsi="宋体"/>
          <w:bCs/>
          <w:color w:val="auto"/>
          <w:highlight w:val="none"/>
        </w:rPr>
        <w:t>（质疑函格式后附）</w:t>
      </w:r>
      <w:r>
        <w:rPr>
          <w:rFonts w:hint="eastAsia" w:ascii="宋体" w:hAnsi="宋体" w:cs="宋体"/>
          <w:color w:val="auto"/>
          <w:highlight w:val="none"/>
        </w:rPr>
        <w:t>：</w:t>
      </w:r>
    </w:p>
    <w:p w14:paraId="5F9DA6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EC2B4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4D41D8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324D8A4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03111A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40E94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52B100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5A1186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8BB44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0D75D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2106D0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质疑答复导致成交结果改变的，采购人或者采购代理机构应当将有关情况书面报告采购人监督管理部门。</w:t>
      </w:r>
    </w:p>
    <w:p w14:paraId="08CAAE73">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投诉的权利。质疑供应商对采购人、采购代理机构的答复不满意，或者采购人、采购代理机构未在规定时间内作出答复的，可以在答复期满后15个工作日内向采购人监督管理部门提起投诉（投诉书格式后附）。</w:t>
      </w:r>
    </w:p>
    <w:p w14:paraId="52D34FE6">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32</w:t>
      </w:r>
      <w:r>
        <w:rPr>
          <w:rFonts w:hint="eastAsia" w:ascii="宋体" w:hAnsi="宋体" w:cs="宋体"/>
          <w:b/>
          <w:bCs/>
          <w:color w:val="auto"/>
          <w:sz w:val="24"/>
          <w:highlight w:val="none"/>
        </w:rPr>
        <w:t>.其他内容</w:t>
      </w:r>
    </w:p>
    <w:p w14:paraId="72EC7DBD">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.1代理服务收费标准及缴费账户详见“供应商须知前附表”，供应商为联合体的，可以由联合体中的一方或者多方共同交纳代理服务费。</w:t>
      </w:r>
    </w:p>
    <w:p w14:paraId="743FDAC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ascii="宋体" w:hAnsi="宋体" w:cs="宋体"/>
          <w:b/>
          <w:bCs/>
          <w:color w:val="auto"/>
          <w:sz w:val="24"/>
          <w:highlight w:val="none"/>
        </w:rPr>
        <w:t>3.需要补充的其他内容</w:t>
      </w:r>
    </w:p>
    <w:p w14:paraId="48E4380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3.1</w:t>
      </w:r>
      <w:r>
        <w:rPr>
          <w:rFonts w:hint="eastAsia" w:ascii="宋体" w:hAnsi="宋体" w:cs="宋体"/>
          <w:color w:val="auto"/>
          <w:highlight w:val="none"/>
        </w:rPr>
        <w:t>本磋商文件解释规则详见“供应商须知前附表”。</w:t>
      </w:r>
    </w:p>
    <w:p w14:paraId="69A138BF">
      <w:pPr>
        <w:spacing w:line="360" w:lineRule="auto"/>
        <w:ind w:firstLine="420" w:firstLineChars="200"/>
        <w:rPr>
          <w:rFonts w:ascii="宋体" w:hAnsi="宋体" w:cs="宋体"/>
          <w:color w:val="auto"/>
          <w:highlight w:val="none"/>
        </w:rPr>
      </w:pPr>
      <w:r>
        <w:rPr>
          <w:rFonts w:ascii="宋体" w:hAnsi="宋体" w:cs="宋体"/>
          <w:color w:val="auto"/>
          <w:highlight w:val="none"/>
        </w:rPr>
        <w:t>33.2</w:t>
      </w:r>
      <w:r>
        <w:rPr>
          <w:rFonts w:hint="eastAsia" w:ascii="宋体" w:hAnsi="宋体" w:cs="宋体"/>
          <w:color w:val="auto"/>
          <w:highlight w:val="none"/>
        </w:rPr>
        <w:t>其他事项详见“供应商须知前附表”。</w:t>
      </w:r>
    </w:p>
    <w:p w14:paraId="2F8AEC1E">
      <w:pPr>
        <w:spacing w:line="360" w:lineRule="auto"/>
        <w:rPr>
          <w:rFonts w:hint="eastAsia" w:ascii="宋体" w:hAnsi="宋体"/>
          <w:color w:val="auto"/>
          <w:highlight w:val="none"/>
        </w:rPr>
      </w:pPr>
    </w:p>
    <w:p w14:paraId="65604225">
      <w:pPr>
        <w:pStyle w:val="3"/>
        <w:jc w:val="center"/>
        <w:rPr>
          <w:rFonts w:hint="eastAsia" w:ascii="宋体" w:hAnsi="宋体"/>
          <w:color w:val="auto"/>
          <w:highlight w:val="none"/>
        </w:rPr>
      </w:pPr>
      <w:r>
        <w:rPr>
          <w:rFonts w:ascii="宋体" w:hAnsi="宋体"/>
          <w:color w:val="auto"/>
          <w:highlight w:val="none"/>
        </w:rPr>
        <w:br w:type="page"/>
      </w:r>
      <w:bookmarkStart w:id="56" w:name="_Toc9604"/>
      <w:r>
        <w:rPr>
          <w:rFonts w:hint="eastAsia" w:ascii="宋体" w:hAnsi="宋体"/>
          <w:color w:val="auto"/>
          <w:highlight w:val="none"/>
        </w:rPr>
        <w:t>第三章  采购需求</w:t>
      </w:r>
      <w:bookmarkEnd w:id="56"/>
    </w:p>
    <w:p w14:paraId="4A12CA5B">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34F91AA1">
      <w:pPr>
        <w:spacing w:line="440" w:lineRule="exact"/>
        <w:jc w:val="left"/>
        <w:rPr>
          <w:rFonts w:hint="eastAsia" w:ascii="宋体" w:hAnsi="宋体" w:cs="宋体"/>
          <w:color w:val="auto"/>
          <w:szCs w:val="21"/>
          <w:highlight w:val="none"/>
        </w:rPr>
      </w:pPr>
    </w:p>
    <w:p w14:paraId="54B39CE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6488BAF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429DB1E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F5D86E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71517EC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551C4070">
      <w:pPr>
        <w:spacing w:line="360" w:lineRule="auto"/>
        <w:ind w:firstLine="424" w:firstLineChars="202"/>
        <w:jc w:val="left"/>
        <w:rPr>
          <w:rFonts w:hint="eastAsia" w:ascii="宋体" w:hAnsi="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.所属行业：软件和信息技术服务业。</w:t>
      </w:r>
    </w:p>
    <w:p w14:paraId="167B0E31">
      <w:pPr>
        <w:tabs>
          <w:tab w:val="left" w:pos="180"/>
          <w:tab w:val="left" w:pos="1620"/>
        </w:tabs>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一、需求一览表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4"/>
        <w:gridCol w:w="599"/>
        <w:gridCol w:w="709"/>
        <w:gridCol w:w="6012"/>
      </w:tblGrid>
      <w:tr w14:paraId="04C5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67" w:type="dxa"/>
            <w:noWrap w:val="0"/>
            <w:vAlign w:val="center"/>
          </w:tcPr>
          <w:p w14:paraId="65296E7C">
            <w:pPr>
              <w:keepNext w:val="0"/>
              <w:keepLines w:val="0"/>
              <w:pageBreakBefore w:val="0"/>
              <w:kinsoku/>
              <w:wordWrap/>
              <w:overflowPunct/>
              <w:topLinePunct w:val="0"/>
              <w:autoSpaceDE/>
              <w:autoSpaceDN/>
              <w:bidi w:val="0"/>
              <w:adjustRightInd/>
              <w:spacing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843" w:type="dxa"/>
            <w:gridSpan w:val="2"/>
            <w:noWrap w:val="0"/>
            <w:vAlign w:val="center"/>
          </w:tcPr>
          <w:p w14:paraId="7007BE5C">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709" w:type="dxa"/>
            <w:noWrap w:val="0"/>
            <w:vAlign w:val="center"/>
          </w:tcPr>
          <w:p w14:paraId="01EF4CC4">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单位</w:t>
            </w:r>
          </w:p>
        </w:tc>
        <w:tc>
          <w:tcPr>
            <w:tcW w:w="6012" w:type="dxa"/>
            <w:noWrap w:val="0"/>
            <w:vAlign w:val="center"/>
          </w:tcPr>
          <w:p w14:paraId="3F0975B5">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服务说明及要求</w:t>
            </w:r>
          </w:p>
        </w:tc>
      </w:tr>
      <w:tr w14:paraId="3A76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noWrap w:val="0"/>
            <w:vAlign w:val="center"/>
          </w:tcPr>
          <w:p w14:paraId="22FB2C21">
            <w:pPr>
              <w:keepNext w:val="0"/>
              <w:keepLines w:val="0"/>
              <w:pageBreakBefore w:val="0"/>
              <w:widowControl/>
              <w:kinsoku/>
              <w:wordWrap/>
              <w:overflowPunct/>
              <w:topLinePunct w:val="0"/>
              <w:autoSpaceDE/>
              <w:autoSpaceDN/>
              <w:bidi w:val="0"/>
              <w:adjustRightInd/>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843" w:type="dxa"/>
            <w:gridSpan w:val="2"/>
            <w:noWrap w:val="0"/>
            <w:vAlign w:val="center"/>
          </w:tcPr>
          <w:p w14:paraId="6CE8E3DD">
            <w:pPr>
              <w:keepNext w:val="0"/>
              <w:keepLines w:val="0"/>
              <w:pageBreakBefore w:val="0"/>
              <w:widowControl/>
              <w:kinsoku/>
              <w:wordWrap/>
              <w:overflowPunct/>
              <w:topLinePunct w:val="0"/>
              <w:autoSpaceDE/>
              <w:autoSpaceDN/>
              <w:bidi w:val="0"/>
              <w:adjustRightInd/>
              <w:spacing w:line="44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安全运维服务</w:t>
            </w:r>
          </w:p>
        </w:tc>
        <w:tc>
          <w:tcPr>
            <w:tcW w:w="709" w:type="dxa"/>
            <w:noWrap w:val="0"/>
            <w:vAlign w:val="center"/>
          </w:tcPr>
          <w:p w14:paraId="53261603">
            <w:pPr>
              <w:keepNext w:val="0"/>
              <w:keepLines w:val="0"/>
              <w:pageBreakBefore w:val="0"/>
              <w:widowControl/>
              <w:kinsoku/>
              <w:wordWrap/>
              <w:overflowPunct/>
              <w:topLinePunct w:val="0"/>
              <w:autoSpaceDE/>
              <w:autoSpaceDN/>
              <w:bidi w:val="0"/>
              <w:adjustRightInd/>
              <w:spacing w:line="44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012" w:type="dxa"/>
            <w:noWrap w:val="0"/>
            <w:vAlign w:val="center"/>
          </w:tcPr>
          <w:p w14:paraId="6065A15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提供安全运维服务，具体如下：</w:t>
            </w:r>
          </w:p>
          <w:p w14:paraId="62BFEC8D">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日常值守安全运维服务每周提供不少于2人天的现场驻守服务。服务内容包括但不限于:设备巡检、安全态势分析、安全设备告警分析及处置、安全设备策略优化、安全设备规则库等内容更新及其他临时分配的安全运营任务，如:小规模漏扫、安全排查、溯源、漏洞复测、安全加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内外网资产测绘服务以及登入入口普查等。</w:t>
            </w:r>
          </w:p>
          <w:p w14:paraId="4021C27B">
            <w:pPr>
              <w:numPr>
                <w:ilvl w:val="0"/>
                <w:numId w:val="1"/>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重要时期值守服务在重要时期(护网、两会、国庆、东盟博览会等)前，</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派工程师提前至采购单位现场开展重保前准备工作，包括但不限于安全设备覆盖度测试、防护能力测试、内外网主机漏洞扫描、系统人工渗透、配合暴露面收敛和Webshell、可疑后门排查等;重保期间，派遣不少于1名工程师进行现场值守或提供远程值守(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具体安排为准)支持,对其所属资产进行安全检查、安全加固、监控分析安全告警、溯源及流量分析等并协助处理相关安全事件。</w:t>
            </w:r>
          </w:p>
          <w:p w14:paraId="59D19B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3、安全检测服务提供漏洞扫描及渗透测试服务。</w:t>
            </w:r>
          </w:p>
          <w:p w14:paraId="7A1303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漏洞扫描服务：对机房现有的服务器、数据库、网络/安全设备、中间件、web应用等方面风险进行安全分析、扫描探测和测试,找出中、高风险漏洞并提出整改和加固建议和协同进行整改修复。所用漏扫设备及安全工具要求如下: </w:t>
            </w:r>
          </w:p>
          <w:p w14:paraId="1F890F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（1）具有正版商业授权漏扫软件或扫描系统; </w:t>
            </w:r>
          </w:p>
          <w:p w14:paraId="3F0414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 xml:space="preserve">自研的漏扫设备和安全测试工具; </w:t>
            </w:r>
          </w:p>
          <w:p w14:paraId="120E365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源工具及内部自维护的POC/Exp库;禁止使用任何来历不明或可能存在安全风险的漏扫设备、软件和安全工具进行测试。漏扫频次:每季度1次,年度总次数不少于4次；系统总数量为单位的所有业务系统、服务器、数据库、中间件等。</w:t>
            </w:r>
          </w:p>
          <w:p w14:paraId="0B57C9A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渗透测试服务：结合使用多种安全技术手段和方法对采购人授权指定的业务系统进行非破坏性的安全测试，采用人工黑盒的方式对 应用系统进行模拟攻击测试，测试方法包括：信息收集、端口扫描、远程 溢出、口令猜测、本地溢出、客户端攻击、中间人攻击、web 脚本渗透、 B/S 或 C/S 应用程序测试等，验证当前的安全防护措施，找出风险点，提供有价值的安全建议，从根源上解决存在的漏洞或问题，减少信息泄露事件的发生。完成渗透测试工作后提交《渗透测试报告》。渗透测试频率:每季度1次;系统总数量为单位的所有业务系统。</w:t>
            </w:r>
          </w:p>
          <w:p w14:paraId="5D3047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安全预警服务需及时跟踪最新安全动态，以安全通告的形式为采购单位提供技术和定制的、分级的安全信息，包括实时安全漏洞通知、临时安全解决方案及漏洞情况更新通告等。在服务范围内针对新漏洞或紧急安全威胁，在采购单位同意下，开展专项内部自查扫描并输出记录报告，配合完成后续闭环跟踪。</w:t>
            </w:r>
          </w:p>
          <w:p w14:paraId="505EF0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5、安全咨询服务依据国家政策和国家信息安全标准提供安全运营及建设的咨询服务,对</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在网络安全体系建设和运营过程中提出的问题,如:等保、密评、数据安全、漏洞整改加固、告警分析、攻防技术等提供中立、充分的咨询建议、技术支持和技术答疑。</w:t>
            </w:r>
          </w:p>
          <w:p w14:paraId="038E99E1">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6、应急响应服务(网络安全突发事件服务)对</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突发的安全事件提供7*24小时的应急响应服务</w:t>
            </w:r>
            <w:r>
              <w:rPr>
                <w:rFonts w:hint="eastAsia" w:ascii="宋体" w:hAnsi="宋体" w:eastAsia="宋体" w:cs="宋体"/>
                <w:color w:val="auto"/>
                <w:sz w:val="21"/>
                <w:szCs w:val="21"/>
                <w:highlight w:val="none"/>
                <w:lang w:val="en-US" w:eastAsia="zh-CN"/>
              </w:rPr>
              <w:t>具备快速响应机制和能力。</w:t>
            </w:r>
            <w:r>
              <w:rPr>
                <w:rFonts w:hint="eastAsia" w:ascii="宋体" w:hAnsi="宋体" w:eastAsia="宋体" w:cs="宋体"/>
                <w:color w:val="auto"/>
                <w:sz w:val="21"/>
                <w:szCs w:val="21"/>
                <w:highlight w:val="none"/>
              </w:rPr>
              <w:t>相关问题处理完成后应及时形成相关报告文档和记录，并交接到</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处。响应过程包括但不限于:对安全事件进行分析排查;阻断正在进行的攻击;封堵入侵途径;攻击流量溯源;分析攻击入侵后的系统安全状况和系统存在漏洞等,给出解决方案并协同进行整改修复。服务次数:按需。</w:t>
            </w:r>
          </w:p>
          <w:p w14:paraId="0A1FEC2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7、安全培训服务为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相关工作人员提供基础的网络安全培训服务,培训的基本内容为网络安全意识培训。根据采购人要求，提供不少于2次，不高于4次的培训。单次培训时长不少于6小时。</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提供师资和电子档培训教材、课件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提供的师资、教材等内容需经过采购人审核同意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。采购人指定时间和提供培训场地。如若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举办行业网络安全竞赛，</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需提供网络安全训练竞赛平台用于竞赛支持并对参赛人员进行赛前专项培训，提供不少于1次该项服务；如若采购单位组织参加外部的网络安全竞赛，</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需提供赛前培训，提供不少于1次该项服务，每次不少于5天。</w:t>
            </w:r>
          </w:p>
          <w:p w14:paraId="04471E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8、应急演练服务：</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需提供应急演练方案、脚本等，搭建线下模拟环境，模拟真实的黑客和攻击入侵实况,并以此为背影开展应急演练，以提升</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信息系统运维管理人员应对网络和信息安全突发事件的组织指挥能力和应急处置能力。服务次数:2次。</w:t>
            </w:r>
          </w:p>
          <w:p w14:paraId="62162A31">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9、对部分采购人指定的第三方机构，进行渗透测试和漏洞扫描。不高于12次。</w:t>
            </w:r>
          </w:p>
          <w:p w14:paraId="15DED0E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10、成交供应商安全运维团队应定期提供服务报告，并对服务过程和结果形成专门的记录和报告，及时交接,并配台</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 xml:space="preserve">报送相关管理部门。成交供应商应在安全运维服务过程中将输出不限于以下的记录和服务报告: </w:t>
            </w:r>
          </w:p>
          <w:p w14:paraId="0BF7831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a）.周安全巡检报告。</w:t>
            </w:r>
          </w:p>
          <w:p w14:paraId="79788FF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b）.病毒检测处置建议。</w:t>
            </w:r>
          </w:p>
          <w:p w14:paraId="0188B88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c）.安全加固记录。</w:t>
            </w:r>
          </w:p>
          <w:p w14:paraId="57F145E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d）.漏洞扫描报告。</w:t>
            </w:r>
          </w:p>
          <w:p w14:paraId="11E6AF7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e）.渗透测试报告。</w:t>
            </w:r>
          </w:p>
          <w:p w14:paraId="72623F6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f）.战攻击测试报告。</w:t>
            </w:r>
          </w:p>
          <w:p w14:paraId="75D575C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g）.网络安全检查报告。</w:t>
            </w:r>
          </w:p>
          <w:p w14:paraId="64FBC96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h）.安全建设整改方案、建议和完善各类管理制度。</w:t>
            </w:r>
          </w:p>
          <w:p w14:paraId="54ECB7B1">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新上线系统检测服务：服务期内针对新上线的业务系统或业务模块进行安全检查，包括渗透测试、漏洞扫描和口令测试等，并针对风险问题进行协同整改和监督，以满足业务上线的安全合规要求。服务次数:按需。</w:t>
            </w:r>
          </w:p>
        </w:tc>
      </w:tr>
      <w:tr w14:paraId="13CC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131" w:type="dxa"/>
            <w:gridSpan w:val="5"/>
            <w:noWrap w:val="0"/>
            <w:vAlign w:val="top"/>
          </w:tcPr>
          <w:p w14:paraId="41BC9FBC">
            <w:pPr>
              <w:keepNext w:val="0"/>
              <w:keepLines w:val="0"/>
              <w:pageBreakBefore w:val="0"/>
              <w:kinsoku/>
              <w:wordWrap/>
              <w:overflowPunct/>
              <w:topLinePunct w:val="0"/>
              <w:autoSpaceDE/>
              <w:autoSpaceDN/>
              <w:bidi w:val="0"/>
              <w:adjustRightInd/>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b/>
                <w:color w:val="auto"/>
                <w:kern w:val="0"/>
                <w:sz w:val="21"/>
                <w:szCs w:val="21"/>
                <w:highlight w:val="none"/>
              </w:rPr>
              <w:t>、商</w:t>
            </w:r>
            <w:r>
              <w:rPr>
                <w:rFonts w:hint="eastAsia" w:ascii="宋体" w:hAnsi="宋体" w:eastAsia="宋体" w:cs="宋体"/>
                <w:b/>
                <w:color w:val="auto"/>
                <w:sz w:val="21"/>
                <w:szCs w:val="21"/>
                <w:highlight w:val="none"/>
              </w:rPr>
              <w:t>务要求</w:t>
            </w:r>
          </w:p>
        </w:tc>
      </w:tr>
      <w:tr w14:paraId="31DA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811" w:type="dxa"/>
            <w:gridSpan w:val="2"/>
            <w:noWrap w:val="0"/>
            <w:vAlign w:val="center"/>
          </w:tcPr>
          <w:p w14:paraId="4D3D2984">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服务时间及地点</w:t>
            </w:r>
          </w:p>
        </w:tc>
        <w:tc>
          <w:tcPr>
            <w:tcW w:w="7320" w:type="dxa"/>
            <w:gridSpan w:val="3"/>
            <w:noWrap w:val="0"/>
            <w:vAlign w:val="center"/>
          </w:tcPr>
          <w:p w14:paraId="6C964163">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服务期限：服务期不少于一年，签订合同后下一个工作日生效。</w:t>
            </w:r>
          </w:p>
          <w:p w14:paraId="6F651237">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服务地点：</w:t>
            </w:r>
            <w:r>
              <w:rPr>
                <w:rFonts w:hint="eastAsia" w:ascii="宋体" w:hAnsi="宋体" w:eastAsia="宋体" w:cs="宋体"/>
                <w:color w:val="auto"/>
                <w:sz w:val="21"/>
                <w:szCs w:val="21"/>
                <w:highlight w:val="none"/>
                <w:lang w:val="en-US" w:eastAsia="zh-CN"/>
              </w:rPr>
              <w:t>广西区内采购</w:t>
            </w:r>
            <w:r>
              <w:rPr>
                <w:rFonts w:hint="eastAsia" w:ascii="宋体" w:hAnsi="宋体" w:eastAsia="宋体" w:cs="宋体"/>
                <w:color w:val="auto"/>
                <w:sz w:val="21"/>
                <w:szCs w:val="21"/>
                <w:highlight w:val="none"/>
              </w:rPr>
              <w:t>人指定地点。</w:t>
            </w:r>
          </w:p>
        </w:tc>
      </w:tr>
      <w:tr w14:paraId="1F35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811" w:type="dxa"/>
            <w:gridSpan w:val="2"/>
            <w:noWrap w:val="0"/>
            <w:vAlign w:val="center"/>
          </w:tcPr>
          <w:p w14:paraId="7C00E6B8">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320" w:type="dxa"/>
            <w:gridSpan w:val="3"/>
            <w:noWrap w:val="0"/>
            <w:vAlign w:val="center"/>
          </w:tcPr>
          <w:p w14:paraId="11F0D3C2">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合同签订后,成交供应商同时与采购人签订保密协议，并向采购方提供履约承诺函、项目实施人员清单、书面付款申请和</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支付同等金额的合法、有效增值税发票后，采购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在8个工作日内向成交供应商支付100%的合同金额。</w:t>
            </w:r>
          </w:p>
        </w:tc>
      </w:tr>
      <w:tr w14:paraId="469C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811" w:type="dxa"/>
            <w:gridSpan w:val="2"/>
            <w:noWrap w:val="0"/>
            <w:vAlign w:val="center"/>
          </w:tcPr>
          <w:p w14:paraId="757D7C56">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保密和安全要求</w:t>
            </w:r>
          </w:p>
        </w:tc>
        <w:tc>
          <w:tcPr>
            <w:tcW w:w="7320" w:type="dxa"/>
            <w:gridSpan w:val="3"/>
            <w:noWrap w:val="0"/>
            <w:vAlign w:val="center"/>
          </w:tcPr>
          <w:p w14:paraId="1970D6D0">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供应商对项目涉及的资料、账号、密码、网络参数等负有安全保密责任，并需承担因为未尽安全保密责任而引起的损失。项目在服务期中，所用软件平台系统、数据库、数据与程序接口、用户管理、权限管理、密码管理等统一由采购人负责管理并授权成交供应商使用，成交供应商不得在任何环节擅自修改或额外设置用户和密码。成交供应商需做好相关信息的安全保密工作。</w:t>
            </w:r>
          </w:p>
          <w:p w14:paraId="7E9F4DCB">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2、成交供应商应遵守采购人信息安全管理规定，对非权限范围内设备不允许操作。非权限范围内信息不允许访问。未经允许，不可随意在工作环境内拍照、录音、录像等。</w:t>
            </w:r>
          </w:p>
          <w:p w14:paraId="3EF0F428">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3、在本合同期内及合同终止后，未征得采购人同意，成交供应商不得泄露与本项目有关的资料。因保密不慎或有意泄露所造成的损失和后果，按国家保密法或相关规定予以处罚。</w:t>
            </w:r>
          </w:p>
          <w:p w14:paraId="0A1139C6">
            <w:pPr>
              <w:keepNext w:val="0"/>
              <w:keepLines w:val="0"/>
              <w:pageBreakBefore w:val="0"/>
              <w:kinsoku/>
              <w:wordWrap/>
              <w:overflowPunct/>
              <w:topLinePunct w:val="0"/>
              <w:autoSpaceDE/>
              <w:autoSpaceDN/>
              <w:bidi w:val="0"/>
              <w:adjustRightInd/>
              <w:spacing w:line="44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4、成交供应商须充分履行其管理和监督职责，有责任和义务对提供项目实施人</w:t>
            </w:r>
            <w:r>
              <w:rPr>
                <w:rFonts w:hint="eastAsia" w:ascii="宋体" w:hAnsi="宋体" w:eastAsia="宋体" w:cs="宋体"/>
                <w:color w:val="auto"/>
                <w:sz w:val="21"/>
                <w:szCs w:val="21"/>
                <w:highlight w:val="none"/>
                <w:lang w:val="en-US" w:eastAsia="zh-CN"/>
              </w:rPr>
              <w:t>员</w:t>
            </w:r>
            <w:r>
              <w:rPr>
                <w:rFonts w:hint="eastAsia" w:ascii="宋体" w:hAnsi="宋体" w:eastAsia="宋体" w:cs="宋体"/>
                <w:color w:val="auto"/>
                <w:sz w:val="21"/>
                <w:szCs w:val="21"/>
                <w:highlight w:val="none"/>
              </w:rPr>
              <w:t>及相关安服人员进行约束，包括但不限于政治审查和签订保密协议等，约定对接触到采购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所有的信息和数据予以保密,且未经采购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书面许可,不得以任何形式向第三方透露采购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任何内容以及接触到的信息和数据，且约束不因项目实施人</w:t>
            </w:r>
            <w:r>
              <w:rPr>
                <w:rFonts w:hint="eastAsia" w:ascii="宋体" w:hAnsi="宋体" w:eastAsia="宋体" w:cs="宋体"/>
                <w:color w:val="auto"/>
                <w:sz w:val="21"/>
                <w:szCs w:val="21"/>
                <w:highlight w:val="none"/>
                <w:lang w:val="en-US" w:eastAsia="zh-CN"/>
              </w:rPr>
              <w:t>员</w:t>
            </w:r>
            <w:r>
              <w:rPr>
                <w:rFonts w:hint="eastAsia" w:ascii="宋体" w:hAnsi="宋体" w:eastAsia="宋体" w:cs="宋体"/>
                <w:color w:val="auto"/>
                <w:sz w:val="21"/>
                <w:szCs w:val="21"/>
                <w:highlight w:val="none"/>
              </w:rPr>
              <w:t>及相关安服人员离职而终止，如因违反上述有关保密和安全要求给采购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造成的损失，成交供应商不能免除其责任。</w:t>
            </w:r>
          </w:p>
        </w:tc>
      </w:tr>
    </w:tbl>
    <w:p w14:paraId="4B5EA025">
      <w:pPr>
        <w:rPr>
          <w:rFonts w:hint="eastAsia" w:ascii="宋体" w:hAnsi="宋体"/>
          <w:color w:val="auto"/>
          <w:highlight w:val="none"/>
        </w:rPr>
      </w:pPr>
    </w:p>
    <w:p w14:paraId="1CC06FF7">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olor w:val="auto"/>
          <w:highlight w:val="none"/>
        </w:rPr>
        <w:br w:type="page"/>
      </w:r>
      <w:r>
        <w:rPr>
          <w:rFonts w:hint="eastAsia" w:ascii="宋体" w:hAnsi="宋体" w:eastAsia="宋体" w:cs="宋体"/>
          <w:color w:val="auto"/>
          <w:sz w:val="21"/>
          <w:szCs w:val="21"/>
          <w:highlight w:val="none"/>
        </w:rPr>
        <w:t>中小微企业划型标准</w:t>
      </w:r>
    </w:p>
    <w:tbl>
      <w:tblPr>
        <w:tblStyle w:val="27"/>
        <w:tblW w:w="0" w:type="auto"/>
        <w:tblInd w:w="250" w:type="dxa"/>
        <w:tblLayout w:type="fixed"/>
        <w:tblCellMar>
          <w:top w:w="0" w:type="dxa"/>
          <w:left w:w="108" w:type="dxa"/>
          <w:bottom w:w="0" w:type="dxa"/>
          <w:right w:w="108" w:type="dxa"/>
        </w:tblCellMar>
      </w:tblPr>
      <w:tblGrid>
        <w:gridCol w:w="1701"/>
        <w:gridCol w:w="1384"/>
        <w:gridCol w:w="1240"/>
        <w:gridCol w:w="1837"/>
        <w:gridCol w:w="1680"/>
        <w:gridCol w:w="1200"/>
      </w:tblGrid>
      <w:tr w14:paraId="1892F018">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565F7C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340740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240" w:type="dxa"/>
            <w:tcBorders>
              <w:top w:val="single" w:color="auto" w:sz="4" w:space="0"/>
              <w:left w:val="nil"/>
              <w:bottom w:val="single" w:color="auto" w:sz="4" w:space="0"/>
              <w:right w:val="single" w:color="auto" w:sz="4" w:space="0"/>
            </w:tcBorders>
            <w:noWrap w:val="0"/>
            <w:vAlign w:val="center"/>
          </w:tcPr>
          <w:p w14:paraId="5CF2089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37" w:type="dxa"/>
            <w:tcBorders>
              <w:top w:val="single" w:color="auto" w:sz="4" w:space="0"/>
              <w:left w:val="nil"/>
              <w:bottom w:val="single" w:color="auto" w:sz="4" w:space="0"/>
              <w:right w:val="single" w:color="auto" w:sz="4" w:space="0"/>
            </w:tcBorders>
            <w:noWrap w:val="0"/>
            <w:vAlign w:val="center"/>
          </w:tcPr>
          <w:p w14:paraId="6069FAE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680" w:type="dxa"/>
            <w:tcBorders>
              <w:top w:val="single" w:color="auto" w:sz="4" w:space="0"/>
              <w:left w:val="nil"/>
              <w:bottom w:val="single" w:color="auto" w:sz="4" w:space="0"/>
              <w:right w:val="single" w:color="auto" w:sz="4" w:space="0"/>
            </w:tcBorders>
            <w:noWrap w:val="0"/>
            <w:vAlign w:val="center"/>
          </w:tcPr>
          <w:p w14:paraId="491D38A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200" w:type="dxa"/>
            <w:tcBorders>
              <w:top w:val="single" w:color="auto" w:sz="4" w:space="0"/>
              <w:left w:val="nil"/>
              <w:bottom w:val="single" w:color="auto" w:sz="4" w:space="0"/>
              <w:right w:val="single" w:color="auto" w:sz="4" w:space="0"/>
            </w:tcBorders>
            <w:noWrap w:val="0"/>
            <w:vAlign w:val="center"/>
          </w:tcPr>
          <w:p w14:paraId="0FD515F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626EDB7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3A9527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1540C81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53ACB75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149AE55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80" w:type="dxa"/>
            <w:tcBorders>
              <w:top w:val="nil"/>
              <w:left w:val="nil"/>
              <w:bottom w:val="single" w:color="auto" w:sz="4" w:space="0"/>
              <w:right w:val="single" w:color="auto" w:sz="4" w:space="0"/>
            </w:tcBorders>
            <w:noWrap w:val="0"/>
            <w:vAlign w:val="center"/>
          </w:tcPr>
          <w:p w14:paraId="281F960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200" w:type="dxa"/>
            <w:tcBorders>
              <w:top w:val="nil"/>
              <w:left w:val="nil"/>
              <w:bottom w:val="single" w:color="auto" w:sz="4" w:space="0"/>
              <w:right w:val="single" w:color="auto" w:sz="4" w:space="0"/>
            </w:tcBorders>
            <w:noWrap w:val="0"/>
            <w:vAlign w:val="center"/>
          </w:tcPr>
          <w:p w14:paraId="24074E3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F4D343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A134F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384" w:type="dxa"/>
            <w:tcBorders>
              <w:top w:val="nil"/>
              <w:left w:val="nil"/>
              <w:bottom w:val="single" w:color="auto" w:sz="4" w:space="0"/>
              <w:right w:val="single" w:color="auto" w:sz="4" w:space="0"/>
            </w:tcBorders>
            <w:noWrap w:val="0"/>
            <w:vAlign w:val="center"/>
          </w:tcPr>
          <w:p w14:paraId="6E64EF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46A750F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603696D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80" w:type="dxa"/>
            <w:tcBorders>
              <w:top w:val="nil"/>
              <w:left w:val="nil"/>
              <w:bottom w:val="single" w:color="auto" w:sz="4" w:space="0"/>
              <w:right w:val="single" w:color="auto" w:sz="4" w:space="0"/>
            </w:tcBorders>
            <w:noWrap w:val="0"/>
            <w:vAlign w:val="center"/>
          </w:tcPr>
          <w:p w14:paraId="4BEB969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00" w:type="dxa"/>
            <w:tcBorders>
              <w:top w:val="nil"/>
              <w:left w:val="nil"/>
              <w:bottom w:val="single" w:color="auto" w:sz="4" w:space="0"/>
              <w:right w:val="single" w:color="auto" w:sz="4" w:space="0"/>
            </w:tcBorders>
            <w:noWrap w:val="0"/>
            <w:vAlign w:val="center"/>
          </w:tcPr>
          <w:p w14:paraId="32D0BAC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F6A000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449D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331BB9F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3FAF76B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5E882B4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80" w:type="dxa"/>
            <w:tcBorders>
              <w:top w:val="nil"/>
              <w:left w:val="nil"/>
              <w:bottom w:val="single" w:color="auto" w:sz="4" w:space="0"/>
              <w:right w:val="single" w:color="auto" w:sz="4" w:space="0"/>
            </w:tcBorders>
            <w:noWrap w:val="0"/>
            <w:vAlign w:val="center"/>
          </w:tcPr>
          <w:p w14:paraId="2DB05DB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200" w:type="dxa"/>
            <w:tcBorders>
              <w:top w:val="nil"/>
              <w:left w:val="nil"/>
              <w:bottom w:val="single" w:color="auto" w:sz="4" w:space="0"/>
              <w:right w:val="single" w:color="auto" w:sz="4" w:space="0"/>
            </w:tcBorders>
            <w:noWrap w:val="0"/>
            <w:vAlign w:val="center"/>
          </w:tcPr>
          <w:p w14:paraId="1E28941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E25460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EEF1C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384" w:type="dxa"/>
            <w:tcBorders>
              <w:top w:val="nil"/>
              <w:left w:val="nil"/>
              <w:bottom w:val="single" w:color="auto" w:sz="4" w:space="0"/>
              <w:right w:val="single" w:color="auto" w:sz="4" w:space="0"/>
            </w:tcBorders>
            <w:noWrap w:val="0"/>
            <w:vAlign w:val="center"/>
          </w:tcPr>
          <w:p w14:paraId="678381D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6D0DD93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5A228A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80" w:type="dxa"/>
            <w:tcBorders>
              <w:top w:val="nil"/>
              <w:left w:val="nil"/>
              <w:bottom w:val="single" w:color="auto" w:sz="4" w:space="0"/>
              <w:right w:val="single" w:color="auto" w:sz="4" w:space="0"/>
            </w:tcBorders>
            <w:noWrap w:val="0"/>
            <w:vAlign w:val="center"/>
          </w:tcPr>
          <w:p w14:paraId="3C69D4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200" w:type="dxa"/>
            <w:tcBorders>
              <w:top w:val="nil"/>
              <w:left w:val="nil"/>
              <w:bottom w:val="single" w:color="auto" w:sz="4" w:space="0"/>
              <w:right w:val="single" w:color="auto" w:sz="4" w:space="0"/>
            </w:tcBorders>
            <w:noWrap w:val="0"/>
            <w:vAlign w:val="center"/>
          </w:tcPr>
          <w:p w14:paraId="0B87800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46B6D49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E8D59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1E04D29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240" w:type="dxa"/>
            <w:tcBorders>
              <w:top w:val="nil"/>
              <w:left w:val="nil"/>
              <w:bottom w:val="single" w:color="auto" w:sz="4" w:space="0"/>
              <w:right w:val="single" w:color="auto" w:sz="4" w:space="0"/>
            </w:tcBorders>
            <w:noWrap w:val="0"/>
            <w:vAlign w:val="center"/>
          </w:tcPr>
          <w:p w14:paraId="0A2819B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32C0CAC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80" w:type="dxa"/>
            <w:tcBorders>
              <w:top w:val="nil"/>
              <w:left w:val="nil"/>
              <w:bottom w:val="single" w:color="auto" w:sz="4" w:space="0"/>
              <w:right w:val="single" w:color="auto" w:sz="4" w:space="0"/>
            </w:tcBorders>
            <w:noWrap w:val="0"/>
            <w:vAlign w:val="center"/>
          </w:tcPr>
          <w:p w14:paraId="6508A18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200" w:type="dxa"/>
            <w:tcBorders>
              <w:top w:val="nil"/>
              <w:left w:val="nil"/>
              <w:bottom w:val="single" w:color="auto" w:sz="4" w:space="0"/>
              <w:right w:val="single" w:color="auto" w:sz="4" w:space="0"/>
            </w:tcBorders>
            <w:noWrap w:val="0"/>
            <w:vAlign w:val="center"/>
          </w:tcPr>
          <w:p w14:paraId="6478427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560C323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111076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384" w:type="dxa"/>
            <w:tcBorders>
              <w:top w:val="nil"/>
              <w:left w:val="nil"/>
              <w:bottom w:val="single" w:color="auto" w:sz="4" w:space="0"/>
              <w:right w:val="single" w:color="auto" w:sz="4" w:space="0"/>
            </w:tcBorders>
            <w:noWrap w:val="0"/>
            <w:vAlign w:val="center"/>
          </w:tcPr>
          <w:p w14:paraId="3F069A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513D6D2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33F7708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80" w:type="dxa"/>
            <w:tcBorders>
              <w:top w:val="nil"/>
              <w:left w:val="nil"/>
              <w:bottom w:val="single" w:color="auto" w:sz="4" w:space="0"/>
              <w:right w:val="single" w:color="auto" w:sz="4" w:space="0"/>
            </w:tcBorders>
            <w:noWrap w:val="0"/>
            <w:vAlign w:val="center"/>
          </w:tcPr>
          <w:p w14:paraId="6361851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200" w:type="dxa"/>
            <w:tcBorders>
              <w:top w:val="nil"/>
              <w:left w:val="nil"/>
              <w:bottom w:val="single" w:color="auto" w:sz="4" w:space="0"/>
              <w:right w:val="single" w:color="auto" w:sz="4" w:space="0"/>
            </w:tcBorders>
            <w:noWrap w:val="0"/>
            <w:vAlign w:val="center"/>
          </w:tcPr>
          <w:p w14:paraId="2AFEC2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6BEFBB3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E8E5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67396B6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4E48882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08DCEF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80" w:type="dxa"/>
            <w:tcBorders>
              <w:top w:val="nil"/>
              <w:left w:val="nil"/>
              <w:bottom w:val="single" w:color="auto" w:sz="4" w:space="0"/>
              <w:right w:val="single" w:color="auto" w:sz="4" w:space="0"/>
            </w:tcBorders>
            <w:noWrap w:val="0"/>
            <w:vAlign w:val="center"/>
          </w:tcPr>
          <w:p w14:paraId="3A97D56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200" w:type="dxa"/>
            <w:tcBorders>
              <w:top w:val="nil"/>
              <w:left w:val="nil"/>
              <w:bottom w:val="single" w:color="auto" w:sz="4" w:space="0"/>
              <w:right w:val="single" w:color="auto" w:sz="4" w:space="0"/>
            </w:tcBorders>
            <w:noWrap w:val="0"/>
            <w:vAlign w:val="center"/>
          </w:tcPr>
          <w:p w14:paraId="1A80FDC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17F858E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BA0A8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384" w:type="dxa"/>
            <w:tcBorders>
              <w:top w:val="nil"/>
              <w:left w:val="nil"/>
              <w:bottom w:val="single" w:color="auto" w:sz="4" w:space="0"/>
              <w:right w:val="single" w:color="auto" w:sz="4" w:space="0"/>
            </w:tcBorders>
            <w:noWrap w:val="0"/>
            <w:vAlign w:val="center"/>
          </w:tcPr>
          <w:p w14:paraId="00C2D0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2B32685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6F755CF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80" w:type="dxa"/>
            <w:tcBorders>
              <w:top w:val="nil"/>
              <w:left w:val="nil"/>
              <w:bottom w:val="single" w:color="auto" w:sz="4" w:space="0"/>
              <w:right w:val="single" w:color="auto" w:sz="4" w:space="0"/>
            </w:tcBorders>
            <w:noWrap w:val="0"/>
            <w:vAlign w:val="center"/>
          </w:tcPr>
          <w:p w14:paraId="533E86E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200" w:type="dxa"/>
            <w:tcBorders>
              <w:top w:val="nil"/>
              <w:left w:val="nil"/>
              <w:bottom w:val="single" w:color="auto" w:sz="4" w:space="0"/>
              <w:right w:val="single" w:color="auto" w:sz="4" w:space="0"/>
            </w:tcBorders>
            <w:noWrap w:val="0"/>
            <w:vAlign w:val="center"/>
          </w:tcPr>
          <w:p w14:paraId="3F27EC3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4AA45B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28687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7128EB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21C7703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4D9B002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80" w:type="dxa"/>
            <w:tcBorders>
              <w:top w:val="nil"/>
              <w:left w:val="nil"/>
              <w:bottom w:val="single" w:color="auto" w:sz="4" w:space="0"/>
              <w:right w:val="single" w:color="auto" w:sz="4" w:space="0"/>
            </w:tcBorders>
            <w:noWrap w:val="0"/>
            <w:vAlign w:val="center"/>
          </w:tcPr>
          <w:p w14:paraId="5337B24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200" w:type="dxa"/>
            <w:tcBorders>
              <w:top w:val="nil"/>
              <w:left w:val="nil"/>
              <w:bottom w:val="single" w:color="auto" w:sz="4" w:space="0"/>
              <w:right w:val="single" w:color="auto" w:sz="4" w:space="0"/>
            </w:tcBorders>
            <w:noWrap w:val="0"/>
            <w:vAlign w:val="center"/>
          </w:tcPr>
          <w:p w14:paraId="60BE85E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CDACFA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B59A2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21BC7B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5D800A5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33A9708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80" w:type="dxa"/>
            <w:tcBorders>
              <w:top w:val="nil"/>
              <w:left w:val="nil"/>
              <w:bottom w:val="single" w:color="auto" w:sz="4" w:space="0"/>
              <w:right w:val="single" w:color="auto" w:sz="4" w:space="0"/>
            </w:tcBorders>
            <w:noWrap w:val="0"/>
            <w:vAlign w:val="center"/>
          </w:tcPr>
          <w:p w14:paraId="5C008C3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00" w:type="dxa"/>
            <w:tcBorders>
              <w:top w:val="nil"/>
              <w:left w:val="nil"/>
              <w:bottom w:val="single" w:color="auto" w:sz="4" w:space="0"/>
              <w:right w:val="single" w:color="auto" w:sz="4" w:space="0"/>
            </w:tcBorders>
            <w:noWrap w:val="0"/>
            <w:vAlign w:val="center"/>
          </w:tcPr>
          <w:p w14:paraId="488EA75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68356F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2027D8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6B1485B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56F3331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759ECEC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80" w:type="dxa"/>
            <w:tcBorders>
              <w:top w:val="nil"/>
              <w:left w:val="nil"/>
              <w:bottom w:val="single" w:color="auto" w:sz="4" w:space="0"/>
              <w:right w:val="single" w:color="auto" w:sz="4" w:space="0"/>
            </w:tcBorders>
            <w:noWrap w:val="0"/>
            <w:vAlign w:val="center"/>
          </w:tcPr>
          <w:p w14:paraId="2BA5A8C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200" w:type="dxa"/>
            <w:tcBorders>
              <w:top w:val="nil"/>
              <w:left w:val="nil"/>
              <w:bottom w:val="single" w:color="auto" w:sz="4" w:space="0"/>
              <w:right w:val="single" w:color="auto" w:sz="4" w:space="0"/>
            </w:tcBorders>
            <w:noWrap w:val="0"/>
            <w:vAlign w:val="center"/>
          </w:tcPr>
          <w:p w14:paraId="5F10BCC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0E65743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056C7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384" w:type="dxa"/>
            <w:tcBorders>
              <w:top w:val="nil"/>
              <w:left w:val="nil"/>
              <w:bottom w:val="single" w:color="auto" w:sz="4" w:space="0"/>
              <w:right w:val="single" w:color="auto" w:sz="4" w:space="0"/>
            </w:tcBorders>
            <w:noWrap w:val="0"/>
            <w:vAlign w:val="center"/>
          </w:tcPr>
          <w:p w14:paraId="0B9E1C5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069F67F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2C28730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80" w:type="dxa"/>
            <w:tcBorders>
              <w:top w:val="nil"/>
              <w:left w:val="nil"/>
              <w:bottom w:val="single" w:color="auto" w:sz="4" w:space="0"/>
              <w:right w:val="single" w:color="auto" w:sz="4" w:space="0"/>
            </w:tcBorders>
            <w:noWrap w:val="0"/>
            <w:vAlign w:val="center"/>
          </w:tcPr>
          <w:p w14:paraId="7A1302C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200" w:type="dxa"/>
            <w:tcBorders>
              <w:top w:val="nil"/>
              <w:left w:val="nil"/>
              <w:bottom w:val="single" w:color="auto" w:sz="4" w:space="0"/>
              <w:right w:val="single" w:color="auto" w:sz="4" w:space="0"/>
            </w:tcBorders>
            <w:noWrap w:val="0"/>
            <w:vAlign w:val="center"/>
          </w:tcPr>
          <w:p w14:paraId="495AFF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0E2F6C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B9776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5950A94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70EE137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4A03DA6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80" w:type="dxa"/>
            <w:tcBorders>
              <w:top w:val="nil"/>
              <w:left w:val="nil"/>
              <w:bottom w:val="single" w:color="auto" w:sz="4" w:space="0"/>
              <w:right w:val="single" w:color="auto" w:sz="4" w:space="0"/>
            </w:tcBorders>
            <w:noWrap w:val="0"/>
            <w:vAlign w:val="center"/>
          </w:tcPr>
          <w:p w14:paraId="667821D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00" w:type="dxa"/>
            <w:tcBorders>
              <w:top w:val="nil"/>
              <w:left w:val="nil"/>
              <w:bottom w:val="single" w:color="auto" w:sz="4" w:space="0"/>
              <w:right w:val="single" w:color="auto" w:sz="4" w:space="0"/>
            </w:tcBorders>
            <w:noWrap w:val="0"/>
            <w:vAlign w:val="center"/>
          </w:tcPr>
          <w:p w14:paraId="04BDC9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477586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3320C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384" w:type="dxa"/>
            <w:tcBorders>
              <w:top w:val="nil"/>
              <w:left w:val="nil"/>
              <w:bottom w:val="single" w:color="auto" w:sz="4" w:space="0"/>
              <w:right w:val="single" w:color="auto" w:sz="4" w:space="0"/>
            </w:tcBorders>
            <w:noWrap w:val="0"/>
            <w:vAlign w:val="center"/>
          </w:tcPr>
          <w:p w14:paraId="5982335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4C6DC73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2D428F9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80" w:type="dxa"/>
            <w:tcBorders>
              <w:top w:val="nil"/>
              <w:left w:val="nil"/>
              <w:bottom w:val="single" w:color="auto" w:sz="4" w:space="0"/>
              <w:right w:val="single" w:color="auto" w:sz="4" w:space="0"/>
            </w:tcBorders>
            <w:noWrap w:val="0"/>
            <w:vAlign w:val="center"/>
          </w:tcPr>
          <w:p w14:paraId="610BD38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00" w:type="dxa"/>
            <w:tcBorders>
              <w:top w:val="nil"/>
              <w:left w:val="nil"/>
              <w:bottom w:val="single" w:color="auto" w:sz="4" w:space="0"/>
              <w:right w:val="single" w:color="auto" w:sz="4" w:space="0"/>
            </w:tcBorders>
            <w:noWrap w:val="0"/>
            <w:vAlign w:val="center"/>
          </w:tcPr>
          <w:p w14:paraId="762DB59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A9A1B9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AEF57A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121730A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1F79D42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1E76C6E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80" w:type="dxa"/>
            <w:tcBorders>
              <w:top w:val="nil"/>
              <w:left w:val="nil"/>
              <w:bottom w:val="single" w:color="auto" w:sz="4" w:space="0"/>
              <w:right w:val="single" w:color="auto" w:sz="4" w:space="0"/>
            </w:tcBorders>
            <w:noWrap w:val="0"/>
            <w:vAlign w:val="center"/>
          </w:tcPr>
          <w:p w14:paraId="2D04BC0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00" w:type="dxa"/>
            <w:tcBorders>
              <w:top w:val="nil"/>
              <w:left w:val="nil"/>
              <w:bottom w:val="single" w:color="auto" w:sz="4" w:space="0"/>
              <w:right w:val="single" w:color="auto" w:sz="4" w:space="0"/>
            </w:tcBorders>
            <w:noWrap w:val="0"/>
            <w:vAlign w:val="center"/>
          </w:tcPr>
          <w:p w14:paraId="7EC04E7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9B7F8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22465EE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384" w:type="dxa"/>
            <w:tcBorders>
              <w:top w:val="nil"/>
              <w:left w:val="nil"/>
              <w:bottom w:val="single" w:color="auto" w:sz="4" w:space="0"/>
              <w:right w:val="single" w:color="auto" w:sz="4" w:space="0"/>
            </w:tcBorders>
            <w:noWrap w:val="0"/>
            <w:vAlign w:val="center"/>
          </w:tcPr>
          <w:p w14:paraId="18481DF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389685C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426542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80" w:type="dxa"/>
            <w:tcBorders>
              <w:top w:val="nil"/>
              <w:left w:val="nil"/>
              <w:bottom w:val="single" w:color="auto" w:sz="4" w:space="0"/>
              <w:right w:val="single" w:color="auto" w:sz="4" w:space="0"/>
            </w:tcBorders>
            <w:noWrap w:val="0"/>
            <w:vAlign w:val="center"/>
          </w:tcPr>
          <w:p w14:paraId="7D699BF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0" w:type="dxa"/>
            <w:tcBorders>
              <w:top w:val="nil"/>
              <w:left w:val="nil"/>
              <w:bottom w:val="single" w:color="auto" w:sz="4" w:space="0"/>
              <w:right w:val="single" w:color="auto" w:sz="4" w:space="0"/>
            </w:tcBorders>
            <w:noWrap w:val="0"/>
            <w:vAlign w:val="center"/>
          </w:tcPr>
          <w:p w14:paraId="1BA26CB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419D42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DAF84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418AF4B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78576A6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633F3B4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80" w:type="dxa"/>
            <w:tcBorders>
              <w:top w:val="nil"/>
              <w:left w:val="nil"/>
              <w:bottom w:val="single" w:color="auto" w:sz="4" w:space="0"/>
              <w:right w:val="single" w:color="auto" w:sz="4" w:space="0"/>
            </w:tcBorders>
            <w:noWrap w:val="0"/>
            <w:vAlign w:val="center"/>
          </w:tcPr>
          <w:p w14:paraId="2946975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00" w:type="dxa"/>
            <w:tcBorders>
              <w:top w:val="nil"/>
              <w:left w:val="nil"/>
              <w:bottom w:val="single" w:color="auto" w:sz="4" w:space="0"/>
              <w:right w:val="single" w:color="auto" w:sz="4" w:space="0"/>
            </w:tcBorders>
            <w:noWrap w:val="0"/>
            <w:vAlign w:val="center"/>
          </w:tcPr>
          <w:p w14:paraId="4DA78A4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3A54B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6E76AC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384" w:type="dxa"/>
            <w:tcBorders>
              <w:top w:val="nil"/>
              <w:left w:val="nil"/>
              <w:bottom w:val="single" w:color="auto" w:sz="4" w:space="0"/>
              <w:right w:val="single" w:color="auto" w:sz="4" w:space="0"/>
            </w:tcBorders>
            <w:noWrap w:val="0"/>
            <w:vAlign w:val="center"/>
          </w:tcPr>
          <w:p w14:paraId="2D4044A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7553970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6C819D0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80" w:type="dxa"/>
            <w:tcBorders>
              <w:top w:val="nil"/>
              <w:left w:val="nil"/>
              <w:bottom w:val="single" w:color="auto" w:sz="4" w:space="0"/>
              <w:right w:val="single" w:color="auto" w:sz="4" w:space="0"/>
            </w:tcBorders>
            <w:noWrap w:val="0"/>
            <w:vAlign w:val="center"/>
          </w:tcPr>
          <w:p w14:paraId="511639C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0" w:type="dxa"/>
            <w:tcBorders>
              <w:top w:val="nil"/>
              <w:left w:val="nil"/>
              <w:bottom w:val="single" w:color="auto" w:sz="4" w:space="0"/>
              <w:right w:val="single" w:color="auto" w:sz="4" w:space="0"/>
            </w:tcBorders>
            <w:noWrap w:val="0"/>
            <w:vAlign w:val="center"/>
          </w:tcPr>
          <w:p w14:paraId="6ABEE31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8697CB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BFA76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3F76A6B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0489524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0AF9A27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80" w:type="dxa"/>
            <w:tcBorders>
              <w:top w:val="nil"/>
              <w:left w:val="nil"/>
              <w:bottom w:val="single" w:color="auto" w:sz="4" w:space="0"/>
              <w:right w:val="single" w:color="auto" w:sz="4" w:space="0"/>
            </w:tcBorders>
            <w:noWrap w:val="0"/>
            <w:vAlign w:val="center"/>
          </w:tcPr>
          <w:p w14:paraId="1458B8C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00" w:type="dxa"/>
            <w:tcBorders>
              <w:top w:val="nil"/>
              <w:left w:val="nil"/>
              <w:bottom w:val="single" w:color="auto" w:sz="4" w:space="0"/>
              <w:right w:val="single" w:color="auto" w:sz="4" w:space="0"/>
            </w:tcBorders>
            <w:noWrap w:val="0"/>
            <w:vAlign w:val="center"/>
          </w:tcPr>
          <w:p w14:paraId="7F6F249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3E91C1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A1A82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71445E1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2A04DB6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3265867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80" w:type="dxa"/>
            <w:tcBorders>
              <w:top w:val="nil"/>
              <w:left w:val="nil"/>
              <w:bottom w:val="single" w:color="auto" w:sz="4" w:space="0"/>
              <w:right w:val="single" w:color="auto" w:sz="4" w:space="0"/>
            </w:tcBorders>
            <w:noWrap w:val="0"/>
            <w:vAlign w:val="center"/>
          </w:tcPr>
          <w:p w14:paraId="0F55026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0" w:type="dxa"/>
            <w:tcBorders>
              <w:top w:val="nil"/>
              <w:left w:val="nil"/>
              <w:bottom w:val="single" w:color="auto" w:sz="4" w:space="0"/>
              <w:right w:val="single" w:color="auto" w:sz="4" w:space="0"/>
            </w:tcBorders>
            <w:noWrap w:val="0"/>
            <w:vAlign w:val="center"/>
          </w:tcPr>
          <w:p w14:paraId="1C257F9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2FC84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5FDE5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8DAC7C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2C6C836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70E4A7E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80" w:type="dxa"/>
            <w:tcBorders>
              <w:top w:val="nil"/>
              <w:left w:val="nil"/>
              <w:bottom w:val="single" w:color="auto" w:sz="4" w:space="0"/>
              <w:right w:val="single" w:color="auto" w:sz="4" w:space="0"/>
            </w:tcBorders>
            <w:noWrap w:val="0"/>
            <w:vAlign w:val="center"/>
          </w:tcPr>
          <w:p w14:paraId="373137C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00" w:type="dxa"/>
            <w:tcBorders>
              <w:top w:val="nil"/>
              <w:left w:val="nil"/>
              <w:bottom w:val="single" w:color="auto" w:sz="4" w:space="0"/>
              <w:right w:val="single" w:color="auto" w:sz="4" w:space="0"/>
            </w:tcBorders>
            <w:noWrap w:val="0"/>
            <w:vAlign w:val="center"/>
          </w:tcPr>
          <w:p w14:paraId="328FD6C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490F0B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692F93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3FB6EC6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444C1A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13851AA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80" w:type="dxa"/>
            <w:tcBorders>
              <w:top w:val="nil"/>
              <w:left w:val="nil"/>
              <w:bottom w:val="single" w:color="auto" w:sz="4" w:space="0"/>
              <w:right w:val="single" w:color="auto" w:sz="4" w:space="0"/>
            </w:tcBorders>
            <w:noWrap w:val="0"/>
            <w:vAlign w:val="center"/>
          </w:tcPr>
          <w:p w14:paraId="34039CC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0" w:type="dxa"/>
            <w:tcBorders>
              <w:top w:val="nil"/>
              <w:left w:val="nil"/>
              <w:bottom w:val="single" w:color="auto" w:sz="4" w:space="0"/>
              <w:right w:val="single" w:color="auto" w:sz="4" w:space="0"/>
            </w:tcBorders>
            <w:noWrap w:val="0"/>
            <w:vAlign w:val="center"/>
          </w:tcPr>
          <w:p w14:paraId="1D3F75F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6B35B4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0E7A0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1864AB2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537F0B7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115D356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80" w:type="dxa"/>
            <w:tcBorders>
              <w:top w:val="nil"/>
              <w:left w:val="nil"/>
              <w:bottom w:val="single" w:color="auto" w:sz="4" w:space="0"/>
              <w:right w:val="single" w:color="auto" w:sz="4" w:space="0"/>
            </w:tcBorders>
            <w:noWrap w:val="0"/>
            <w:vAlign w:val="center"/>
          </w:tcPr>
          <w:p w14:paraId="3C631B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200" w:type="dxa"/>
            <w:tcBorders>
              <w:top w:val="nil"/>
              <w:left w:val="nil"/>
              <w:bottom w:val="single" w:color="auto" w:sz="4" w:space="0"/>
              <w:right w:val="single" w:color="auto" w:sz="4" w:space="0"/>
            </w:tcBorders>
            <w:noWrap w:val="0"/>
            <w:vAlign w:val="center"/>
          </w:tcPr>
          <w:p w14:paraId="5868CBB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2DF91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20906D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1B05083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17703AE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52244DF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80" w:type="dxa"/>
            <w:tcBorders>
              <w:top w:val="nil"/>
              <w:left w:val="nil"/>
              <w:bottom w:val="single" w:color="auto" w:sz="4" w:space="0"/>
              <w:right w:val="single" w:color="auto" w:sz="4" w:space="0"/>
            </w:tcBorders>
            <w:noWrap w:val="0"/>
            <w:vAlign w:val="center"/>
          </w:tcPr>
          <w:p w14:paraId="36ADE1F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200" w:type="dxa"/>
            <w:tcBorders>
              <w:top w:val="nil"/>
              <w:left w:val="nil"/>
              <w:bottom w:val="single" w:color="auto" w:sz="4" w:space="0"/>
              <w:right w:val="single" w:color="auto" w:sz="4" w:space="0"/>
            </w:tcBorders>
            <w:noWrap w:val="0"/>
            <w:vAlign w:val="center"/>
          </w:tcPr>
          <w:p w14:paraId="77D8A08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4BC5873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C41A27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308FC7F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240" w:type="dxa"/>
            <w:tcBorders>
              <w:top w:val="nil"/>
              <w:left w:val="nil"/>
              <w:bottom w:val="single" w:color="auto" w:sz="4" w:space="0"/>
              <w:right w:val="single" w:color="auto" w:sz="4" w:space="0"/>
            </w:tcBorders>
            <w:noWrap w:val="0"/>
            <w:vAlign w:val="center"/>
          </w:tcPr>
          <w:p w14:paraId="6204841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706901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80" w:type="dxa"/>
            <w:tcBorders>
              <w:top w:val="nil"/>
              <w:left w:val="nil"/>
              <w:bottom w:val="single" w:color="auto" w:sz="4" w:space="0"/>
              <w:right w:val="single" w:color="auto" w:sz="4" w:space="0"/>
            </w:tcBorders>
            <w:noWrap w:val="0"/>
            <w:vAlign w:val="center"/>
          </w:tcPr>
          <w:p w14:paraId="6E9930C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200" w:type="dxa"/>
            <w:tcBorders>
              <w:top w:val="nil"/>
              <w:left w:val="nil"/>
              <w:bottom w:val="single" w:color="auto" w:sz="4" w:space="0"/>
              <w:right w:val="single" w:color="auto" w:sz="4" w:space="0"/>
            </w:tcBorders>
            <w:noWrap w:val="0"/>
            <w:vAlign w:val="center"/>
          </w:tcPr>
          <w:p w14:paraId="79235A5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1D6BB54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B1029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384" w:type="dxa"/>
            <w:tcBorders>
              <w:top w:val="nil"/>
              <w:left w:val="nil"/>
              <w:bottom w:val="single" w:color="auto" w:sz="4" w:space="0"/>
              <w:right w:val="single" w:color="auto" w:sz="4" w:space="0"/>
            </w:tcBorders>
            <w:noWrap w:val="0"/>
            <w:vAlign w:val="center"/>
          </w:tcPr>
          <w:p w14:paraId="411F9CE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1FFA693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08D8658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80" w:type="dxa"/>
            <w:tcBorders>
              <w:top w:val="nil"/>
              <w:left w:val="nil"/>
              <w:bottom w:val="single" w:color="auto" w:sz="4" w:space="0"/>
              <w:right w:val="single" w:color="auto" w:sz="4" w:space="0"/>
            </w:tcBorders>
            <w:noWrap w:val="0"/>
            <w:vAlign w:val="center"/>
          </w:tcPr>
          <w:p w14:paraId="717F39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200" w:type="dxa"/>
            <w:tcBorders>
              <w:top w:val="nil"/>
              <w:left w:val="nil"/>
              <w:bottom w:val="single" w:color="auto" w:sz="4" w:space="0"/>
              <w:right w:val="single" w:color="auto" w:sz="4" w:space="0"/>
            </w:tcBorders>
            <w:noWrap w:val="0"/>
            <w:vAlign w:val="center"/>
          </w:tcPr>
          <w:p w14:paraId="67E4503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2CC8CCF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70AC70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714BD44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240" w:type="dxa"/>
            <w:tcBorders>
              <w:top w:val="nil"/>
              <w:left w:val="nil"/>
              <w:bottom w:val="single" w:color="auto" w:sz="4" w:space="0"/>
              <w:right w:val="single" w:color="auto" w:sz="4" w:space="0"/>
            </w:tcBorders>
            <w:noWrap w:val="0"/>
            <w:vAlign w:val="center"/>
          </w:tcPr>
          <w:p w14:paraId="2B865F0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5300798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680" w:type="dxa"/>
            <w:tcBorders>
              <w:top w:val="nil"/>
              <w:left w:val="nil"/>
              <w:bottom w:val="single" w:color="auto" w:sz="4" w:space="0"/>
              <w:right w:val="single" w:color="auto" w:sz="4" w:space="0"/>
            </w:tcBorders>
            <w:noWrap w:val="0"/>
            <w:vAlign w:val="center"/>
          </w:tcPr>
          <w:p w14:paraId="2AC4DA3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200" w:type="dxa"/>
            <w:tcBorders>
              <w:top w:val="nil"/>
              <w:left w:val="nil"/>
              <w:bottom w:val="single" w:color="auto" w:sz="4" w:space="0"/>
              <w:right w:val="single" w:color="auto" w:sz="4" w:space="0"/>
            </w:tcBorders>
            <w:noWrap w:val="0"/>
            <w:vAlign w:val="center"/>
          </w:tcPr>
          <w:p w14:paraId="27D029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0F3961B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96197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229E4C9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16C4757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173A8DA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80" w:type="dxa"/>
            <w:tcBorders>
              <w:top w:val="nil"/>
              <w:left w:val="nil"/>
              <w:bottom w:val="single" w:color="auto" w:sz="4" w:space="0"/>
              <w:right w:val="single" w:color="auto" w:sz="4" w:space="0"/>
            </w:tcBorders>
            <w:noWrap w:val="0"/>
            <w:vAlign w:val="center"/>
          </w:tcPr>
          <w:p w14:paraId="00E3467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0" w:type="dxa"/>
            <w:tcBorders>
              <w:top w:val="nil"/>
              <w:left w:val="nil"/>
              <w:bottom w:val="single" w:color="auto" w:sz="4" w:space="0"/>
              <w:right w:val="single" w:color="auto" w:sz="4" w:space="0"/>
            </w:tcBorders>
            <w:noWrap w:val="0"/>
            <w:vAlign w:val="center"/>
          </w:tcPr>
          <w:p w14:paraId="3FC128A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335BD8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C0F8F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1"/>
                <w:szCs w:val="21"/>
                <w:highlight w:val="none"/>
              </w:rPr>
            </w:pPr>
          </w:p>
        </w:tc>
        <w:tc>
          <w:tcPr>
            <w:tcW w:w="1384" w:type="dxa"/>
            <w:tcBorders>
              <w:top w:val="nil"/>
              <w:left w:val="nil"/>
              <w:bottom w:val="single" w:color="auto" w:sz="4" w:space="0"/>
              <w:right w:val="single" w:color="auto" w:sz="4" w:space="0"/>
            </w:tcBorders>
            <w:noWrap w:val="0"/>
            <w:vAlign w:val="center"/>
          </w:tcPr>
          <w:p w14:paraId="5250AFD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240" w:type="dxa"/>
            <w:tcBorders>
              <w:top w:val="nil"/>
              <w:left w:val="nil"/>
              <w:bottom w:val="single" w:color="auto" w:sz="4" w:space="0"/>
              <w:right w:val="single" w:color="auto" w:sz="4" w:space="0"/>
            </w:tcBorders>
            <w:noWrap w:val="0"/>
            <w:vAlign w:val="center"/>
          </w:tcPr>
          <w:p w14:paraId="0E8ACA2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37" w:type="dxa"/>
            <w:tcBorders>
              <w:top w:val="nil"/>
              <w:left w:val="nil"/>
              <w:bottom w:val="single" w:color="auto" w:sz="4" w:space="0"/>
              <w:right w:val="single" w:color="auto" w:sz="4" w:space="0"/>
            </w:tcBorders>
            <w:noWrap w:val="0"/>
            <w:vAlign w:val="center"/>
          </w:tcPr>
          <w:p w14:paraId="740C79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80" w:type="dxa"/>
            <w:tcBorders>
              <w:top w:val="nil"/>
              <w:left w:val="nil"/>
              <w:bottom w:val="single" w:color="auto" w:sz="4" w:space="0"/>
              <w:right w:val="single" w:color="auto" w:sz="4" w:space="0"/>
            </w:tcBorders>
            <w:noWrap w:val="0"/>
            <w:vAlign w:val="center"/>
          </w:tcPr>
          <w:p w14:paraId="63990A1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200" w:type="dxa"/>
            <w:tcBorders>
              <w:top w:val="nil"/>
              <w:left w:val="nil"/>
              <w:bottom w:val="single" w:color="auto" w:sz="4" w:space="0"/>
              <w:right w:val="single" w:color="auto" w:sz="4" w:space="0"/>
            </w:tcBorders>
            <w:noWrap w:val="0"/>
            <w:vAlign w:val="center"/>
          </w:tcPr>
          <w:p w14:paraId="2E9CA13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495B0C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A0B387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6AF540D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240" w:type="dxa"/>
            <w:tcBorders>
              <w:top w:val="nil"/>
              <w:left w:val="nil"/>
              <w:bottom w:val="single" w:color="auto" w:sz="4" w:space="0"/>
              <w:right w:val="single" w:color="auto" w:sz="4" w:space="0"/>
            </w:tcBorders>
            <w:noWrap w:val="0"/>
            <w:vAlign w:val="center"/>
          </w:tcPr>
          <w:p w14:paraId="7685973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37" w:type="dxa"/>
            <w:tcBorders>
              <w:top w:val="nil"/>
              <w:left w:val="nil"/>
              <w:bottom w:val="single" w:color="auto" w:sz="4" w:space="0"/>
              <w:right w:val="single" w:color="auto" w:sz="4" w:space="0"/>
            </w:tcBorders>
            <w:noWrap w:val="0"/>
            <w:vAlign w:val="center"/>
          </w:tcPr>
          <w:p w14:paraId="74A2135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80" w:type="dxa"/>
            <w:tcBorders>
              <w:top w:val="nil"/>
              <w:left w:val="nil"/>
              <w:bottom w:val="single" w:color="auto" w:sz="4" w:space="0"/>
              <w:right w:val="single" w:color="auto" w:sz="4" w:space="0"/>
            </w:tcBorders>
            <w:noWrap w:val="0"/>
            <w:vAlign w:val="center"/>
          </w:tcPr>
          <w:p w14:paraId="4AE0E19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00" w:type="dxa"/>
            <w:tcBorders>
              <w:top w:val="nil"/>
              <w:left w:val="nil"/>
              <w:bottom w:val="single" w:color="auto" w:sz="4" w:space="0"/>
              <w:right w:val="single" w:color="auto" w:sz="4" w:space="0"/>
            </w:tcBorders>
            <w:noWrap w:val="0"/>
            <w:vAlign w:val="center"/>
          </w:tcPr>
          <w:p w14:paraId="715FA40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2FC620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A7C7B7B">
      <w:pPr>
        <w:pStyle w:val="3"/>
        <w:jc w:val="center"/>
        <w:rPr>
          <w:rFonts w:hint="eastAsia" w:ascii="宋体" w:hAnsi="宋体"/>
          <w:color w:val="auto"/>
          <w:highlight w:val="none"/>
        </w:rPr>
      </w:pPr>
      <w:r>
        <w:rPr>
          <w:rFonts w:ascii="宋体" w:hAnsi="宋体"/>
          <w:color w:val="auto"/>
          <w:highlight w:val="none"/>
        </w:rPr>
        <w:br w:type="page"/>
      </w:r>
      <w:bookmarkStart w:id="57" w:name="_Toc6395"/>
      <w:r>
        <w:rPr>
          <w:rFonts w:hint="eastAsia" w:ascii="宋体" w:hAnsi="宋体"/>
          <w:color w:val="auto"/>
          <w:highlight w:val="none"/>
        </w:rPr>
        <w:t>第四章  评审程序、评审方法和评审标准</w:t>
      </w:r>
      <w:bookmarkEnd w:id="57"/>
    </w:p>
    <w:p w14:paraId="6E799BA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3CE7F9C">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.资格审查</w:t>
      </w:r>
    </w:p>
    <w:p w14:paraId="30163ECA">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D1C98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238C8B0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44C5CE2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3CB180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5EE281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18C3138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4341EC5B">
      <w:pPr>
        <w:spacing w:line="360" w:lineRule="auto"/>
        <w:ind w:firstLine="482" w:firstLineChars="200"/>
        <w:rPr>
          <w:rFonts w:hint="eastAsia" w:ascii="宋体" w:hAnsi="宋体" w:cs="宋体"/>
          <w:b/>
          <w:bCs/>
          <w:color w:val="auto"/>
          <w:sz w:val="24"/>
          <w:highlight w:val="none"/>
        </w:rPr>
      </w:pPr>
      <w:r>
        <w:rPr>
          <w:rFonts w:ascii="宋体" w:hAnsi="宋体" w:cs="宋体"/>
          <w:b/>
          <w:bCs/>
          <w:color w:val="auto"/>
          <w:sz w:val="24"/>
          <w:highlight w:val="none"/>
        </w:rPr>
        <w:t>2</w:t>
      </w:r>
      <w:r>
        <w:rPr>
          <w:rFonts w:hint="eastAsia" w:ascii="宋体" w:hAnsi="宋体" w:cs="宋体"/>
          <w:b/>
          <w:bCs/>
          <w:color w:val="auto"/>
          <w:sz w:val="24"/>
          <w:highlight w:val="none"/>
        </w:rPr>
        <w:t>.符合性审查</w:t>
      </w:r>
    </w:p>
    <w:p w14:paraId="22C75A1B">
      <w:pPr>
        <w:spacing w:line="360" w:lineRule="auto"/>
        <w:ind w:firstLine="420" w:firstLineChars="200"/>
        <w:rPr>
          <w:rFonts w:hint="eastAsia" w:ascii="宋体" w:hAnsi="宋体" w:cs="宋体"/>
          <w:color w:val="auto"/>
          <w:szCs w:val="21"/>
          <w:highlight w:val="none"/>
        </w:rPr>
      </w:pPr>
      <w:bookmarkStart w:id="58"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58"/>
    <w:p w14:paraId="55E10F5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6456DB">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73CC2681">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33DD6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2215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947D3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7A27E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59D38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575B9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60B35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22400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64409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3F83B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757B6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08E70A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文件的规定提交磋商保证金；</w:t>
      </w:r>
    </w:p>
    <w:p w14:paraId="1D9186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1A7D766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5DE1F7A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02F89C1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5F4AB4A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628E08A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02AB91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1247246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2）明显不满足磋商文件要求的技术规格、安全、质量标准，或者与磋商文件中标“▲”的技术需求或者标明实质性的要求发生负偏离；</w:t>
      </w:r>
    </w:p>
    <w:p w14:paraId="28C5306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）技术需求允许负偏离的条款数超过“供应商须知前附表”规定项数；</w:t>
      </w:r>
    </w:p>
    <w:p w14:paraId="4FE8D5A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）虚假竞标，或者出现其他情形而导致被磋商小组认定无效；</w:t>
      </w:r>
    </w:p>
    <w:p w14:paraId="4042523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268AA17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5048B4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r>
        <w:rPr>
          <w:rFonts w:hint="eastAsia" w:ascii="宋体" w:hAnsi="宋体" w:cs="宋体"/>
          <w:color w:val="auto"/>
          <w:szCs w:val="21"/>
          <w:highlight w:val="none"/>
        </w:rPr>
        <w:t>）法律、法规和磋商文件规定的其他无效情形。</w:t>
      </w:r>
    </w:p>
    <w:p w14:paraId="052AED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6B0F3E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报价商务技术文件中规定的“竞标报价表”的；</w:t>
      </w:r>
    </w:p>
    <w:p w14:paraId="3A22D5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2）未采用人民币报价或者未按照磋商文件标明的币种报价的；</w:t>
      </w:r>
    </w:p>
    <w:p w14:paraId="256ED9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D6005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59" w:name="_Hlk42596405"/>
      <w:r>
        <w:rPr>
          <w:rFonts w:hint="eastAsia" w:ascii="宋体" w:hAnsi="宋体" w:cs="宋体"/>
          <w:color w:val="auto"/>
          <w:szCs w:val="21"/>
          <w:highlight w:val="none"/>
        </w:rPr>
        <w:t>竞标报价（包含首次报价、最后报价）</w:t>
      </w:r>
      <w:bookmarkEnd w:id="59"/>
      <w:bookmarkStart w:id="60" w:name="_Hlk42596276"/>
      <w:r>
        <w:rPr>
          <w:rFonts w:hint="eastAsia" w:ascii="宋体" w:hAnsi="宋体" w:cs="宋体"/>
          <w:color w:val="auto"/>
          <w:szCs w:val="21"/>
          <w:highlight w:val="none"/>
        </w:rPr>
        <w:t>超过磋商文件分项采购预算金额或者最高限价的</w:t>
      </w:r>
      <w:bookmarkEnd w:id="60"/>
      <w:r>
        <w:rPr>
          <w:rFonts w:hint="eastAsia" w:ascii="宋体" w:hAnsi="宋体" w:cs="宋体"/>
          <w:color w:val="auto"/>
          <w:szCs w:val="21"/>
          <w:highlight w:val="none"/>
        </w:rPr>
        <w:t>（如本项目公布了最高限价）；</w:t>
      </w:r>
    </w:p>
    <w:p w14:paraId="2D48A6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6AFC14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66D2763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通过符合性审查的合格供应商不足3家的，不得进入磋商环节，采购人或者采购代理机构应当重新开展采购活动（除符合本章3.8条规定的除外）。</w:t>
      </w:r>
    </w:p>
    <w:p w14:paraId="1D4769F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ascii="宋体" w:hAnsi="宋体" w:cs="宋体"/>
          <w:b/>
          <w:bCs/>
          <w:color w:val="auto"/>
          <w:sz w:val="24"/>
          <w:highlight w:val="none"/>
        </w:rPr>
        <w:t>.</w:t>
      </w:r>
      <w:r>
        <w:rPr>
          <w:rFonts w:hint="eastAsia" w:ascii="宋体" w:hAnsi="宋体" w:cs="宋体"/>
          <w:b/>
          <w:bCs/>
          <w:color w:val="auto"/>
          <w:sz w:val="24"/>
          <w:highlight w:val="none"/>
        </w:rPr>
        <w:t>磋商</w:t>
      </w:r>
    </w:p>
    <w:p w14:paraId="2AF38A88">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.磋商的程序</w:t>
      </w:r>
    </w:p>
    <w:p w14:paraId="46395AC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64257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D48060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14:paraId="5974C60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w:t>
      </w:r>
      <w:bookmarkStart w:id="61" w:name="_Hlk55814495"/>
      <w:r>
        <w:rPr>
          <w:rFonts w:hint="eastAsia" w:ascii="宋体" w:hAnsi="宋体" w:cs="宋体"/>
          <w:color w:val="auto"/>
          <w:szCs w:val="21"/>
          <w:highlight w:val="none"/>
        </w:rPr>
        <w:t>退出磋商</w:t>
      </w:r>
      <w:bookmarkEnd w:id="61"/>
      <w:r>
        <w:rPr>
          <w:rFonts w:hint="eastAsia" w:ascii="宋体" w:hAnsi="宋体" w:cs="宋体"/>
          <w:color w:val="auto"/>
          <w:szCs w:val="21"/>
          <w:highlight w:val="none"/>
        </w:rPr>
        <w:t>，其响应文件作无效处理。</w:t>
      </w:r>
    </w:p>
    <w:p w14:paraId="6F4B64E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D2B6918">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14:paraId="6D30C36A">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14:paraId="1BF61B5F">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3.8</w:t>
      </w:r>
      <w:r>
        <w:rPr>
          <w:rFonts w:ascii="宋体" w:hAnsi="宋体"/>
          <w:color w:val="auto"/>
          <w:szCs w:val="21"/>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CD6A03F">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3.9</w:t>
      </w:r>
      <w:r>
        <w:rPr>
          <w:rFonts w:hint="eastAsia" w:ascii="宋体" w:hAnsi="宋体"/>
          <w:color w:val="auto"/>
          <w:szCs w:val="21"/>
          <w:highlight w:val="none"/>
        </w:rPr>
        <w:t>对磋商过程提交的响应文件进行有效性、完整性和响应程度审查，通过审查的合格供应商不足3家的，除本章第</w:t>
      </w:r>
      <w:r>
        <w:rPr>
          <w:rFonts w:ascii="宋体" w:hAnsi="宋体"/>
          <w:color w:val="auto"/>
          <w:szCs w:val="21"/>
          <w:highlight w:val="none"/>
        </w:rPr>
        <w:t>3.8</w:t>
      </w:r>
      <w:r>
        <w:rPr>
          <w:rFonts w:hint="eastAsia" w:ascii="宋体" w:hAnsi="宋体"/>
          <w:color w:val="auto"/>
          <w:szCs w:val="21"/>
          <w:highlight w:val="none"/>
        </w:rPr>
        <w:t>条的情形外，采购人或者采购代理机构应当重新开展采购活动。</w:t>
      </w:r>
    </w:p>
    <w:p w14:paraId="1F18D03A">
      <w:pPr>
        <w:spacing w:line="360" w:lineRule="auto"/>
        <w:ind w:firstLine="482" w:firstLineChars="200"/>
        <w:rPr>
          <w:rFonts w:ascii="宋体" w:hAnsi="宋体" w:cs="宋体"/>
          <w:color w:val="auto"/>
          <w:szCs w:val="21"/>
          <w:highlight w:val="none"/>
        </w:rPr>
      </w:pPr>
      <w:r>
        <w:rPr>
          <w:rFonts w:ascii="宋体" w:hAnsi="宋体" w:cs="宋体"/>
          <w:b/>
          <w:bCs/>
          <w:color w:val="auto"/>
          <w:sz w:val="24"/>
          <w:highlight w:val="none"/>
        </w:rPr>
        <w:t>4.</w:t>
      </w:r>
      <w:r>
        <w:rPr>
          <w:rFonts w:hint="eastAsia" w:ascii="宋体" w:hAnsi="宋体" w:cs="宋体"/>
          <w:b/>
          <w:bCs/>
          <w:color w:val="auto"/>
          <w:sz w:val="24"/>
          <w:highlight w:val="none"/>
        </w:rPr>
        <w:t>最后报价</w:t>
      </w:r>
    </w:p>
    <w:p w14:paraId="5429F4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highlight w:val="none"/>
        </w:rPr>
        <w:t>4.3</w:t>
      </w:r>
      <w:r>
        <w:rPr>
          <w:rFonts w:hint="eastAsia" w:ascii="宋体" w:hAnsi="宋体" w:cs="宋体"/>
          <w:color w:val="auto"/>
          <w:szCs w:val="21"/>
          <w:highlight w:val="none"/>
        </w:rPr>
        <w:t>条外，否则必须重新采购。</w:t>
      </w:r>
    </w:p>
    <w:p w14:paraId="67147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247CB2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highlight w:val="none"/>
        </w:rPr>
        <w:t>3.8</w:t>
      </w:r>
      <w:r>
        <w:rPr>
          <w:rFonts w:hint="eastAsia" w:ascii="宋体" w:hAnsi="宋体" w:cs="宋体"/>
          <w:color w:val="auto"/>
          <w:szCs w:val="21"/>
          <w:highlight w:val="none"/>
        </w:rPr>
        <w:t>条情形的，提交最后报价的供应商可以为2家。</w:t>
      </w:r>
    </w:p>
    <w:p w14:paraId="137D3CA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2297A6C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供应商未在规定时间内提交最后报价的，视为退出磋商，其响应文件作无效处理。</w:t>
      </w:r>
    </w:p>
    <w:p w14:paraId="1C88FAB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76CD43E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39276F8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9C2F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180CF5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AFB85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4ED5BCA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5DE67F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4.10</w:t>
      </w:r>
      <w:r>
        <w:rPr>
          <w:rFonts w:hint="eastAsia" w:ascii="宋体" w:hAnsi="宋体" w:cs="宋体"/>
          <w:color w:val="auto"/>
          <w:szCs w:val="21"/>
          <w:highlight w:val="none"/>
        </w:rPr>
        <w:t>最后报价结束后，磋商小组不得再与供应商进行任何形式的商谈。</w:t>
      </w:r>
    </w:p>
    <w:p w14:paraId="73B700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w:t>
      </w:r>
      <w:r>
        <w:rPr>
          <w:rFonts w:ascii="宋体" w:hAnsi="宋体" w:cs="宋体"/>
          <w:b/>
          <w:bCs/>
          <w:color w:val="auto"/>
          <w:sz w:val="24"/>
          <w:highlight w:val="none"/>
        </w:rPr>
        <w:t>.</w:t>
      </w:r>
      <w:r>
        <w:rPr>
          <w:rFonts w:hint="eastAsia" w:ascii="宋体" w:hAnsi="宋体" w:cs="宋体"/>
          <w:b/>
          <w:bCs/>
          <w:color w:val="auto"/>
          <w:sz w:val="24"/>
          <w:highlight w:val="none"/>
        </w:rPr>
        <w:t>比较与评价</w:t>
      </w:r>
    </w:p>
    <w:p w14:paraId="46255CD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FED29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960DE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C8AF1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C49CD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2FE242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80871B8">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32E93825">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CF898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bookmarkStart w:id="62" w:name="修改3评审标准"/>
      <w:bookmarkEnd w:id="62"/>
    </w:p>
    <w:p w14:paraId="3AFC61E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5251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582C5F59">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18" w:type="dxa"/>
            <w:noWrap w:val="0"/>
            <w:vAlign w:val="center"/>
          </w:tcPr>
          <w:p w14:paraId="5B3EDE70">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288" w:type="dxa"/>
            <w:noWrap w:val="0"/>
            <w:vAlign w:val="center"/>
          </w:tcPr>
          <w:p w14:paraId="7BAC635C">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851" w:type="dxa"/>
            <w:noWrap w:val="0"/>
            <w:vAlign w:val="center"/>
          </w:tcPr>
          <w:p w14:paraId="1D502772">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2B20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533" w:type="dxa"/>
            <w:noWrap w:val="0"/>
            <w:vAlign w:val="center"/>
          </w:tcPr>
          <w:p w14:paraId="39502C3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18" w:type="dxa"/>
            <w:noWrap w:val="0"/>
            <w:vAlign w:val="center"/>
          </w:tcPr>
          <w:p w14:paraId="0805866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288" w:type="dxa"/>
            <w:noWrap w:val="0"/>
            <w:vAlign w:val="top"/>
          </w:tcPr>
          <w:p w14:paraId="6F8F83A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本项目为专门面对中小企业项目，按照《政府采购促进中小企业发展管理办法》（财库〔2020〕46号）规定，小微企业、监狱企业、残疾人福利性单位不再执行价格评审优惠的扶持政策。</w:t>
            </w:r>
          </w:p>
          <w:p w14:paraId="1DE14C6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在本项目采购活动中，</w:t>
            </w:r>
            <w:r>
              <w:rPr>
                <w:rFonts w:hint="eastAsia" w:hAnsi="宋体"/>
                <w:color w:val="auto"/>
                <w:highlight w:val="none"/>
                <w:lang w:val="en-US" w:eastAsia="zh-CN"/>
              </w:rPr>
              <w:t>供应商</w:t>
            </w:r>
            <w:r>
              <w:rPr>
                <w:rFonts w:hint="eastAsia" w:ascii="宋体" w:hAnsi="宋体" w:eastAsia="宋体" w:cs="宋体"/>
                <w:color w:val="auto"/>
                <w:sz w:val="21"/>
                <w:szCs w:val="21"/>
                <w:highlight w:val="none"/>
              </w:rPr>
              <w:t>提供的服务应符合下列情形：本采购项目中（服务类），服务由中小企业承接，即提供服务的人员为中小企业依照《中华人民共和国劳动合同法》订立劳动合同的从业人员。本项目属于</w:t>
            </w:r>
            <w:r>
              <w:rPr>
                <w:rFonts w:hint="eastAsia" w:ascii="宋体" w:hAnsi="宋体" w:cs="宋体"/>
                <w:color w:val="auto"/>
                <w:szCs w:val="21"/>
                <w:highlight w:val="none"/>
              </w:rPr>
              <w:t>软件和信息技术服务业</w:t>
            </w:r>
            <w:r>
              <w:rPr>
                <w:rFonts w:hint="eastAsia" w:ascii="宋体" w:hAnsi="宋体" w:eastAsia="宋体" w:cs="宋体"/>
                <w:color w:val="auto"/>
                <w:sz w:val="21"/>
                <w:szCs w:val="21"/>
                <w:highlight w:val="none"/>
              </w:rPr>
              <w:t>，中型、小型或微型企业划分标准按照《关于印发中小企业划型标准规定的通知》（工信中联企业〔2011〕300号）文件执行。</w:t>
            </w:r>
          </w:p>
          <w:p w14:paraId="2E345E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评审报价＝</w:t>
            </w:r>
            <w:r>
              <w:rPr>
                <w:rFonts w:hint="eastAsia" w:ascii="宋体" w:hAnsi="宋体"/>
                <w:color w:val="auto"/>
                <w:szCs w:val="21"/>
                <w:highlight w:val="none"/>
                <w:lang w:val="en-US" w:eastAsia="zh-CN"/>
              </w:rPr>
              <w:t>某供应商最终</w:t>
            </w:r>
            <w:r>
              <w:rPr>
                <w:rFonts w:hint="eastAsia" w:ascii="宋体" w:hAnsi="宋体"/>
                <w:color w:val="auto"/>
                <w:szCs w:val="21"/>
                <w:highlight w:val="none"/>
              </w:rPr>
              <w:t>报价</w:t>
            </w:r>
          </w:p>
          <w:p w14:paraId="6EC89BE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highlight w:val="none"/>
              </w:rPr>
            </w:pPr>
            <w:r>
              <w:rPr>
                <w:rFonts w:hint="eastAsia" w:hAnsi="宋体" w:cs="Courier New"/>
                <w:bCs/>
                <w:color w:val="auto"/>
                <w:kern w:val="2"/>
                <w:sz w:val="21"/>
                <w:highlight w:val="none"/>
                <w:lang w:val="en-US" w:eastAsia="zh-CN"/>
              </w:rPr>
              <w:t>2.以进入比较与评价环节的最低的评审报价为基准价，基准价得分为</w:t>
            </w:r>
            <w:r>
              <w:rPr>
                <w:rFonts w:hint="eastAsia" w:hAnsi="宋体" w:cs="Courier New"/>
                <w:bCs/>
                <w:color w:val="auto"/>
                <w:kern w:val="2"/>
                <w:sz w:val="21"/>
                <w:highlight w:val="none"/>
                <w:u w:val="single"/>
                <w:lang w:val="en-US" w:eastAsia="zh-CN"/>
              </w:rPr>
              <w:t>10分</w:t>
            </w:r>
            <w:r>
              <w:rPr>
                <w:rFonts w:hint="eastAsia" w:hAnsi="宋体" w:cs="Courier New"/>
                <w:bCs/>
                <w:color w:val="auto"/>
                <w:kern w:val="2"/>
                <w:sz w:val="21"/>
                <w:highlight w:val="none"/>
                <w:lang w:val="en-US" w:eastAsia="zh-CN"/>
              </w:rPr>
              <w:t>。</w:t>
            </w:r>
          </w:p>
          <w:p w14:paraId="0D1219C7">
            <w:pPr>
              <w:pStyle w:val="15"/>
              <w:spacing w:line="360" w:lineRule="auto"/>
              <w:ind w:firstLine="420" w:firstLineChars="200"/>
              <w:rPr>
                <w:rFonts w:hint="eastAsia"/>
                <w:color w:val="auto"/>
                <w:highlight w:val="none"/>
              </w:rPr>
            </w:pP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某</w:t>
            </w:r>
            <w:r>
              <w:rPr>
                <w:rFonts w:hint="eastAsia"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价格分=</w:t>
            </w:r>
            <w:r>
              <w:rPr>
                <w:rFonts w:hint="eastAsia"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基准价/某</w:t>
            </w:r>
            <w:r>
              <w:rPr>
                <w:rFonts w:hint="eastAsia"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w:t>
            </w:r>
            <w:r>
              <w:rPr>
                <w:rFonts w:hint="eastAsia"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51" w:type="dxa"/>
            <w:noWrap w:val="0"/>
            <w:vAlign w:val="center"/>
          </w:tcPr>
          <w:p w14:paraId="7F9445CD">
            <w:pPr>
              <w:widowControl/>
              <w:spacing w:line="360" w:lineRule="auto"/>
              <w:jc w:val="center"/>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分</w:t>
            </w:r>
          </w:p>
        </w:tc>
      </w:tr>
      <w:tr w14:paraId="0060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0B43A76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418" w:type="dxa"/>
            <w:noWrap w:val="0"/>
            <w:vAlign w:val="center"/>
          </w:tcPr>
          <w:p w14:paraId="50A22C7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7139" w:type="dxa"/>
            <w:gridSpan w:val="2"/>
            <w:noWrap w:val="0"/>
            <w:vAlign w:val="top"/>
          </w:tcPr>
          <w:p w14:paraId="3951F0F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677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139F3893">
            <w:pPr>
              <w:adjustRightInd w:val="0"/>
              <w:spacing w:line="360" w:lineRule="auto"/>
              <w:ind w:left="-105" w:leftChars="-50" w:right="-105" w:rightChars="-50"/>
              <w:jc w:val="center"/>
              <w:textAlignment w:val="baseline"/>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2.1</w:t>
            </w:r>
          </w:p>
        </w:tc>
        <w:tc>
          <w:tcPr>
            <w:tcW w:w="1418" w:type="dxa"/>
            <w:noWrap w:val="0"/>
            <w:vAlign w:val="center"/>
          </w:tcPr>
          <w:p w14:paraId="4B49F2D4">
            <w:pPr>
              <w:adjustRightInd w:val="0"/>
              <w:spacing w:line="360" w:lineRule="auto"/>
              <w:jc w:val="center"/>
              <w:textAlignment w:val="baseline"/>
              <w:rPr>
                <w:rFonts w:hint="default" w:ascii="宋体" w:hAnsi="宋体" w:eastAsia="宋体"/>
                <w:bCs/>
                <w:color w:val="auto"/>
                <w:kern w:val="0"/>
                <w:sz w:val="21"/>
                <w:szCs w:val="21"/>
                <w:highlight w:val="none"/>
                <w:lang w:val="en-US" w:eastAsia="zh-CN"/>
              </w:rPr>
            </w:pPr>
            <w:r>
              <w:rPr>
                <w:rFonts w:hint="default" w:ascii="宋体" w:hAnsi="宋体" w:eastAsia="宋体"/>
                <w:bCs/>
                <w:color w:val="auto"/>
                <w:kern w:val="0"/>
                <w:sz w:val="21"/>
                <w:szCs w:val="21"/>
                <w:highlight w:val="none"/>
                <w:lang w:val="en-US" w:eastAsia="zh-CN"/>
              </w:rPr>
              <w:t>团队服务能力</w:t>
            </w:r>
          </w:p>
        </w:tc>
        <w:tc>
          <w:tcPr>
            <w:tcW w:w="6288" w:type="dxa"/>
            <w:noWrap w:val="0"/>
            <w:vAlign w:val="center"/>
          </w:tcPr>
          <w:p w14:paraId="206C49FE">
            <w:pPr>
              <w:spacing w:line="400" w:lineRule="exact"/>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为保证网络安全服务质量，供应商项目服务团队</w:t>
            </w:r>
          </w:p>
          <w:p w14:paraId="5ED1CF26">
            <w:pPr>
              <w:spacing w:line="400" w:lineRule="exact"/>
              <w:rPr>
                <w:rFonts w:hint="default"/>
                <w:color w:val="auto"/>
                <w:highlight w:val="none"/>
                <w:lang w:val="en-US" w:eastAsia="zh-CN"/>
              </w:rPr>
            </w:pPr>
            <w:r>
              <w:rPr>
                <w:rFonts w:hint="default"/>
                <w:color w:val="auto"/>
                <w:highlight w:val="none"/>
                <w:lang w:val="en-US" w:eastAsia="zh-CN"/>
              </w:rPr>
              <w:t>1）拟投入本项目的一线实施人员具备拥有获得中国信息安全产品测评认证中心颁发的注册信息安全工程师（CISP-CISE）证书，每一个得2分，满分4分；</w:t>
            </w:r>
          </w:p>
          <w:p w14:paraId="6F078C19">
            <w:pPr>
              <w:spacing w:line="400" w:lineRule="exact"/>
              <w:rPr>
                <w:rFonts w:hint="default"/>
                <w:color w:val="auto"/>
                <w:highlight w:val="none"/>
                <w:lang w:val="en-US" w:eastAsia="zh-CN"/>
              </w:rPr>
            </w:pPr>
            <w:r>
              <w:rPr>
                <w:rFonts w:hint="default"/>
                <w:color w:val="auto"/>
                <w:highlight w:val="none"/>
                <w:lang w:val="en-US" w:eastAsia="zh-CN"/>
              </w:rPr>
              <w:t>2）二线人员应具备拥有获得中国信息安全产品测评认证中心颁发的注册渗透测试工程师（CISP-PTE）或注册渗透测试专家（CISP-PTS）证书，每一个得2分，满分4分；</w:t>
            </w:r>
          </w:p>
          <w:p w14:paraId="1B54D6FE">
            <w:pPr>
              <w:spacing w:line="400" w:lineRule="exact"/>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为保证服务质量，供应商项目服务团队应具备漏洞挖掘能力，提供国家信息安全漏洞共享平台颁发的CNVD原创漏洞证书复印件，每一个得1分，满分6分；</w:t>
            </w:r>
          </w:p>
          <w:p w14:paraId="50085C34">
            <w:pPr>
              <w:spacing w:line="400" w:lineRule="exact"/>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供应商具有优秀的网络安全保障能力，有国家级活动网络安全保卫工作经验的，提供相关证明复印件并加盖供应商公章，原件备查，得3分；</w:t>
            </w:r>
          </w:p>
          <w:p w14:paraId="2A35829E">
            <w:pPr>
              <w:spacing w:line="400" w:lineRule="exact"/>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为保证应急响应服务质量，供应商项目服务团队具备拥有中国网络安全审查技术与认证中心颁发的网络安全应急响应工程师证书，得3分；</w:t>
            </w:r>
          </w:p>
          <w:p w14:paraId="47A7479D">
            <w:pPr>
              <w:spacing w:line="400" w:lineRule="exact"/>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供应商具有优秀的网络工程技术能力，公司技术团队具有华为，华三，锐捷等主流网络设备生产厂商的HCIE、H3CIE、RCIE专家认证证书的，每一个得1分，满分3分；</w:t>
            </w:r>
          </w:p>
          <w:p w14:paraId="0A7DFBAD">
            <w:pPr>
              <w:spacing w:line="400" w:lineRule="exact"/>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供应商提供项目实施人员具有中华人民共和国人力资源和社会保障部、工业和信息化部颁发的系统集成项目管理工程师（中级或以上）或者网络工程师（中级或以上）提供人员的有效资质证书，其中每个中级证书得2分，每个高级证书得3分，满分6分。</w:t>
            </w:r>
          </w:p>
          <w:p w14:paraId="1756D0D0">
            <w:pPr>
              <w:spacing w:line="400" w:lineRule="exact"/>
              <w:rPr>
                <w:rFonts w:hint="default"/>
                <w:color w:val="auto"/>
                <w:highlight w:val="none"/>
                <w:lang w:val="en-US" w:eastAsia="zh-CN"/>
              </w:rPr>
            </w:pPr>
            <w:r>
              <w:rPr>
                <w:rFonts w:hint="default"/>
                <w:color w:val="auto"/>
                <w:highlight w:val="none"/>
                <w:lang w:val="en-US" w:eastAsia="zh-CN"/>
              </w:rPr>
              <w:t>注：</w:t>
            </w:r>
            <w:r>
              <w:rPr>
                <w:rFonts w:hint="eastAsia"/>
                <w:color w:val="auto"/>
                <w:highlight w:val="none"/>
                <w:lang w:val="en-US" w:eastAsia="zh-CN"/>
              </w:rPr>
              <w:t>1.</w:t>
            </w:r>
            <w:r>
              <w:rPr>
                <w:rFonts w:hint="default"/>
                <w:color w:val="auto"/>
                <w:highlight w:val="none"/>
                <w:lang w:val="en-US" w:eastAsia="zh-CN"/>
              </w:rPr>
              <w:t>应在响应文件中提供拟投入本项目相应技术人员的有效资质证书、供应商为其缴纳的2024年3月-6月期间任意1个月有效社保证明，参保名单须包含拟投入本项目实施人员并做出标记；单位2024年6月新成立的，不需提供社保证明；新入职无社保证明的，需提供人员劳动合同；并加盖供应商单位公章，否则不予进档评分。</w:t>
            </w:r>
          </w:p>
          <w:p w14:paraId="0B19AED1">
            <w:pPr>
              <w:spacing w:line="400" w:lineRule="exact"/>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未提供项目一线驻点实施人员和二线保障人员一览表，不予评分。</w:t>
            </w:r>
          </w:p>
        </w:tc>
        <w:tc>
          <w:tcPr>
            <w:tcW w:w="851" w:type="dxa"/>
            <w:noWrap w:val="0"/>
            <w:vAlign w:val="center"/>
          </w:tcPr>
          <w:p w14:paraId="260BC9CC">
            <w:pPr>
              <w:spacing w:line="360" w:lineRule="auto"/>
              <w:jc w:val="center"/>
              <w:rPr>
                <w:rFonts w:hint="default" w:ascii="宋体" w:hAnsi="宋体" w:eastAsia="宋体" w:cs="宋体"/>
                <w:b w:val="0"/>
                <w:bCs/>
                <w:color w:val="auto"/>
                <w:kern w:val="0"/>
                <w:sz w:val="21"/>
                <w:szCs w:val="21"/>
                <w:highlight w:val="none"/>
                <w:u w:val="single"/>
                <w:lang w:val="en-US" w:eastAsia="zh-CN"/>
              </w:rPr>
            </w:pPr>
            <w:r>
              <w:rPr>
                <w:rFonts w:hint="eastAsia" w:ascii="宋体" w:hAnsi="宋体" w:eastAsia="宋体" w:cs="宋体"/>
                <w:b w:val="0"/>
                <w:bCs/>
                <w:color w:val="auto"/>
                <w:kern w:val="0"/>
                <w:sz w:val="21"/>
                <w:szCs w:val="21"/>
                <w:highlight w:val="none"/>
                <w:u w:val="none"/>
                <w:lang w:val="en-US" w:eastAsia="zh-CN"/>
              </w:rPr>
              <w:t>29分</w:t>
            </w:r>
          </w:p>
        </w:tc>
      </w:tr>
      <w:tr w14:paraId="3AFA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05F3D762">
            <w:pPr>
              <w:adjustRightInd w:val="0"/>
              <w:spacing w:line="360" w:lineRule="auto"/>
              <w:ind w:left="-105" w:leftChars="-50" w:right="-105" w:rightChars="-50"/>
              <w:jc w:val="center"/>
              <w:textAlignment w:val="baseline"/>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2.2</w:t>
            </w:r>
          </w:p>
        </w:tc>
        <w:tc>
          <w:tcPr>
            <w:tcW w:w="1418" w:type="dxa"/>
            <w:noWrap w:val="0"/>
            <w:vAlign w:val="center"/>
          </w:tcPr>
          <w:p w14:paraId="0F5E5D81">
            <w:pPr>
              <w:adjustRightInd w:val="0"/>
              <w:spacing w:line="360" w:lineRule="auto"/>
              <w:jc w:val="center"/>
              <w:textAlignment w:val="baseline"/>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网络安全服务技术方案</w:t>
            </w:r>
          </w:p>
        </w:tc>
        <w:tc>
          <w:tcPr>
            <w:tcW w:w="6288" w:type="dxa"/>
            <w:noWrap w:val="0"/>
            <w:vAlign w:val="center"/>
          </w:tcPr>
          <w:p w14:paraId="54CA5010">
            <w:pPr>
              <w:spacing w:line="40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一档（6分）：磋商供应商针对采购人的采购需求，仅简单复制磋商文件需求，提供的对应技术方案未针对实际情况进行了细化，未提供安全防护策略、规划和安全服务内容。</w:t>
            </w:r>
          </w:p>
          <w:p w14:paraId="47A98C9F">
            <w:pPr>
              <w:spacing w:line="40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12分）：磋商供应商针对采购人的需求，能提供技术方案实施方案描述详细，可操作性强，实施计划合理，资料及手册详细齐全。提供劳动力投入计划与进度计划、安全及质量保证措施，安全防护策略、规划和安全服务内容，总体服务方案基本满足项目建设需求；</w:t>
            </w:r>
          </w:p>
          <w:p w14:paraId="49192AD5">
            <w:pPr>
              <w:spacing w:line="40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18分）：在满足二档基础上，对项目总体需求和内容有深刻认识，能提供完整技术方案实施方案，针对性强。提供详细合理的工期保证措施、项目风险管理措施、质量控制措施、安全保障措施，对于采购人业务系统的渗透测试、漏洞扫描、安全加固、安全评估、应急演练、安全培训、护网重点保障等技术服务内容详细及设计规划。</w:t>
            </w:r>
          </w:p>
        </w:tc>
        <w:tc>
          <w:tcPr>
            <w:tcW w:w="851" w:type="dxa"/>
            <w:noWrap w:val="0"/>
            <w:vAlign w:val="center"/>
          </w:tcPr>
          <w:p w14:paraId="7273B3BF">
            <w:pPr>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18分</w:t>
            </w:r>
          </w:p>
        </w:tc>
      </w:tr>
      <w:tr w14:paraId="5F6D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6245FA31">
            <w:pPr>
              <w:adjustRightInd w:val="0"/>
              <w:spacing w:line="360" w:lineRule="auto"/>
              <w:ind w:left="-105" w:leftChars="-50" w:right="-105" w:rightChars="-50"/>
              <w:jc w:val="center"/>
              <w:textAlignment w:val="baseline"/>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2.3</w:t>
            </w:r>
          </w:p>
        </w:tc>
        <w:tc>
          <w:tcPr>
            <w:tcW w:w="1418" w:type="dxa"/>
            <w:noWrap w:val="0"/>
            <w:vAlign w:val="center"/>
          </w:tcPr>
          <w:p w14:paraId="6CA708E0">
            <w:pPr>
              <w:adjustRightInd w:val="0"/>
              <w:spacing w:line="360" w:lineRule="auto"/>
              <w:jc w:val="center"/>
              <w:textAlignment w:val="baseline"/>
              <w:rPr>
                <w:rFonts w:hint="eastAsia" w:ascii="宋体" w:hAnsi="宋体"/>
                <w:bCs/>
                <w:color w:val="auto"/>
                <w:kern w:val="0"/>
                <w:sz w:val="21"/>
                <w:szCs w:val="21"/>
                <w:highlight w:val="none"/>
              </w:rPr>
            </w:pPr>
            <w:r>
              <w:rPr>
                <w:rFonts w:hint="eastAsia" w:ascii="宋体" w:hAnsi="宋体"/>
                <w:bCs/>
                <w:color w:val="auto"/>
                <w:kern w:val="0"/>
                <w:sz w:val="21"/>
                <w:szCs w:val="21"/>
                <w:highlight w:val="none"/>
              </w:rPr>
              <w:t>网络安全应急响应方案</w:t>
            </w:r>
          </w:p>
        </w:tc>
        <w:tc>
          <w:tcPr>
            <w:tcW w:w="6288" w:type="dxa"/>
            <w:noWrap w:val="0"/>
            <w:vAlign w:val="center"/>
          </w:tcPr>
          <w:p w14:paraId="15711716">
            <w:pPr>
              <w:spacing w:line="276" w:lineRule="auto"/>
              <w:ind w:firstLine="420" w:firstLineChars="200"/>
              <w:rPr>
                <w:rFonts w:hint="default"/>
                <w:color w:val="auto"/>
                <w:highlight w:val="none"/>
                <w:lang w:val="en-US"/>
              </w:rPr>
            </w:pPr>
            <w:r>
              <w:rPr>
                <w:rFonts w:hint="default"/>
                <w:color w:val="auto"/>
                <w:highlight w:val="none"/>
                <w:lang w:val="en-US"/>
              </w:rPr>
              <w:t>一档（6分）：应急响应流程简单，故障解决流程、故障响应级别、响应方式和解决措施简单，符合本项目情况。</w:t>
            </w:r>
          </w:p>
          <w:p w14:paraId="4F5D44FB">
            <w:pPr>
              <w:spacing w:line="276" w:lineRule="auto"/>
              <w:ind w:firstLine="420" w:firstLineChars="200"/>
              <w:rPr>
                <w:rFonts w:hint="default"/>
                <w:color w:val="auto"/>
                <w:highlight w:val="none"/>
                <w:lang w:val="en-US"/>
              </w:rPr>
            </w:pPr>
            <w:r>
              <w:rPr>
                <w:rFonts w:hint="default"/>
                <w:color w:val="auto"/>
                <w:highlight w:val="none"/>
                <w:lang w:val="en-US"/>
              </w:rPr>
              <w:t>二档（12分）：应急响应流程比较合理，符合本项目实际情况，在一档的基础上包含详细的故障解决流程、故障响应级别、响应方式和解决措施，整体方案描述较清晰，措施可行性、及时性、可操作性；在接到故障通知后 1小时内做出响应，2小时内到达采购人指定现场，本地化应急响应服务队伍在5人以上（响应时提供近期一个月的社保证明复印件，并加盖公章）。</w:t>
            </w:r>
          </w:p>
          <w:p w14:paraId="2F0E0100">
            <w:pPr>
              <w:spacing w:line="276" w:lineRule="auto"/>
              <w:ind w:firstLine="420" w:firstLineChars="200"/>
              <w:rPr>
                <w:rFonts w:hint="default"/>
                <w:color w:val="auto"/>
                <w:highlight w:val="none"/>
                <w:lang w:val="en-US"/>
              </w:rPr>
            </w:pPr>
            <w:r>
              <w:rPr>
                <w:rFonts w:hint="default"/>
                <w:color w:val="auto"/>
                <w:highlight w:val="none"/>
                <w:lang w:val="en-US"/>
              </w:rPr>
              <w:t>三档（18分）：应急响应流程合理有序，完全符合本项目实际情况，针对性强，在二档的基础上具备在特殊、重要时期的系统稳定和网络安全保障措施等内容，能提供快速的网络安全事件服务响应，并针对本项目提供专门的网络安全服务技术支持、服务保障方案，措施可行性、及时性、可操作性高；在接到故障通知后15分钟内做出响应，2小时内到达采购人指定现场，本地化应急响应服务队伍在10人以上（响应时提供近期一个月的社保证明复印件，并加盖公章）。</w:t>
            </w:r>
          </w:p>
        </w:tc>
        <w:tc>
          <w:tcPr>
            <w:tcW w:w="851" w:type="dxa"/>
            <w:noWrap w:val="0"/>
            <w:vAlign w:val="center"/>
          </w:tcPr>
          <w:p w14:paraId="321BD759">
            <w:pPr>
              <w:spacing w:line="360" w:lineRule="auto"/>
              <w:jc w:val="center"/>
              <w:rPr>
                <w:rFonts w:hint="default" w:ascii="宋体" w:hAnsi="宋体" w:eastAsia="宋体" w:cs="宋体"/>
                <w:b w:val="0"/>
                <w:bCs/>
                <w:color w:val="auto"/>
                <w:kern w:val="0"/>
                <w:sz w:val="21"/>
                <w:szCs w:val="21"/>
                <w:highlight w:val="none"/>
                <w:u w:val="single"/>
                <w:lang w:val="en-US" w:eastAsia="zh-CN"/>
              </w:rPr>
            </w:pPr>
            <w:r>
              <w:rPr>
                <w:rFonts w:hint="eastAsia" w:ascii="宋体" w:hAnsi="宋体" w:eastAsia="宋体" w:cs="宋体"/>
                <w:b w:val="0"/>
                <w:bCs/>
                <w:color w:val="auto"/>
                <w:kern w:val="0"/>
                <w:sz w:val="21"/>
                <w:szCs w:val="21"/>
                <w:highlight w:val="none"/>
                <w:u w:val="none"/>
                <w:lang w:val="en-US" w:eastAsia="zh-CN"/>
              </w:rPr>
              <w:t>18分</w:t>
            </w:r>
          </w:p>
        </w:tc>
      </w:tr>
      <w:tr w14:paraId="506E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3" w:type="dxa"/>
            <w:noWrap w:val="0"/>
            <w:vAlign w:val="center"/>
          </w:tcPr>
          <w:p w14:paraId="79E5C94C">
            <w:pPr>
              <w:widowControl/>
              <w:spacing w:line="36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p>
        </w:tc>
        <w:tc>
          <w:tcPr>
            <w:tcW w:w="1418" w:type="dxa"/>
            <w:noWrap w:val="0"/>
            <w:vAlign w:val="center"/>
          </w:tcPr>
          <w:p w14:paraId="663C5BF4">
            <w:pPr>
              <w:widowControl/>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商务分</w:t>
            </w:r>
          </w:p>
        </w:tc>
        <w:tc>
          <w:tcPr>
            <w:tcW w:w="7139" w:type="dxa"/>
            <w:gridSpan w:val="2"/>
            <w:noWrap w:val="0"/>
            <w:vAlign w:val="center"/>
          </w:tcPr>
          <w:p w14:paraId="5A2DA36B">
            <w:pPr>
              <w:widowControl/>
              <w:spacing w:line="36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评审因素</w:t>
            </w:r>
          </w:p>
        </w:tc>
      </w:tr>
      <w:tr w14:paraId="29B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33" w:type="dxa"/>
            <w:noWrap w:val="0"/>
            <w:vAlign w:val="center"/>
          </w:tcPr>
          <w:p w14:paraId="0AEB0C5F">
            <w:pPr>
              <w:widowControl/>
              <w:spacing w:line="36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3.1</w:t>
            </w:r>
          </w:p>
        </w:tc>
        <w:tc>
          <w:tcPr>
            <w:tcW w:w="1418" w:type="dxa"/>
            <w:noWrap w:val="0"/>
            <w:vAlign w:val="center"/>
          </w:tcPr>
          <w:p w14:paraId="174B321F">
            <w:pPr>
              <w:widowControl/>
              <w:spacing w:line="36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企业信誉</w:t>
            </w:r>
          </w:p>
        </w:tc>
        <w:tc>
          <w:tcPr>
            <w:tcW w:w="6288" w:type="dxa"/>
            <w:noWrap w:val="0"/>
            <w:vAlign w:val="top"/>
          </w:tcPr>
          <w:p w14:paraId="5BB95A3C">
            <w:pPr>
              <w:pStyle w:val="15"/>
              <w:spacing w:line="360" w:lineRule="auto"/>
              <w:rPr>
                <w:rFonts w:hint="default" w:ascii="宋体" w:hAnsi="宋体" w:eastAsia="宋体" w:cs="宋体"/>
                <w:b w:val="0"/>
                <w:bCs/>
                <w:color w:val="auto"/>
                <w:kern w:val="2"/>
                <w:sz w:val="21"/>
                <w:szCs w:val="21"/>
                <w:highlight w:val="none"/>
                <w:lang w:val="en-US" w:eastAsia="zh-CN"/>
              </w:rPr>
            </w:pPr>
            <w:r>
              <w:rPr>
                <w:rFonts w:hint="eastAsia" w:hAnsi="宋体" w:eastAsia="宋体" w:cs="宋体"/>
                <w:b w:val="0"/>
                <w:bCs/>
                <w:color w:val="auto"/>
                <w:kern w:val="2"/>
                <w:sz w:val="21"/>
                <w:szCs w:val="21"/>
                <w:highlight w:val="none"/>
                <w:lang w:val="en-US" w:eastAsia="zh-CN"/>
              </w:rPr>
              <w:t>1.</w:t>
            </w:r>
            <w:r>
              <w:rPr>
                <w:rFonts w:hint="default" w:ascii="宋体" w:hAnsi="宋体" w:eastAsia="宋体" w:cs="宋体"/>
                <w:b w:val="0"/>
                <w:bCs/>
                <w:color w:val="auto"/>
                <w:kern w:val="2"/>
                <w:sz w:val="21"/>
                <w:szCs w:val="21"/>
                <w:highlight w:val="none"/>
                <w:lang w:val="en-US" w:eastAsia="zh-CN"/>
              </w:rPr>
              <w:t>供应商通过ISO9001质量管理体系认证的，提供相关证明复印件及官网查询证明截图并加盖</w:t>
            </w:r>
            <w:r>
              <w:rPr>
                <w:rFonts w:hint="eastAsia" w:hAnsi="宋体" w:eastAsia="宋体" w:cs="宋体"/>
                <w:b w:val="0"/>
                <w:bCs/>
                <w:color w:val="auto"/>
                <w:kern w:val="2"/>
                <w:sz w:val="21"/>
                <w:szCs w:val="21"/>
                <w:highlight w:val="none"/>
                <w:lang w:val="en-US" w:eastAsia="zh-CN"/>
              </w:rPr>
              <w:t>供应商</w:t>
            </w:r>
            <w:r>
              <w:rPr>
                <w:rFonts w:hint="default" w:ascii="宋体" w:hAnsi="宋体" w:eastAsia="宋体" w:cs="宋体"/>
                <w:b w:val="0"/>
                <w:bCs/>
                <w:color w:val="auto"/>
                <w:kern w:val="2"/>
                <w:sz w:val="21"/>
                <w:szCs w:val="21"/>
                <w:highlight w:val="none"/>
                <w:lang w:val="en-US" w:eastAsia="zh-CN"/>
              </w:rPr>
              <w:t>公章，得3分；</w:t>
            </w:r>
          </w:p>
          <w:p w14:paraId="76541C03">
            <w:pPr>
              <w:pStyle w:val="15"/>
              <w:spacing w:line="360" w:lineRule="auto"/>
              <w:rPr>
                <w:rFonts w:hint="default" w:ascii="宋体" w:hAnsi="宋体" w:eastAsia="宋体" w:cs="宋体"/>
                <w:b w:val="0"/>
                <w:bCs/>
                <w:color w:val="auto"/>
                <w:kern w:val="2"/>
                <w:sz w:val="21"/>
                <w:szCs w:val="21"/>
                <w:highlight w:val="none"/>
                <w:lang w:val="en-US" w:eastAsia="zh-CN"/>
              </w:rPr>
            </w:pPr>
            <w:r>
              <w:rPr>
                <w:rFonts w:hint="eastAsia" w:hAnsi="宋体" w:eastAsia="宋体" w:cs="宋体"/>
                <w:b w:val="0"/>
                <w:bCs/>
                <w:color w:val="auto"/>
                <w:kern w:val="2"/>
                <w:sz w:val="21"/>
                <w:szCs w:val="21"/>
                <w:highlight w:val="none"/>
                <w:lang w:val="en-US" w:eastAsia="zh-CN"/>
              </w:rPr>
              <w:t>2.</w:t>
            </w:r>
            <w:r>
              <w:rPr>
                <w:rFonts w:hint="default" w:ascii="宋体" w:hAnsi="宋体" w:eastAsia="宋体" w:cs="宋体"/>
                <w:b w:val="0"/>
                <w:bCs/>
                <w:color w:val="auto"/>
                <w:kern w:val="2"/>
                <w:sz w:val="21"/>
                <w:szCs w:val="21"/>
                <w:highlight w:val="none"/>
                <w:lang w:val="en-US" w:eastAsia="zh-CN"/>
              </w:rPr>
              <w:t>供应商具有ISO27001信息安全体系认证的，提供相关证明复印件并加盖</w:t>
            </w:r>
            <w:r>
              <w:rPr>
                <w:rFonts w:hint="eastAsia" w:hAnsi="宋体" w:eastAsia="宋体" w:cs="宋体"/>
                <w:b w:val="0"/>
                <w:bCs/>
                <w:color w:val="auto"/>
                <w:kern w:val="2"/>
                <w:sz w:val="21"/>
                <w:szCs w:val="21"/>
                <w:highlight w:val="none"/>
                <w:lang w:val="en-US" w:eastAsia="zh-CN"/>
              </w:rPr>
              <w:t>供应商公章</w:t>
            </w:r>
            <w:r>
              <w:rPr>
                <w:rFonts w:hint="default" w:ascii="宋体" w:hAnsi="宋体" w:eastAsia="宋体" w:cs="宋体"/>
                <w:b w:val="0"/>
                <w:bCs/>
                <w:color w:val="auto"/>
                <w:kern w:val="2"/>
                <w:sz w:val="21"/>
                <w:szCs w:val="21"/>
                <w:highlight w:val="none"/>
                <w:lang w:val="en-US" w:eastAsia="zh-CN"/>
              </w:rPr>
              <w:t>，得4分；</w:t>
            </w:r>
          </w:p>
          <w:p w14:paraId="04C4A7B3">
            <w:pPr>
              <w:pStyle w:val="15"/>
              <w:spacing w:line="360" w:lineRule="auto"/>
              <w:rPr>
                <w:rFonts w:hint="default" w:ascii="宋体" w:hAnsi="宋体" w:eastAsia="宋体" w:cs="宋体"/>
                <w:b w:val="0"/>
                <w:bCs/>
                <w:color w:val="auto"/>
                <w:kern w:val="2"/>
                <w:sz w:val="21"/>
                <w:szCs w:val="21"/>
                <w:highlight w:val="none"/>
                <w:lang w:val="en-US" w:eastAsia="zh-CN"/>
              </w:rPr>
            </w:pPr>
            <w:r>
              <w:rPr>
                <w:rFonts w:hint="eastAsia" w:hAnsi="宋体" w:eastAsia="宋体" w:cs="宋体"/>
                <w:b w:val="0"/>
                <w:bCs/>
                <w:color w:val="auto"/>
                <w:kern w:val="2"/>
                <w:sz w:val="21"/>
                <w:szCs w:val="21"/>
                <w:highlight w:val="none"/>
                <w:lang w:val="en-US" w:eastAsia="zh-CN"/>
              </w:rPr>
              <w:t>3.</w:t>
            </w:r>
            <w:r>
              <w:rPr>
                <w:rFonts w:hint="default" w:ascii="宋体" w:hAnsi="宋体" w:eastAsia="宋体" w:cs="宋体"/>
                <w:b w:val="0"/>
                <w:bCs/>
                <w:color w:val="auto"/>
                <w:kern w:val="2"/>
                <w:sz w:val="21"/>
                <w:szCs w:val="21"/>
                <w:highlight w:val="none"/>
                <w:lang w:val="en-US" w:eastAsia="zh-CN"/>
              </w:rPr>
              <w:t>供应商通过ISO20000IT服务管理体系认证的，提供相关证明复印件及官网查询证明截图并加盖供应商公章，得3分；</w:t>
            </w:r>
          </w:p>
          <w:p w14:paraId="0853D1C3">
            <w:pPr>
              <w:pStyle w:val="15"/>
              <w:spacing w:line="360" w:lineRule="auto"/>
              <w:rPr>
                <w:rFonts w:hint="default" w:ascii="宋体" w:hAnsi="宋体" w:eastAsia="宋体" w:cs="宋体"/>
                <w:b w:val="0"/>
                <w:bCs/>
                <w:color w:val="auto"/>
                <w:kern w:val="2"/>
                <w:sz w:val="21"/>
                <w:szCs w:val="21"/>
                <w:highlight w:val="none"/>
                <w:lang w:val="en-US" w:eastAsia="zh-CN"/>
              </w:rPr>
            </w:pPr>
            <w:r>
              <w:rPr>
                <w:rFonts w:hint="eastAsia" w:hAnsi="宋体" w:eastAsia="宋体" w:cs="宋体"/>
                <w:b w:val="0"/>
                <w:bCs/>
                <w:color w:val="auto"/>
                <w:kern w:val="2"/>
                <w:sz w:val="21"/>
                <w:szCs w:val="21"/>
                <w:highlight w:val="none"/>
                <w:lang w:val="en-US" w:eastAsia="zh-CN"/>
              </w:rPr>
              <w:t>4.</w:t>
            </w:r>
            <w:r>
              <w:rPr>
                <w:rFonts w:hint="default" w:ascii="宋体" w:hAnsi="宋体" w:eastAsia="宋体" w:cs="宋体"/>
                <w:b w:val="0"/>
                <w:bCs/>
                <w:color w:val="auto"/>
                <w:kern w:val="2"/>
                <w:sz w:val="21"/>
                <w:szCs w:val="21"/>
                <w:highlight w:val="none"/>
                <w:lang w:val="en-US" w:eastAsia="zh-CN"/>
              </w:rPr>
              <w:t>供应商具有中国网络安全审查技术与认证中心颁发的信息安全服务资质认证证书-信息安全风险评估服务资质三级或以上级别证书的，提供相关证明复印件截图并加盖供应商公章，得4分；</w:t>
            </w:r>
          </w:p>
          <w:p w14:paraId="4BAE382F">
            <w:pPr>
              <w:pStyle w:val="15"/>
              <w:spacing w:line="360" w:lineRule="auto"/>
              <w:rPr>
                <w:rFonts w:hint="default" w:ascii="宋体" w:hAnsi="宋体" w:eastAsia="宋体" w:cs="宋体"/>
                <w:b w:val="0"/>
                <w:bCs/>
                <w:color w:val="auto"/>
                <w:kern w:val="2"/>
                <w:sz w:val="21"/>
                <w:szCs w:val="21"/>
                <w:highlight w:val="none"/>
                <w:lang w:val="en-US" w:eastAsia="zh-CN"/>
              </w:rPr>
            </w:pPr>
            <w:r>
              <w:rPr>
                <w:rFonts w:hint="eastAsia" w:hAnsi="宋体" w:eastAsia="宋体" w:cs="宋体"/>
                <w:b w:val="0"/>
                <w:bCs/>
                <w:color w:val="auto"/>
                <w:kern w:val="2"/>
                <w:sz w:val="21"/>
                <w:szCs w:val="21"/>
                <w:highlight w:val="none"/>
                <w:lang w:val="en-US" w:eastAsia="zh-CN"/>
              </w:rPr>
              <w:t>5.</w:t>
            </w:r>
            <w:r>
              <w:rPr>
                <w:rFonts w:hint="default" w:ascii="宋体" w:hAnsi="宋体" w:eastAsia="宋体" w:cs="宋体"/>
                <w:b w:val="0"/>
                <w:bCs/>
                <w:color w:val="auto"/>
                <w:kern w:val="2"/>
                <w:sz w:val="21"/>
                <w:szCs w:val="21"/>
                <w:highlight w:val="none"/>
                <w:lang w:val="en-US" w:eastAsia="zh-CN"/>
              </w:rPr>
              <w:t>供应商在2021年至2024年之间曾获得省级及以上政府有关部门组织的网络安全攻防演练攻击队前3名成绩,并具备丰富的安全服务经验,提供证明材料(含成绩证明及安全服务证明)。每一个得1分，满分4分。</w:t>
            </w:r>
          </w:p>
        </w:tc>
        <w:tc>
          <w:tcPr>
            <w:tcW w:w="851" w:type="dxa"/>
            <w:noWrap w:val="0"/>
            <w:vAlign w:val="center"/>
          </w:tcPr>
          <w:p w14:paraId="0528A96F">
            <w:pPr>
              <w:widowControl/>
              <w:spacing w:line="36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18</w:t>
            </w:r>
            <w:r>
              <w:rPr>
                <w:rFonts w:hint="eastAsia" w:ascii="宋体" w:hAnsi="宋体" w:eastAsia="宋体" w:cs="宋体"/>
                <w:b w:val="0"/>
                <w:bCs/>
                <w:color w:val="auto"/>
                <w:kern w:val="0"/>
                <w:sz w:val="21"/>
                <w:szCs w:val="21"/>
                <w:highlight w:val="none"/>
              </w:rPr>
              <w:t>分</w:t>
            </w:r>
          </w:p>
        </w:tc>
      </w:tr>
      <w:tr w14:paraId="0D6E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0FFB9ADA">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3.2</w:t>
            </w:r>
          </w:p>
        </w:tc>
        <w:tc>
          <w:tcPr>
            <w:tcW w:w="1418" w:type="dxa"/>
            <w:noWrap w:val="0"/>
            <w:vAlign w:val="center"/>
          </w:tcPr>
          <w:p w14:paraId="788C3958">
            <w:pPr>
              <w:widowControl/>
              <w:spacing w:line="360" w:lineRule="auto"/>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同类业绩</w:t>
            </w:r>
          </w:p>
        </w:tc>
        <w:tc>
          <w:tcPr>
            <w:tcW w:w="6288" w:type="dxa"/>
            <w:noWrap w:val="0"/>
            <w:vAlign w:val="top"/>
          </w:tcPr>
          <w:p w14:paraId="55E7B09B">
            <w:pPr>
              <w:pStyle w:val="15"/>
              <w:spacing w:line="360" w:lineRule="auto"/>
              <w:rPr>
                <w:rFonts w:hint="default" w:ascii="宋体" w:hAnsi="宋体" w:eastAsia="宋体" w:cs="宋体"/>
                <w:b w:val="0"/>
                <w:bCs/>
                <w:color w:val="auto"/>
                <w:kern w:val="2"/>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rPr>
              <w:t>供应商需具有真实的网络安全服务经验，自2021年1月1日以来信息安全服务或网络安全项目（不含等保实施类项目，具体为包括攻防演练、人工渗透测试、应急响应、重要时期保障服务、安全技术培训、安全运维、安全应急演练等纯安全服务项目）业绩证明(以项目合同复印件为准，要求加盖公章，如不提供资料或不按要求提供的不予加分)每提供一项得1分，满分7分。</w:t>
            </w:r>
          </w:p>
        </w:tc>
        <w:tc>
          <w:tcPr>
            <w:tcW w:w="851" w:type="dxa"/>
            <w:noWrap w:val="0"/>
            <w:vAlign w:val="center"/>
          </w:tcPr>
          <w:p w14:paraId="71F6B8E0">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7分</w:t>
            </w:r>
          </w:p>
        </w:tc>
      </w:tr>
      <w:tr w14:paraId="5501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noWrap w:val="0"/>
            <w:vAlign w:val="top"/>
          </w:tcPr>
          <w:p w14:paraId="4BBD5EC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总得分＝1＋2＋3</w:t>
            </w:r>
          </w:p>
        </w:tc>
      </w:tr>
    </w:tbl>
    <w:p w14:paraId="29DF5919">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6877F32C">
      <w:pPr>
        <w:rPr>
          <w:rFonts w:ascii="宋体" w:hAnsi="宋体"/>
          <w:color w:val="auto"/>
          <w:highlight w:val="none"/>
        </w:rPr>
      </w:pPr>
    </w:p>
    <w:p w14:paraId="1A34231E">
      <w:pPr>
        <w:pStyle w:val="3"/>
        <w:jc w:val="center"/>
        <w:rPr>
          <w:rFonts w:hint="eastAsia" w:ascii="宋体" w:hAnsi="宋体"/>
          <w:color w:val="auto"/>
          <w:highlight w:val="none"/>
        </w:rPr>
      </w:pPr>
      <w:r>
        <w:rPr>
          <w:rFonts w:ascii="宋体" w:hAnsi="宋体"/>
          <w:color w:val="auto"/>
          <w:highlight w:val="none"/>
        </w:rPr>
        <w:br w:type="page"/>
      </w:r>
      <w:bookmarkStart w:id="63" w:name="_Toc12271"/>
      <w:r>
        <w:rPr>
          <w:rFonts w:hint="eastAsia" w:ascii="宋体" w:hAnsi="宋体"/>
          <w:color w:val="auto"/>
          <w:highlight w:val="none"/>
        </w:rPr>
        <w:t>第五章  响应文件格式</w:t>
      </w:r>
      <w:bookmarkEnd w:id="63"/>
    </w:p>
    <w:p w14:paraId="5A4D4D3B">
      <w:pPr>
        <w:spacing w:line="240" w:lineRule="atLeast"/>
        <w:rPr>
          <w:rFonts w:hint="eastAsia" w:ascii="宋体" w:hAnsi="宋体"/>
          <w:b/>
          <w:color w:val="auto"/>
          <w:sz w:val="32"/>
          <w:szCs w:val="32"/>
          <w:highlight w:val="none"/>
        </w:rPr>
      </w:pPr>
    </w:p>
    <w:p w14:paraId="2B649D2C">
      <w:pPr>
        <w:rPr>
          <w:rFonts w:hint="eastAsia" w:ascii="宋体" w:hAnsi="宋体"/>
          <w:color w:val="auto"/>
          <w:highlight w:val="none"/>
        </w:rPr>
      </w:pPr>
    </w:p>
    <w:p w14:paraId="6B7A2AE2">
      <w:pPr>
        <w:spacing w:line="240" w:lineRule="atLeast"/>
        <w:rPr>
          <w:rFonts w:hint="eastAsia" w:ascii="宋体" w:hAnsi="宋体"/>
          <w:b/>
          <w:bCs/>
          <w:color w:val="auto"/>
          <w:sz w:val="32"/>
          <w:szCs w:val="32"/>
          <w:highlight w:val="none"/>
        </w:rPr>
      </w:pPr>
      <w:bookmarkStart w:id="64" w:name="_Toc44229898"/>
      <w:r>
        <w:rPr>
          <w:rFonts w:hint="eastAsia" w:ascii="宋体" w:hAnsi="宋体"/>
          <w:b/>
          <w:bCs/>
          <w:color w:val="auto"/>
          <w:sz w:val="32"/>
          <w:szCs w:val="32"/>
          <w:highlight w:val="none"/>
        </w:rPr>
        <w:t>（</w:t>
      </w:r>
      <w:bookmarkStart w:id="65" w:name="_Toc35611515"/>
      <w:bookmarkStart w:id="66" w:name="_Toc35611437"/>
      <w:r>
        <w:rPr>
          <w:rFonts w:hint="eastAsia" w:ascii="宋体" w:hAnsi="宋体"/>
          <w:b/>
          <w:bCs/>
          <w:color w:val="auto"/>
          <w:sz w:val="32"/>
          <w:szCs w:val="32"/>
          <w:highlight w:val="none"/>
        </w:rPr>
        <w:t>响应文件外层包装封面格式</w:t>
      </w:r>
      <w:bookmarkEnd w:id="65"/>
      <w:bookmarkEnd w:id="66"/>
      <w:r>
        <w:rPr>
          <w:rFonts w:hint="eastAsia" w:ascii="宋体" w:hAnsi="宋体"/>
          <w:b/>
          <w:bCs/>
          <w:color w:val="auto"/>
          <w:sz w:val="32"/>
          <w:szCs w:val="32"/>
          <w:highlight w:val="none"/>
        </w:rPr>
        <w:t>）</w:t>
      </w:r>
      <w:bookmarkEnd w:id="64"/>
    </w:p>
    <w:p w14:paraId="093C3AC4">
      <w:pPr>
        <w:snapToGrid w:val="0"/>
        <w:spacing w:before="156" w:beforeLines="50" w:after="50"/>
        <w:rPr>
          <w:rFonts w:hint="eastAsia" w:ascii="宋体" w:hAnsi="宋体"/>
          <w:color w:val="auto"/>
          <w:sz w:val="24"/>
          <w:szCs w:val="20"/>
          <w:highlight w:val="none"/>
        </w:rPr>
      </w:pPr>
    </w:p>
    <w:p w14:paraId="6EAA8568">
      <w:pPr>
        <w:snapToGrid w:val="0"/>
        <w:spacing w:before="156" w:beforeLines="50" w:after="50"/>
        <w:jc w:val="center"/>
        <w:rPr>
          <w:rFonts w:hint="eastAsia" w:ascii="宋体" w:hAnsi="宋体"/>
          <w:bCs/>
          <w:color w:val="auto"/>
          <w:sz w:val="24"/>
          <w:szCs w:val="20"/>
          <w:highlight w:val="none"/>
        </w:rPr>
      </w:pPr>
    </w:p>
    <w:p w14:paraId="19F9F151">
      <w:pPr>
        <w:snapToGrid w:val="0"/>
        <w:spacing w:before="156" w:beforeLines="50" w:after="5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响  应  文  件</w:t>
      </w:r>
    </w:p>
    <w:p w14:paraId="30C6A072">
      <w:pPr>
        <w:snapToGrid w:val="0"/>
        <w:spacing w:before="156" w:beforeLines="50" w:after="50"/>
        <w:rPr>
          <w:rFonts w:hint="eastAsia" w:ascii="宋体" w:hAnsi="宋体"/>
          <w:bCs/>
          <w:color w:val="auto"/>
          <w:sz w:val="24"/>
          <w:szCs w:val="20"/>
          <w:highlight w:val="none"/>
        </w:rPr>
      </w:pPr>
    </w:p>
    <w:p w14:paraId="22FC7771">
      <w:pPr>
        <w:snapToGrid w:val="0"/>
        <w:spacing w:before="156" w:beforeLines="50" w:after="50"/>
        <w:rPr>
          <w:rFonts w:hint="eastAsia" w:ascii="宋体" w:hAnsi="宋体"/>
          <w:bCs/>
          <w:color w:val="auto"/>
          <w:sz w:val="24"/>
          <w:szCs w:val="20"/>
          <w:highlight w:val="none"/>
        </w:rPr>
      </w:pPr>
    </w:p>
    <w:p w14:paraId="6D6C194B">
      <w:pPr>
        <w:snapToGrid w:val="0"/>
        <w:spacing w:before="156" w:beforeLines="50" w:after="50"/>
        <w:rPr>
          <w:rFonts w:hint="eastAsia" w:ascii="宋体" w:hAnsi="宋体" w:cs="仿宋_GB2312"/>
          <w:bCs/>
          <w:color w:val="auto"/>
          <w:sz w:val="32"/>
          <w:szCs w:val="32"/>
          <w:highlight w:val="none"/>
        </w:rPr>
      </w:pPr>
    </w:p>
    <w:p w14:paraId="29FA2FC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3193F25">
      <w:pPr>
        <w:snapToGrid w:val="0"/>
        <w:spacing w:before="156" w:beforeLines="50" w:after="50"/>
        <w:ind w:firstLine="480" w:firstLineChars="150"/>
        <w:rPr>
          <w:rFonts w:hint="eastAsia" w:ascii="宋体" w:hAnsi="宋体" w:cs="仿宋_GB2312"/>
          <w:bCs/>
          <w:color w:val="auto"/>
          <w:sz w:val="32"/>
          <w:szCs w:val="32"/>
          <w:highlight w:val="none"/>
        </w:rPr>
      </w:pPr>
    </w:p>
    <w:p w14:paraId="3F9CDB6A">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7572A58">
      <w:pPr>
        <w:snapToGrid w:val="0"/>
        <w:spacing w:before="156" w:beforeLines="50" w:after="50"/>
        <w:ind w:firstLine="480" w:firstLineChars="150"/>
        <w:rPr>
          <w:rFonts w:hint="eastAsia" w:ascii="宋体" w:hAnsi="宋体" w:cs="仿宋_GB2312"/>
          <w:bCs/>
          <w:color w:val="auto"/>
          <w:sz w:val="32"/>
          <w:szCs w:val="32"/>
          <w:highlight w:val="none"/>
        </w:rPr>
      </w:pPr>
    </w:p>
    <w:p w14:paraId="0E0116D0">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856D974">
      <w:pPr>
        <w:snapToGrid w:val="0"/>
        <w:spacing w:before="156" w:beforeLines="50" w:after="50"/>
        <w:rPr>
          <w:rFonts w:hint="eastAsia" w:ascii="宋体" w:hAnsi="宋体" w:cs="仿宋_GB2312"/>
          <w:bCs/>
          <w:color w:val="auto"/>
          <w:sz w:val="32"/>
          <w:szCs w:val="32"/>
          <w:highlight w:val="none"/>
        </w:rPr>
      </w:pPr>
    </w:p>
    <w:p w14:paraId="443B0500">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A919546">
      <w:pPr>
        <w:snapToGrid w:val="0"/>
        <w:spacing w:before="156" w:beforeLines="50" w:after="50"/>
        <w:rPr>
          <w:rFonts w:hint="eastAsia" w:ascii="宋体" w:hAnsi="宋体" w:cs="仿宋_GB2312"/>
          <w:bCs/>
          <w:color w:val="auto"/>
          <w:sz w:val="32"/>
          <w:szCs w:val="32"/>
          <w:highlight w:val="none"/>
        </w:rPr>
      </w:pPr>
    </w:p>
    <w:p w14:paraId="6BDC6742">
      <w:pPr>
        <w:snapToGrid w:val="0"/>
        <w:spacing w:before="156"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首次响应文件提交截止时间前不得启封</w:t>
      </w:r>
    </w:p>
    <w:p w14:paraId="7EACFB16">
      <w:pPr>
        <w:snapToGrid w:val="0"/>
        <w:spacing w:before="156" w:beforeLines="50" w:after="50"/>
        <w:ind w:firstLine="5440" w:firstLineChars="1700"/>
        <w:jc w:val="center"/>
        <w:rPr>
          <w:rFonts w:hint="eastAsia" w:ascii="宋体" w:hAnsi="宋体" w:cs="仿宋_GB2312"/>
          <w:bCs/>
          <w:color w:val="auto"/>
          <w:sz w:val="32"/>
          <w:szCs w:val="32"/>
          <w:highlight w:val="none"/>
        </w:rPr>
      </w:pPr>
    </w:p>
    <w:p w14:paraId="39EF7B9C">
      <w:pPr>
        <w:snapToGrid w:val="0"/>
        <w:spacing w:before="156"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7D135087">
      <w:pPr>
        <w:spacing w:line="240" w:lineRule="atLeast"/>
        <w:rPr>
          <w:rFonts w:hint="eastAsia" w:ascii="宋体" w:hAnsi="宋体"/>
          <w:b/>
          <w:bCs/>
          <w:color w:val="auto"/>
          <w:sz w:val="32"/>
          <w:szCs w:val="32"/>
          <w:highlight w:val="none"/>
        </w:rPr>
      </w:pPr>
      <w:r>
        <w:rPr>
          <w:rFonts w:ascii="宋体" w:hAnsi="宋体"/>
          <w:bCs/>
          <w:color w:val="auto"/>
          <w:sz w:val="24"/>
          <w:highlight w:val="none"/>
        </w:rPr>
        <w:br w:type="page"/>
      </w:r>
      <w:bookmarkStart w:id="67" w:name="_Toc31728084"/>
      <w:bookmarkStart w:id="68" w:name="_Toc35611438"/>
      <w:bookmarkStart w:id="69" w:name="_Toc35611516"/>
      <w:bookmarkStart w:id="70" w:name="_Toc44229899"/>
      <w:bookmarkStart w:id="71" w:name="_Toc31723070"/>
      <w:r>
        <w:rPr>
          <w:rFonts w:hint="eastAsia" w:ascii="宋体" w:hAnsi="宋体"/>
          <w:b/>
          <w:bCs/>
          <w:color w:val="auto"/>
          <w:sz w:val="32"/>
          <w:szCs w:val="32"/>
          <w:highlight w:val="none"/>
        </w:rPr>
        <w:t>一、资格证明文件格式</w:t>
      </w:r>
      <w:bookmarkEnd w:id="67"/>
      <w:bookmarkEnd w:id="68"/>
      <w:bookmarkEnd w:id="69"/>
      <w:bookmarkEnd w:id="70"/>
      <w:bookmarkEnd w:id="71"/>
    </w:p>
    <w:p w14:paraId="0E186BDB">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2A9CC3E9">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正本/副本</w:t>
      </w:r>
    </w:p>
    <w:p w14:paraId="02977506">
      <w:pPr>
        <w:snapToGrid w:val="0"/>
        <w:spacing w:before="156" w:beforeLines="50" w:after="50"/>
        <w:rPr>
          <w:rFonts w:hint="eastAsia" w:ascii="宋体" w:hAnsi="宋体"/>
          <w:color w:val="auto"/>
          <w:sz w:val="24"/>
          <w:szCs w:val="20"/>
          <w:highlight w:val="none"/>
        </w:rPr>
      </w:pPr>
    </w:p>
    <w:p w14:paraId="09196E7B">
      <w:pPr>
        <w:snapToGrid w:val="0"/>
        <w:spacing w:before="156" w:beforeLines="50" w:after="50"/>
        <w:rPr>
          <w:rFonts w:hint="eastAsia" w:ascii="宋体" w:hAnsi="宋体"/>
          <w:color w:val="auto"/>
          <w:sz w:val="24"/>
          <w:szCs w:val="20"/>
          <w:highlight w:val="none"/>
        </w:rPr>
      </w:pPr>
    </w:p>
    <w:p w14:paraId="29CDF328">
      <w:pPr>
        <w:snapToGrid w:val="0"/>
        <w:spacing w:before="156" w:beforeLines="50" w:after="5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资  格  证  明  文  件</w:t>
      </w:r>
    </w:p>
    <w:p w14:paraId="1B37B23E">
      <w:pPr>
        <w:snapToGrid w:val="0"/>
        <w:spacing w:before="156" w:beforeLines="50" w:after="50"/>
        <w:rPr>
          <w:rFonts w:hint="eastAsia" w:ascii="宋体" w:hAnsi="宋体"/>
          <w:bCs/>
          <w:color w:val="auto"/>
          <w:sz w:val="24"/>
          <w:szCs w:val="20"/>
          <w:highlight w:val="none"/>
        </w:rPr>
      </w:pPr>
    </w:p>
    <w:p w14:paraId="0AE5E940">
      <w:pPr>
        <w:snapToGrid w:val="0"/>
        <w:spacing w:before="156" w:beforeLines="50" w:after="50"/>
        <w:rPr>
          <w:rFonts w:hint="eastAsia" w:ascii="宋体" w:hAnsi="宋体"/>
          <w:bCs/>
          <w:color w:val="auto"/>
          <w:sz w:val="24"/>
          <w:szCs w:val="20"/>
          <w:highlight w:val="none"/>
        </w:rPr>
      </w:pPr>
    </w:p>
    <w:p w14:paraId="2AE027DE">
      <w:pPr>
        <w:snapToGrid w:val="0"/>
        <w:spacing w:before="156" w:beforeLines="50" w:after="50"/>
        <w:rPr>
          <w:rFonts w:hint="eastAsia" w:ascii="宋体" w:hAnsi="宋体"/>
          <w:bCs/>
          <w:color w:val="auto"/>
          <w:sz w:val="24"/>
          <w:szCs w:val="20"/>
          <w:highlight w:val="none"/>
        </w:rPr>
      </w:pPr>
    </w:p>
    <w:p w14:paraId="425C964F">
      <w:pPr>
        <w:snapToGrid w:val="0"/>
        <w:spacing w:before="156" w:beforeLines="50" w:after="50"/>
        <w:rPr>
          <w:rFonts w:hint="eastAsia" w:ascii="宋体" w:hAnsi="宋体"/>
          <w:bCs/>
          <w:color w:val="auto"/>
          <w:sz w:val="24"/>
          <w:szCs w:val="20"/>
          <w:highlight w:val="none"/>
        </w:rPr>
      </w:pPr>
    </w:p>
    <w:p w14:paraId="79F02089">
      <w:pPr>
        <w:snapToGrid w:val="0"/>
        <w:spacing w:before="156" w:beforeLines="50" w:after="50"/>
        <w:rPr>
          <w:rFonts w:hint="eastAsia" w:ascii="宋体" w:hAnsi="宋体"/>
          <w:bCs/>
          <w:color w:val="auto"/>
          <w:sz w:val="24"/>
          <w:szCs w:val="20"/>
          <w:highlight w:val="none"/>
        </w:rPr>
      </w:pPr>
    </w:p>
    <w:p w14:paraId="6EC34AD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956F46">
      <w:pPr>
        <w:snapToGrid w:val="0"/>
        <w:spacing w:before="156" w:beforeLines="50" w:after="50"/>
        <w:ind w:firstLine="720" w:firstLineChars="225"/>
        <w:rPr>
          <w:rFonts w:hint="eastAsia" w:ascii="宋体" w:hAnsi="宋体" w:cs="仿宋_GB2312"/>
          <w:bCs/>
          <w:color w:val="auto"/>
          <w:sz w:val="32"/>
          <w:szCs w:val="32"/>
          <w:highlight w:val="none"/>
        </w:rPr>
      </w:pPr>
    </w:p>
    <w:p w14:paraId="6D4831EC">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084A6D8">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560B8E8">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6E3F923">
      <w:pPr>
        <w:snapToGrid w:val="0"/>
        <w:spacing w:before="156" w:beforeLines="50" w:after="50"/>
        <w:ind w:firstLine="720" w:firstLineChars="225"/>
        <w:rPr>
          <w:rFonts w:hint="eastAsia" w:ascii="宋体" w:hAnsi="宋体" w:cs="仿宋_GB2312"/>
          <w:bCs/>
          <w:color w:val="auto"/>
          <w:sz w:val="32"/>
          <w:szCs w:val="32"/>
          <w:highlight w:val="none"/>
        </w:rPr>
      </w:pPr>
    </w:p>
    <w:p w14:paraId="32020E59">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12DF400">
      <w:pPr>
        <w:pStyle w:val="7"/>
        <w:snapToGrid w:val="0"/>
        <w:spacing w:before="50" w:after="50"/>
        <w:ind w:firstLine="720" w:firstLineChars="225"/>
        <w:rPr>
          <w:rFonts w:hint="eastAsia" w:ascii="宋体" w:hAnsi="宋体" w:cs="仿宋_GB2312"/>
          <w:bCs/>
          <w:color w:val="auto"/>
          <w:sz w:val="32"/>
          <w:szCs w:val="32"/>
          <w:highlight w:val="none"/>
        </w:rPr>
      </w:pPr>
    </w:p>
    <w:p w14:paraId="6BFC8DCA">
      <w:pPr>
        <w:pStyle w:val="7"/>
        <w:snapToGrid w:val="0"/>
        <w:spacing w:before="50" w:after="50"/>
        <w:ind w:firstLine="1280" w:firstLineChars="400"/>
        <w:rPr>
          <w:rFonts w:hint="eastAsia" w:ascii="宋体" w:hAnsi="宋体" w:cs="仿宋_GB2312"/>
          <w:bCs/>
          <w:color w:val="auto"/>
          <w:sz w:val="32"/>
          <w:szCs w:val="32"/>
          <w:highlight w:val="none"/>
        </w:rPr>
      </w:pPr>
    </w:p>
    <w:p w14:paraId="5D82EE86">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B2B000C">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9E4F5E8">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AB42FE7">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C322546">
      <w:pPr>
        <w:spacing w:line="300" w:lineRule="auto"/>
        <w:rPr>
          <w:rFonts w:hint="eastAsia" w:ascii="宋体" w:hAnsi="宋体"/>
          <w:color w:val="auto"/>
          <w:szCs w:val="21"/>
          <w:highlight w:val="none"/>
        </w:rPr>
      </w:pPr>
    </w:p>
    <w:p w14:paraId="18D70735">
      <w:pPr>
        <w:spacing w:line="300" w:lineRule="auto"/>
        <w:rPr>
          <w:rFonts w:hint="eastAsia" w:ascii="宋体" w:hAnsi="宋体"/>
          <w:color w:val="auto"/>
          <w:szCs w:val="21"/>
          <w:highlight w:val="none"/>
        </w:rPr>
      </w:pPr>
    </w:p>
    <w:p w14:paraId="62C20FEE">
      <w:pPr>
        <w:spacing w:line="300" w:lineRule="auto"/>
        <w:rPr>
          <w:rFonts w:hint="eastAsia" w:ascii="宋体" w:hAnsi="宋体"/>
          <w:color w:val="auto"/>
          <w:szCs w:val="21"/>
          <w:highlight w:val="none"/>
        </w:rPr>
      </w:pPr>
    </w:p>
    <w:p w14:paraId="6BE1DA9D">
      <w:pPr>
        <w:spacing w:line="300" w:lineRule="auto"/>
        <w:rPr>
          <w:rFonts w:hint="eastAsia" w:ascii="宋体" w:hAnsi="宋体"/>
          <w:color w:val="auto"/>
          <w:szCs w:val="21"/>
          <w:highlight w:val="none"/>
        </w:rPr>
      </w:pPr>
    </w:p>
    <w:p w14:paraId="47BC5B9E">
      <w:pPr>
        <w:spacing w:line="300" w:lineRule="auto"/>
        <w:rPr>
          <w:rFonts w:hint="eastAsia" w:ascii="宋体" w:hAnsi="宋体"/>
          <w:color w:val="auto"/>
          <w:szCs w:val="21"/>
          <w:highlight w:val="none"/>
        </w:rPr>
      </w:pPr>
    </w:p>
    <w:p w14:paraId="2D919F1F">
      <w:pPr>
        <w:spacing w:line="300" w:lineRule="auto"/>
        <w:rPr>
          <w:rFonts w:hint="eastAsia" w:ascii="宋体" w:hAnsi="宋体"/>
          <w:color w:val="auto"/>
          <w:szCs w:val="21"/>
          <w:highlight w:val="none"/>
        </w:rPr>
      </w:pPr>
    </w:p>
    <w:p w14:paraId="3C2C532A">
      <w:pPr>
        <w:spacing w:line="300" w:lineRule="auto"/>
        <w:rPr>
          <w:rFonts w:hint="eastAsia" w:ascii="宋体" w:hAnsi="宋体"/>
          <w:color w:val="auto"/>
          <w:szCs w:val="21"/>
          <w:highlight w:val="none"/>
        </w:rPr>
      </w:pPr>
    </w:p>
    <w:p w14:paraId="588A5295">
      <w:pPr>
        <w:spacing w:line="300" w:lineRule="auto"/>
        <w:rPr>
          <w:rFonts w:hint="eastAsia" w:ascii="宋体" w:hAnsi="宋体"/>
          <w:color w:val="auto"/>
          <w:szCs w:val="21"/>
          <w:highlight w:val="none"/>
        </w:rPr>
      </w:pPr>
    </w:p>
    <w:p w14:paraId="11E6F70C">
      <w:pPr>
        <w:spacing w:line="300" w:lineRule="auto"/>
        <w:rPr>
          <w:rFonts w:hint="eastAsia" w:ascii="宋体" w:hAnsi="宋体"/>
          <w:color w:val="auto"/>
          <w:szCs w:val="21"/>
          <w:highlight w:val="none"/>
        </w:rPr>
      </w:pPr>
    </w:p>
    <w:p w14:paraId="72533227">
      <w:pPr>
        <w:spacing w:line="300" w:lineRule="auto"/>
        <w:rPr>
          <w:rFonts w:hint="eastAsia" w:ascii="宋体" w:hAnsi="宋体"/>
          <w:color w:val="auto"/>
          <w:szCs w:val="21"/>
          <w:highlight w:val="none"/>
        </w:rPr>
      </w:pPr>
    </w:p>
    <w:p w14:paraId="748C11D2">
      <w:pPr>
        <w:spacing w:line="300" w:lineRule="auto"/>
        <w:rPr>
          <w:rFonts w:hint="eastAsia" w:ascii="宋体" w:hAnsi="宋体"/>
          <w:color w:val="auto"/>
          <w:szCs w:val="21"/>
          <w:highlight w:val="none"/>
        </w:rPr>
      </w:pPr>
    </w:p>
    <w:p w14:paraId="468CE6E7">
      <w:pPr>
        <w:spacing w:line="300" w:lineRule="auto"/>
        <w:rPr>
          <w:rFonts w:hint="eastAsia" w:ascii="宋体" w:hAnsi="宋体"/>
          <w:color w:val="auto"/>
          <w:szCs w:val="21"/>
          <w:highlight w:val="none"/>
        </w:rPr>
      </w:pPr>
    </w:p>
    <w:p w14:paraId="7E69593A">
      <w:pPr>
        <w:spacing w:line="300" w:lineRule="auto"/>
        <w:rPr>
          <w:rFonts w:hint="eastAsia" w:ascii="宋体" w:hAnsi="宋体"/>
          <w:color w:val="auto"/>
          <w:szCs w:val="21"/>
          <w:highlight w:val="none"/>
        </w:rPr>
      </w:pPr>
    </w:p>
    <w:p w14:paraId="7F029441">
      <w:pPr>
        <w:spacing w:line="300" w:lineRule="auto"/>
        <w:rPr>
          <w:rFonts w:hint="eastAsia" w:ascii="宋体" w:hAnsi="宋体"/>
          <w:color w:val="auto"/>
          <w:szCs w:val="21"/>
          <w:highlight w:val="none"/>
        </w:rPr>
      </w:pPr>
    </w:p>
    <w:p w14:paraId="486EBF92">
      <w:pPr>
        <w:spacing w:line="300" w:lineRule="auto"/>
        <w:rPr>
          <w:rFonts w:hint="eastAsia" w:ascii="宋体" w:hAnsi="宋体"/>
          <w:color w:val="auto"/>
          <w:szCs w:val="21"/>
          <w:highlight w:val="none"/>
        </w:rPr>
      </w:pPr>
    </w:p>
    <w:p w14:paraId="0AD06A9A">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2A632121">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7F710087">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034F9E9">
      <w:pPr>
        <w:snapToGrid w:val="0"/>
        <w:spacing w:before="156" w:beforeLines="50" w:after="50" w:line="360" w:lineRule="auto"/>
        <w:jc w:val="center"/>
        <w:rPr>
          <w:rFonts w:hint="eastAsia" w:ascii="宋体" w:hAnsi="宋体"/>
          <w:b/>
          <w:color w:val="auto"/>
          <w:sz w:val="24"/>
          <w:highlight w:val="none"/>
        </w:rPr>
      </w:pPr>
    </w:p>
    <w:p w14:paraId="641602CC">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3BD16DE">
      <w:pPr>
        <w:snapToGrid w:val="0"/>
        <w:spacing w:before="50" w:after="156" w:afterLines="50" w:line="360" w:lineRule="auto"/>
        <w:jc w:val="center"/>
        <w:rPr>
          <w:rFonts w:hint="eastAsia" w:ascii="宋体" w:hAnsi="宋体"/>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055"/>
        <w:gridCol w:w="870"/>
      </w:tblGrid>
      <w:tr w14:paraId="060E10E1">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F12C1F">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59434">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0336B">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ACCE6">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9ACDF">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8658A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B940F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4307EA">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3DD52A">
            <w:pPr>
              <w:widowControl/>
              <w:spacing w:line="360" w:lineRule="auto"/>
              <w:jc w:val="center"/>
              <w:rPr>
                <w:rFonts w:hint="eastAsia" w:ascii="宋体" w:hAnsi="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D6FE66">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986730">
            <w:pPr>
              <w:widowControl/>
              <w:spacing w:line="360" w:lineRule="auto"/>
              <w:jc w:val="center"/>
              <w:rPr>
                <w:rFonts w:hint="eastAsia" w:ascii="宋体" w:hAnsi="宋体" w:cs="宋体"/>
                <w:color w:val="auto"/>
                <w:kern w:val="0"/>
                <w:sz w:val="24"/>
                <w:highlight w:val="none"/>
              </w:rPr>
            </w:pPr>
          </w:p>
        </w:tc>
      </w:tr>
      <w:tr w14:paraId="37AB3B0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EC186F">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6B82A8">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CE7CF8">
            <w:pPr>
              <w:widowControl/>
              <w:spacing w:line="360" w:lineRule="auto"/>
              <w:jc w:val="center"/>
              <w:rPr>
                <w:rFonts w:hint="eastAsia" w:ascii="宋体" w:hAnsi="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71F891">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223B3">
            <w:pPr>
              <w:widowControl/>
              <w:spacing w:line="360" w:lineRule="auto"/>
              <w:jc w:val="center"/>
              <w:rPr>
                <w:rFonts w:hint="eastAsia" w:ascii="宋体" w:hAnsi="宋体" w:cs="宋体"/>
                <w:color w:val="auto"/>
                <w:kern w:val="0"/>
                <w:sz w:val="24"/>
                <w:highlight w:val="none"/>
              </w:rPr>
            </w:pPr>
          </w:p>
        </w:tc>
      </w:tr>
      <w:tr w14:paraId="68FE56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21E7DD">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EA0A4B">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648D2">
            <w:pPr>
              <w:widowControl/>
              <w:spacing w:line="360" w:lineRule="auto"/>
              <w:jc w:val="center"/>
              <w:rPr>
                <w:rFonts w:hint="eastAsia" w:ascii="宋体" w:hAnsi="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3EBA2">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43BA0">
            <w:pPr>
              <w:widowControl/>
              <w:spacing w:line="360" w:lineRule="auto"/>
              <w:jc w:val="center"/>
              <w:rPr>
                <w:rFonts w:hint="eastAsia" w:ascii="宋体" w:hAnsi="宋体" w:cs="宋体"/>
                <w:color w:val="auto"/>
                <w:kern w:val="0"/>
                <w:sz w:val="24"/>
                <w:highlight w:val="none"/>
              </w:rPr>
            </w:pPr>
          </w:p>
        </w:tc>
      </w:tr>
      <w:tr w14:paraId="6F9C78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4EFCF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040D8C">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8C3BFE">
            <w:pPr>
              <w:widowControl/>
              <w:spacing w:line="360" w:lineRule="auto"/>
              <w:jc w:val="center"/>
              <w:rPr>
                <w:rFonts w:hint="eastAsia" w:ascii="宋体" w:hAnsi="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6A6CB6">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1042ED">
            <w:pPr>
              <w:widowControl/>
              <w:spacing w:line="360" w:lineRule="auto"/>
              <w:jc w:val="center"/>
              <w:rPr>
                <w:rFonts w:hint="eastAsia" w:ascii="宋体" w:hAnsi="宋体" w:cs="宋体"/>
                <w:color w:val="auto"/>
                <w:kern w:val="0"/>
                <w:sz w:val="24"/>
                <w:highlight w:val="none"/>
              </w:rPr>
            </w:pPr>
          </w:p>
        </w:tc>
      </w:tr>
    </w:tbl>
    <w:p w14:paraId="49C5D836">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5374F397">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EBB561">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B4844AE">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785BE1C1">
      <w:pPr>
        <w:snapToGrid w:val="0"/>
        <w:spacing w:line="360" w:lineRule="auto"/>
        <w:jc w:val="left"/>
        <w:rPr>
          <w:rFonts w:hint="eastAsia" w:ascii="宋体" w:hAnsi="宋体" w:cs="宋体"/>
          <w:color w:val="auto"/>
          <w:sz w:val="24"/>
          <w:highlight w:val="none"/>
        </w:rPr>
      </w:pPr>
    </w:p>
    <w:p w14:paraId="2B029951">
      <w:pPr>
        <w:snapToGrid w:val="0"/>
        <w:spacing w:line="360" w:lineRule="auto"/>
        <w:jc w:val="left"/>
        <w:rPr>
          <w:rFonts w:hint="eastAsia" w:ascii="宋体" w:hAnsi="宋体" w:cs="宋体"/>
          <w:color w:val="auto"/>
          <w:sz w:val="24"/>
          <w:highlight w:val="none"/>
        </w:rPr>
      </w:pPr>
    </w:p>
    <w:p w14:paraId="44C0F1D0">
      <w:pPr>
        <w:snapToGrid w:val="0"/>
        <w:spacing w:line="360" w:lineRule="auto"/>
        <w:jc w:val="left"/>
        <w:rPr>
          <w:rFonts w:hint="eastAsia" w:ascii="宋体" w:hAnsi="宋体" w:cs="宋体"/>
          <w:color w:val="auto"/>
          <w:sz w:val="24"/>
          <w:highlight w:val="none"/>
        </w:rPr>
      </w:pPr>
    </w:p>
    <w:p w14:paraId="72257BEF">
      <w:pPr>
        <w:snapToGrid w:val="0"/>
        <w:spacing w:before="156" w:beforeLines="50" w:line="360" w:lineRule="auto"/>
        <w:ind w:right="480"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2E2BDB5D">
      <w:pPr>
        <w:snapToGrid w:val="0"/>
        <w:spacing w:before="156" w:beforeLines="50" w:after="50" w:line="360" w:lineRule="auto"/>
        <w:ind w:right="480" w:firstLine="3000" w:firstLineChars="1250"/>
        <w:rPr>
          <w:rFonts w:hint="eastAsia" w:ascii="宋体" w:hAnsi="宋体" w:cs="宋体"/>
          <w:color w:val="auto"/>
          <w:sz w:val="24"/>
          <w:highlight w:val="none"/>
          <w:u w:val="singl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71A5E33C">
      <w:pPr>
        <w:snapToGrid w:val="0"/>
        <w:spacing w:before="156"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7E21AE3E">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2017DCC">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2B5A6B49">
      <w:pPr>
        <w:snapToGrid w:val="0"/>
        <w:spacing w:line="360" w:lineRule="auto"/>
        <w:jc w:val="center"/>
        <w:rPr>
          <w:rFonts w:hint="eastAsia" w:ascii="宋体" w:hAnsi="宋体"/>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B6CB17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B6F5A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2976A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E6CB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A069A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A8E349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7D2DC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0719">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4B21D0">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39313E">
            <w:pPr>
              <w:widowControl/>
              <w:spacing w:line="360" w:lineRule="auto"/>
              <w:jc w:val="center"/>
              <w:rPr>
                <w:rFonts w:ascii="宋体" w:hAnsi="宋体" w:cs="宋体"/>
                <w:color w:val="auto"/>
                <w:kern w:val="0"/>
                <w:sz w:val="24"/>
                <w:highlight w:val="none"/>
              </w:rPr>
            </w:pPr>
          </w:p>
        </w:tc>
      </w:tr>
      <w:tr w14:paraId="7264BC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C59D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37BD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5ACD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7999C">
            <w:pPr>
              <w:widowControl/>
              <w:spacing w:line="360" w:lineRule="auto"/>
              <w:jc w:val="center"/>
              <w:rPr>
                <w:rFonts w:ascii="宋体" w:hAnsi="宋体" w:cs="宋体"/>
                <w:color w:val="auto"/>
                <w:kern w:val="0"/>
                <w:sz w:val="24"/>
                <w:highlight w:val="none"/>
              </w:rPr>
            </w:pPr>
          </w:p>
        </w:tc>
      </w:tr>
      <w:tr w14:paraId="04FAFEA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E2D9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2CBD3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B83CC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161BB">
            <w:pPr>
              <w:widowControl/>
              <w:spacing w:line="360" w:lineRule="auto"/>
              <w:jc w:val="center"/>
              <w:rPr>
                <w:rFonts w:ascii="宋体" w:hAnsi="宋体" w:cs="宋体"/>
                <w:color w:val="auto"/>
                <w:kern w:val="0"/>
                <w:sz w:val="24"/>
                <w:highlight w:val="none"/>
              </w:rPr>
            </w:pPr>
          </w:p>
        </w:tc>
      </w:tr>
      <w:tr w14:paraId="76BE4F3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26225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24EC85">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4502D4">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EE22B7">
            <w:pPr>
              <w:widowControl/>
              <w:spacing w:line="360" w:lineRule="auto"/>
              <w:jc w:val="center"/>
              <w:rPr>
                <w:rFonts w:ascii="宋体" w:hAnsi="宋体" w:cs="宋体"/>
                <w:color w:val="auto"/>
                <w:kern w:val="0"/>
                <w:sz w:val="24"/>
                <w:highlight w:val="none"/>
              </w:rPr>
            </w:pPr>
          </w:p>
        </w:tc>
      </w:tr>
    </w:tbl>
    <w:p w14:paraId="5145970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59FCA0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9FB5A42">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8940E8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4ECC8105">
      <w:pPr>
        <w:snapToGrid w:val="0"/>
        <w:spacing w:line="360" w:lineRule="auto"/>
        <w:jc w:val="left"/>
        <w:rPr>
          <w:rFonts w:hint="eastAsia" w:ascii="宋体" w:hAnsi="宋体"/>
          <w:color w:val="auto"/>
          <w:sz w:val="24"/>
          <w:highlight w:val="none"/>
        </w:rPr>
      </w:pPr>
    </w:p>
    <w:p w14:paraId="60B4759E">
      <w:pPr>
        <w:snapToGrid w:val="0"/>
        <w:spacing w:line="360" w:lineRule="auto"/>
        <w:jc w:val="left"/>
        <w:rPr>
          <w:rFonts w:hint="eastAsia" w:ascii="宋体" w:hAnsi="宋体"/>
          <w:color w:val="auto"/>
          <w:sz w:val="24"/>
          <w:highlight w:val="none"/>
        </w:rPr>
      </w:pPr>
    </w:p>
    <w:p w14:paraId="67D1A03A">
      <w:pPr>
        <w:snapToGrid w:val="0"/>
        <w:spacing w:line="360" w:lineRule="auto"/>
        <w:jc w:val="left"/>
        <w:rPr>
          <w:rFonts w:hint="eastAsia" w:ascii="宋体" w:hAnsi="宋体"/>
          <w:color w:val="auto"/>
          <w:sz w:val="24"/>
          <w:highlight w:val="none"/>
        </w:rPr>
      </w:pPr>
    </w:p>
    <w:p w14:paraId="588A3A35">
      <w:pPr>
        <w:snapToGrid w:val="0"/>
        <w:spacing w:line="360" w:lineRule="auto"/>
        <w:jc w:val="left"/>
        <w:rPr>
          <w:rFonts w:hint="eastAsia" w:ascii="宋体" w:hAnsi="宋体"/>
          <w:color w:val="auto"/>
          <w:sz w:val="24"/>
          <w:highlight w:val="none"/>
        </w:rPr>
      </w:pPr>
    </w:p>
    <w:p w14:paraId="62AE0EDA">
      <w:pPr>
        <w:snapToGrid w:val="0"/>
        <w:spacing w:line="360" w:lineRule="auto"/>
        <w:jc w:val="left"/>
        <w:rPr>
          <w:rFonts w:hint="eastAsia" w:ascii="宋体" w:hAnsi="宋体"/>
          <w:color w:val="auto"/>
          <w:sz w:val="24"/>
          <w:highlight w:val="none"/>
        </w:rPr>
      </w:pPr>
    </w:p>
    <w:p w14:paraId="0FFDFD49">
      <w:pPr>
        <w:snapToGrid w:val="0"/>
        <w:spacing w:line="360" w:lineRule="auto"/>
        <w:jc w:val="left"/>
        <w:rPr>
          <w:rFonts w:hint="eastAsia" w:ascii="宋体" w:hAnsi="宋体"/>
          <w:color w:val="auto"/>
          <w:sz w:val="24"/>
          <w:highlight w:val="none"/>
        </w:rPr>
      </w:pPr>
    </w:p>
    <w:p w14:paraId="5A4BD37F">
      <w:pPr>
        <w:snapToGrid w:val="0"/>
        <w:spacing w:before="156" w:beforeLines="50" w:line="360" w:lineRule="auto"/>
        <w:ind w:right="480" w:firstLine="2160" w:firstLineChars="900"/>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7FBEDD9E">
      <w:pPr>
        <w:snapToGrid w:val="0"/>
        <w:spacing w:before="156" w:beforeLines="50" w:after="50" w:line="360" w:lineRule="auto"/>
        <w:ind w:right="480" w:firstLine="3360" w:firstLineChars="1400"/>
        <w:rPr>
          <w:rFonts w:hint="eastAsia" w:ascii="宋体" w:hAnsi="宋体"/>
          <w:color w:val="auto"/>
          <w:sz w:val="24"/>
          <w:highlight w:val="non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14:paraId="2A7053F0">
      <w:pPr>
        <w:snapToGrid w:val="0"/>
        <w:spacing w:before="156" w:beforeLines="50" w:after="50" w:line="360" w:lineRule="auto"/>
        <w:ind w:right="480" w:firstLine="240" w:firstLineChars="100"/>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7D7125E">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539CD872">
      <w:pPr>
        <w:spacing w:line="320" w:lineRule="exact"/>
        <w:jc w:val="center"/>
        <w:rPr>
          <w:rFonts w:hint="eastAsia" w:ascii="宋体" w:hAnsi="宋体"/>
          <w:color w:val="auto"/>
          <w:sz w:val="24"/>
          <w:szCs w:val="20"/>
          <w:highlight w:val="none"/>
        </w:rPr>
      </w:pPr>
    </w:p>
    <w:p w14:paraId="50AE2FA1">
      <w:pPr>
        <w:spacing w:before="156" w:beforeLines="50" w:after="50"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04FE39B6">
      <w:pPr>
        <w:spacing w:before="156" w:beforeLines="50" w:after="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620599">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7E94988">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99AB87C">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4D89A02">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17F2FC6">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42FFD2F">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F4A71CF">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7664F28">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4812490">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9B164AA">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12B83E2">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624A2F2">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46E86EB">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BE2FAED">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59AAC89">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7088E26">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0251FA4">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F70D4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594868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A1D9017">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E6F3AD4">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3A147E2">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AC47442">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A10E9B">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213277E5">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0FBDE1B4">
      <w:pPr>
        <w:spacing w:line="360" w:lineRule="auto"/>
        <w:ind w:firstLine="4320" w:firstLineChars="1800"/>
        <w:rPr>
          <w:rFonts w:hint="eastAsia" w:ascii="宋体" w:hAnsi="宋体"/>
          <w:color w:val="auto"/>
          <w:sz w:val="24"/>
          <w:highlight w:val="none"/>
        </w:rPr>
      </w:pPr>
      <w:r>
        <w:rPr>
          <w:rFonts w:hint="eastAsia" w:ascii="宋体" w:hAnsi="宋体"/>
          <w:color w:val="auto"/>
          <w:sz w:val="24"/>
          <w:highlight w:val="none"/>
        </w:rPr>
        <w:t>法定代表人（签字）：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5A899AA">
      <w:pPr>
        <w:spacing w:line="360" w:lineRule="auto"/>
        <w:ind w:firstLine="4320" w:firstLineChars="1800"/>
        <w:rPr>
          <w:rFonts w:hint="eastAsia" w:ascii="宋体" w:hAnsi="宋体" w:cs="宋体"/>
          <w:color w:val="auto"/>
          <w:sz w:val="24"/>
          <w:highlight w:val="none"/>
          <w:u w:val="singl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14:paraId="4A39DD8A">
      <w:pPr>
        <w:snapToGrid w:val="0"/>
        <w:spacing w:before="156" w:beforeLines="50" w:after="50" w:line="360" w:lineRule="auto"/>
        <w:ind w:right="480" w:firstLine="240" w:firstLineChars="100"/>
        <w:jc w:val="center"/>
        <w:rPr>
          <w:rFonts w:ascii="宋体" w:hAnsi="宋体"/>
          <w:color w:val="auto"/>
          <w:sz w:val="28"/>
          <w:szCs w:val="28"/>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 xml:space="preserve"> 年    月    日</w:t>
      </w:r>
    </w:p>
    <w:p w14:paraId="6F0510DF">
      <w:pPr>
        <w:pStyle w:val="7"/>
        <w:overflowPunct w:val="0"/>
        <w:spacing w:line="520" w:lineRule="exact"/>
        <w:ind w:firstLine="0"/>
        <w:jc w:val="center"/>
        <w:rPr>
          <w:rFonts w:hint="eastAsia" w:ascii="宋体" w:hAnsi="宋体" w:cs="方正小标宋简体"/>
          <w:color w:val="auto"/>
          <w:sz w:val="44"/>
          <w:szCs w:val="44"/>
          <w:highlight w:val="none"/>
        </w:rPr>
      </w:pPr>
      <w:r>
        <w:rPr>
          <w:rFonts w:ascii="宋体" w:hAnsi="宋体"/>
          <w:color w:val="auto"/>
          <w:sz w:val="28"/>
          <w:szCs w:val="28"/>
          <w:highlight w:val="none"/>
        </w:rPr>
        <w:br w:type="page"/>
      </w:r>
      <w:r>
        <w:rPr>
          <w:rFonts w:hint="eastAsia" w:ascii="宋体" w:hAnsi="宋体" w:cs="方正小标宋简体"/>
          <w:color w:val="auto"/>
          <w:sz w:val="44"/>
          <w:szCs w:val="44"/>
          <w:highlight w:val="none"/>
        </w:rPr>
        <w:t>联合体竞标协议书</w:t>
      </w:r>
    </w:p>
    <w:p w14:paraId="71E928D5">
      <w:pPr>
        <w:pStyle w:val="7"/>
        <w:overflowPunct w:val="0"/>
        <w:spacing w:line="520" w:lineRule="exact"/>
        <w:ind w:firstLine="0"/>
        <w:rPr>
          <w:rFonts w:ascii="宋体" w:hAnsi="宋体"/>
          <w:color w:val="auto"/>
          <w:sz w:val="24"/>
          <w:highlight w:val="none"/>
        </w:rPr>
      </w:pPr>
    </w:p>
    <w:p w14:paraId="2C316B26">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（联合体名称）联合体，共同参加（项目名称）采购项目竞标。现就联合体竞标事宜订立如下协议：</w:t>
      </w:r>
    </w:p>
    <w:p w14:paraId="10FAA61B">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0F0A1015">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DBB61E1">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214AC4D8">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452F20ED">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协议书自所有成员单位法定代表人或者其委托代理人签字或者盖单位章之日起生效，合同履行完毕后自动失效。</w:t>
      </w:r>
    </w:p>
    <w:p w14:paraId="17FAEB8A">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7F0DA0CE">
      <w:pPr>
        <w:pStyle w:val="7"/>
        <w:overflowPunct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注：本协议书由法定代表人签字的，应附法定代表人身份证明书；由委托代理人签字的，应附联合体协议签订授权委托书（格式自拟）。</w:t>
      </w:r>
    </w:p>
    <w:p w14:paraId="02FF5F37">
      <w:pPr>
        <w:pStyle w:val="7"/>
        <w:overflowPunct w:val="0"/>
        <w:spacing w:line="360" w:lineRule="auto"/>
        <w:ind w:firstLineChars="175"/>
        <w:rPr>
          <w:rFonts w:hint="eastAsia" w:ascii="宋体" w:hAnsi="宋体" w:cs="仿宋_GB2312"/>
          <w:color w:val="auto"/>
          <w:sz w:val="24"/>
          <w:szCs w:val="24"/>
          <w:highlight w:val="none"/>
        </w:rPr>
      </w:pPr>
    </w:p>
    <w:p w14:paraId="2B5E1768">
      <w:pPr>
        <w:pStyle w:val="7"/>
        <w:overflowPunct w:val="0"/>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联合体牵头人名称（盖公章）：</w:t>
      </w:r>
    </w:p>
    <w:p w14:paraId="73D25CE4">
      <w:pPr>
        <w:pStyle w:val="7"/>
        <w:overflowPunct w:val="0"/>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w:t>
      </w:r>
    </w:p>
    <w:p w14:paraId="578A3A95">
      <w:pPr>
        <w:pStyle w:val="7"/>
        <w:overflowPunct w:val="0"/>
        <w:spacing w:line="360" w:lineRule="auto"/>
        <w:ind w:firstLine="480" w:firstLineChars="200"/>
        <w:rPr>
          <w:rFonts w:hint="eastAsia" w:ascii="宋体" w:hAnsi="宋体" w:cs="仿宋_GB2312"/>
          <w:color w:val="auto"/>
          <w:sz w:val="24"/>
          <w:szCs w:val="24"/>
          <w:highlight w:val="none"/>
        </w:rPr>
      </w:pPr>
    </w:p>
    <w:p w14:paraId="4F9D8B26">
      <w:pPr>
        <w:pStyle w:val="7"/>
        <w:overflowPunct w:val="0"/>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w:t>
      </w:r>
    </w:p>
    <w:p w14:paraId="44CE8C1C">
      <w:pPr>
        <w:pStyle w:val="7"/>
        <w:overflowPunct w:val="0"/>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w:t>
      </w:r>
    </w:p>
    <w:p w14:paraId="6E12B54C">
      <w:pPr>
        <w:pStyle w:val="7"/>
        <w:overflowPunct w:val="0"/>
        <w:spacing w:line="360" w:lineRule="auto"/>
        <w:ind w:firstLine="480" w:firstLineChars="200"/>
        <w:rPr>
          <w:rFonts w:hint="eastAsia" w:ascii="宋体" w:hAnsi="宋体" w:cs="仿宋_GB2312"/>
          <w:color w:val="auto"/>
          <w:sz w:val="24"/>
          <w:szCs w:val="24"/>
          <w:highlight w:val="none"/>
        </w:rPr>
      </w:pPr>
    </w:p>
    <w:p w14:paraId="7FC6AA25">
      <w:pPr>
        <w:pStyle w:val="7"/>
        <w:overflowPunct w:val="0"/>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w:t>
      </w:r>
    </w:p>
    <w:p w14:paraId="5A836741">
      <w:pPr>
        <w:pStyle w:val="7"/>
        <w:overflowPunct w:val="0"/>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w:t>
      </w:r>
    </w:p>
    <w:p w14:paraId="4ABF8480">
      <w:pPr>
        <w:pStyle w:val="7"/>
        <w:overflowPunct w:val="0"/>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3BA91C6B">
      <w:pPr>
        <w:pStyle w:val="7"/>
        <w:overflowPunct w:val="0"/>
        <w:spacing w:line="360" w:lineRule="auto"/>
        <w:ind w:firstLineChars="175"/>
        <w:jc w:val="right"/>
        <w:rPr>
          <w:rFonts w:hint="eastAsia" w:ascii="宋体" w:hAnsi="宋体" w:cs="仿宋_GB2312"/>
          <w:color w:val="auto"/>
          <w:sz w:val="32"/>
          <w:szCs w:val="32"/>
          <w:highlight w:val="none"/>
        </w:rPr>
      </w:pPr>
      <w:r>
        <w:rPr>
          <w:rFonts w:hint="eastAsia" w:ascii="宋体" w:hAnsi="宋体" w:cs="仿宋_GB2312"/>
          <w:color w:val="auto"/>
          <w:sz w:val="24"/>
          <w:szCs w:val="24"/>
          <w:highlight w:val="none"/>
        </w:rPr>
        <w:t xml:space="preserve"> 年  </w:t>
      </w:r>
      <w:r>
        <w:rPr>
          <w:rFonts w:hint="eastAsia" w:ascii="宋体" w:hAnsi="宋体" w:cs="仿宋_GB2312"/>
          <w:color w:val="auto"/>
          <w:sz w:val="24"/>
          <w:szCs w:val="24"/>
          <w:highlight w:val="none"/>
        </w:rPr>
        <w:tab/>
      </w:r>
      <w:r>
        <w:rPr>
          <w:rFonts w:hint="eastAsia" w:ascii="宋体" w:hAnsi="宋体" w:cs="仿宋_GB2312"/>
          <w:color w:val="auto"/>
          <w:sz w:val="24"/>
          <w:szCs w:val="24"/>
          <w:highlight w:val="none"/>
        </w:rPr>
        <w:t xml:space="preserve">月  </w:t>
      </w:r>
      <w:r>
        <w:rPr>
          <w:rFonts w:hint="eastAsia" w:ascii="宋体" w:hAnsi="宋体" w:cs="仿宋_GB2312"/>
          <w:color w:val="auto"/>
          <w:sz w:val="24"/>
          <w:szCs w:val="24"/>
          <w:highlight w:val="none"/>
        </w:rPr>
        <w:tab/>
      </w:r>
      <w:r>
        <w:rPr>
          <w:rFonts w:hint="eastAsia" w:ascii="宋体" w:hAnsi="宋体" w:cs="仿宋_GB2312"/>
          <w:color w:val="auto"/>
          <w:sz w:val="24"/>
          <w:szCs w:val="24"/>
          <w:highlight w:val="none"/>
        </w:rPr>
        <w:t>日</w:t>
      </w:r>
    </w:p>
    <w:p w14:paraId="1B89B4C9">
      <w:pPr>
        <w:pStyle w:val="7"/>
        <w:overflowPunct w:val="0"/>
        <w:ind w:firstLine="0"/>
        <w:rPr>
          <w:rFonts w:hint="eastAsia" w:ascii="宋体" w:hAnsi="宋体"/>
          <w:color w:val="auto"/>
          <w:sz w:val="30"/>
          <w:highlight w:val="none"/>
        </w:rPr>
      </w:pPr>
    </w:p>
    <w:p w14:paraId="5DDB286D">
      <w:pPr>
        <w:snapToGrid w:val="0"/>
        <w:spacing w:before="156" w:beforeLines="50" w:after="50" w:line="360" w:lineRule="auto"/>
        <w:ind w:right="480" w:firstLine="321" w:firstLineChars="100"/>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报价商务技术文件格式 </w:t>
      </w:r>
    </w:p>
    <w:p w14:paraId="53FBEAAC">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44731934">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正本/副本</w:t>
      </w:r>
    </w:p>
    <w:p w14:paraId="246BF1A4">
      <w:pPr>
        <w:snapToGrid w:val="0"/>
        <w:spacing w:before="156" w:beforeLines="50" w:after="50"/>
        <w:rPr>
          <w:rFonts w:hint="eastAsia" w:ascii="宋体" w:hAnsi="宋体"/>
          <w:color w:val="auto"/>
          <w:sz w:val="24"/>
          <w:szCs w:val="20"/>
          <w:highlight w:val="none"/>
        </w:rPr>
      </w:pPr>
    </w:p>
    <w:p w14:paraId="2F0B946C">
      <w:pPr>
        <w:snapToGrid w:val="0"/>
        <w:spacing w:before="156" w:beforeLines="50" w:after="50"/>
        <w:rPr>
          <w:rFonts w:hint="eastAsia" w:ascii="宋体" w:hAnsi="宋体"/>
          <w:color w:val="auto"/>
          <w:sz w:val="24"/>
          <w:szCs w:val="20"/>
          <w:highlight w:val="none"/>
        </w:rPr>
      </w:pPr>
    </w:p>
    <w:p w14:paraId="32D2D8A2">
      <w:pPr>
        <w:snapToGrid w:val="0"/>
        <w:spacing w:before="156" w:beforeLines="50" w:after="50"/>
        <w:rPr>
          <w:rFonts w:hint="eastAsia" w:ascii="宋体" w:hAnsi="宋体"/>
          <w:color w:val="auto"/>
          <w:sz w:val="24"/>
          <w:szCs w:val="20"/>
          <w:highlight w:val="none"/>
        </w:rPr>
      </w:pPr>
    </w:p>
    <w:p w14:paraId="465C84B4">
      <w:pPr>
        <w:snapToGrid w:val="0"/>
        <w:spacing w:before="156" w:beforeLines="50" w:after="50"/>
        <w:jc w:val="center"/>
        <w:rPr>
          <w:rFonts w:hint="eastAsia"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报  价  商  务  技  术  文  件</w:t>
      </w:r>
    </w:p>
    <w:p w14:paraId="758B0146">
      <w:pPr>
        <w:snapToGrid w:val="0"/>
        <w:spacing w:before="156" w:beforeLines="50" w:after="50"/>
        <w:rPr>
          <w:rFonts w:hint="eastAsia" w:ascii="宋体" w:hAnsi="宋体"/>
          <w:bCs/>
          <w:color w:val="auto"/>
          <w:sz w:val="24"/>
          <w:szCs w:val="20"/>
          <w:highlight w:val="none"/>
        </w:rPr>
      </w:pPr>
    </w:p>
    <w:p w14:paraId="6FC8A1BF">
      <w:pPr>
        <w:snapToGrid w:val="0"/>
        <w:spacing w:before="156" w:beforeLines="50" w:after="50"/>
        <w:rPr>
          <w:rFonts w:hint="eastAsia" w:ascii="宋体" w:hAnsi="宋体"/>
          <w:bCs/>
          <w:color w:val="auto"/>
          <w:sz w:val="24"/>
          <w:szCs w:val="20"/>
          <w:highlight w:val="none"/>
        </w:rPr>
      </w:pPr>
    </w:p>
    <w:p w14:paraId="5246BB97">
      <w:pPr>
        <w:snapToGrid w:val="0"/>
        <w:spacing w:before="156" w:beforeLines="50" w:after="50"/>
        <w:rPr>
          <w:rFonts w:hint="eastAsia" w:ascii="宋体" w:hAnsi="宋体"/>
          <w:bCs/>
          <w:color w:val="auto"/>
          <w:sz w:val="24"/>
          <w:szCs w:val="20"/>
          <w:highlight w:val="none"/>
        </w:rPr>
      </w:pPr>
    </w:p>
    <w:p w14:paraId="1CEFAAA1">
      <w:pPr>
        <w:snapToGrid w:val="0"/>
        <w:spacing w:before="156" w:beforeLines="50" w:after="50"/>
        <w:rPr>
          <w:rFonts w:hint="eastAsia" w:ascii="宋体" w:hAnsi="宋体"/>
          <w:bCs/>
          <w:color w:val="auto"/>
          <w:sz w:val="24"/>
          <w:szCs w:val="20"/>
          <w:highlight w:val="none"/>
        </w:rPr>
      </w:pPr>
    </w:p>
    <w:p w14:paraId="548BDD9B">
      <w:pPr>
        <w:snapToGrid w:val="0"/>
        <w:spacing w:before="156" w:beforeLines="50" w:after="50"/>
        <w:rPr>
          <w:rFonts w:hint="eastAsia" w:ascii="宋体" w:hAnsi="宋体"/>
          <w:bCs/>
          <w:color w:val="auto"/>
          <w:sz w:val="24"/>
          <w:szCs w:val="20"/>
          <w:highlight w:val="none"/>
        </w:rPr>
      </w:pPr>
    </w:p>
    <w:p w14:paraId="1EE4180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10FED8F">
      <w:pPr>
        <w:snapToGrid w:val="0"/>
        <w:spacing w:before="156" w:beforeLines="50" w:after="50"/>
        <w:ind w:firstLine="720" w:firstLineChars="225"/>
        <w:rPr>
          <w:rFonts w:hint="eastAsia" w:ascii="宋体" w:hAnsi="宋体" w:cs="仿宋_GB2312"/>
          <w:bCs/>
          <w:color w:val="auto"/>
          <w:sz w:val="32"/>
          <w:szCs w:val="32"/>
          <w:highlight w:val="none"/>
        </w:rPr>
      </w:pPr>
    </w:p>
    <w:p w14:paraId="186F7F20">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D79E714">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40753B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FA322BA">
      <w:pPr>
        <w:snapToGrid w:val="0"/>
        <w:spacing w:before="156" w:beforeLines="50" w:after="50"/>
        <w:ind w:firstLine="720" w:firstLineChars="225"/>
        <w:rPr>
          <w:rFonts w:hint="eastAsia" w:ascii="宋体" w:hAnsi="宋体" w:cs="仿宋_GB2312"/>
          <w:bCs/>
          <w:color w:val="auto"/>
          <w:sz w:val="32"/>
          <w:szCs w:val="32"/>
          <w:highlight w:val="none"/>
        </w:rPr>
      </w:pPr>
    </w:p>
    <w:p w14:paraId="0BED4E4C">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4955EFE">
      <w:pPr>
        <w:pStyle w:val="7"/>
        <w:snapToGrid w:val="0"/>
        <w:spacing w:before="50" w:after="50"/>
        <w:ind w:firstLine="720" w:firstLineChars="225"/>
        <w:rPr>
          <w:rFonts w:hint="eastAsia" w:ascii="宋体" w:hAnsi="宋体" w:cs="仿宋_GB2312"/>
          <w:bCs/>
          <w:color w:val="auto"/>
          <w:sz w:val="32"/>
          <w:szCs w:val="32"/>
          <w:highlight w:val="none"/>
        </w:rPr>
      </w:pPr>
    </w:p>
    <w:p w14:paraId="2BC701AA">
      <w:pPr>
        <w:pStyle w:val="7"/>
        <w:snapToGrid w:val="0"/>
        <w:spacing w:before="50" w:after="50"/>
        <w:ind w:firstLine="1280" w:firstLineChars="400"/>
        <w:rPr>
          <w:rFonts w:hint="eastAsia" w:ascii="宋体" w:hAnsi="宋体" w:cs="仿宋_GB2312"/>
          <w:bCs/>
          <w:color w:val="auto"/>
          <w:sz w:val="32"/>
          <w:szCs w:val="32"/>
          <w:highlight w:val="none"/>
        </w:rPr>
      </w:pPr>
    </w:p>
    <w:p w14:paraId="3BD6B89D">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66E687A">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14:paraId="09D340D4">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D10DF46">
      <w:pPr>
        <w:spacing w:line="400" w:lineRule="exact"/>
        <w:rPr>
          <w:rFonts w:hint="eastAsia" w:ascii="宋体" w:hAnsi="宋体" w:cs="仿宋_GB2312"/>
          <w:color w:val="auto"/>
          <w:sz w:val="32"/>
          <w:szCs w:val="32"/>
          <w:highlight w:val="none"/>
        </w:rPr>
      </w:pPr>
    </w:p>
    <w:p w14:paraId="35D5FCA8">
      <w:pPr>
        <w:spacing w:line="520" w:lineRule="exact"/>
        <w:jc w:val="center"/>
        <w:rPr>
          <w:rFonts w:hint="eastAsia" w:ascii="宋体" w:hAnsi="宋体" w:cs="仿宋_GB2312"/>
          <w:color w:val="auto"/>
          <w:sz w:val="32"/>
          <w:szCs w:val="32"/>
          <w:highlight w:val="none"/>
        </w:rPr>
      </w:pPr>
      <w:r>
        <w:rPr>
          <w:rFonts w:hint="eastAsia" w:ascii="宋体" w:hAnsi="宋体" w:cs="方正小标宋简体"/>
          <w:color w:val="auto"/>
          <w:sz w:val="44"/>
          <w:szCs w:val="44"/>
          <w:highlight w:val="none"/>
        </w:rPr>
        <w:br w:type="page"/>
      </w:r>
      <w:r>
        <w:rPr>
          <w:rFonts w:hint="eastAsia" w:ascii="宋体" w:hAnsi="宋体" w:cs="方正小标宋简体"/>
          <w:color w:val="auto"/>
          <w:sz w:val="44"/>
          <w:szCs w:val="44"/>
          <w:highlight w:val="none"/>
        </w:rPr>
        <w:t>无串通竞标行为的承诺函</w:t>
      </w:r>
    </w:p>
    <w:p w14:paraId="19058BC0">
      <w:pPr>
        <w:spacing w:line="400" w:lineRule="exact"/>
        <w:ind w:firstLine="640" w:firstLineChars="200"/>
        <w:rPr>
          <w:rFonts w:hint="eastAsia" w:ascii="宋体" w:hAnsi="宋体" w:cs="仿宋_GB2312"/>
          <w:color w:val="auto"/>
          <w:sz w:val="32"/>
          <w:szCs w:val="32"/>
          <w:highlight w:val="none"/>
        </w:rPr>
      </w:pPr>
    </w:p>
    <w:p w14:paraId="41786EA8">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467DAC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1.不同供应商的响应文件由同一单位或者个人编制；或者不同供应商报名的IP地址一致的；</w:t>
      </w:r>
    </w:p>
    <w:p w14:paraId="7663CE7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017640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E2D2E0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759407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D2F45D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36E9AEC">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0B969B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8EFD6E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3B196C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08A959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C63E36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99383A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CE2C6F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8B1865E">
      <w:pPr>
        <w:spacing w:line="360" w:lineRule="auto"/>
        <w:ind w:firstLine="480" w:firstLineChars="200"/>
        <w:rPr>
          <w:rFonts w:hint="eastAsia" w:ascii="宋体" w:hAnsi="宋体" w:cs="仿宋_GB2312"/>
          <w:color w:val="auto"/>
          <w:sz w:val="24"/>
          <w:highlight w:val="none"/>
        </w:rPr>
      </w:pPr>
    </w:p>
    <w:p w14:paraId="20AC95C0">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C9C4256">
      <w:pPr>
        <w:spacing w:line="360" w:lineRule="auto"/>
        <w:rPr>
          <w:rFonts w:hint="eastAsia" w:ascii="宋体" w:hAnsi="宋体" w:cs="仿宋_GB2312"/>
          <w:color w:val="auto"/>
          <w:sz w:val="24"/>
          <w:highlight w:val="none"/>
        </w:rPr>
      </w:pPr>
    </w:p>
    <w:p w14:paraId="2DA35A62">
      <w:pPr>
        <w:spacing w:line="360" w:lineRule="auto"/>
        <w:ind w:firstLine="3600" w:firstLineChars="1500"/>
        <w:rPr>
          <w:rFonts w:hint="eastAsia" w:ascii="宋体" w:hAnsi="宋体" w:cs="仿宋_GB2312"/>
          <w:color w:val="auto"/>
          <w:sz w:val="24"/>
          <w:highlight w:val="none"/>
        </w:rPr>
      </w:pPr>
      <w:r>
        <w:rPr>
          <w:rFonts w:hint="eastAsia" w:ascii="宋体" w:hAnsi="宋体" w:cs="仿宋_GB2312"/>
          <w:color w:val="auto"/>
          <w:sz w:val="24"/>
          <w:highlight w:val="none"/>
        </w:rPr>
        <w:t>供应商（盖公章）：</w:t>
      </w:r>
    </w:p>
    <w:p w14:paraId="16E248CB">
      <w:pPr>
        <w:spacing w:line="360" w:lineRule="auto"/>
        <w:ind w:firstLine="480" w:firstLineChars="200"/>
        <w:jc w:val="center"/>
        <w:rPr>
          <w:rFonts w:hint="eastAsia" w:ascii="宋体" w:hAnsi="宋体" w:cs="仿宋_GB2312"/>
          <w:color w:val="auto"/>
          <w:sz w:val="32"/>
          <w:szCs w:val="32"/>
          <w:highlight w:val="none"/>
        </w:rPr>
      </w:pPr>
      <w:r>
        <w:rPr>
          <w:rFonts w:hint="eastAsia" w:ascii="宋体" w:hAnsi="宋体" w:cs="仿宋_GB2312"/>
          <w:color w:val="auto"/>
          <w:sz w:val="24"/>
          <w:highlight w:val="none"/>
        </w:rPr>
        <w:t xml:space="preserve">                               年   月   日</w:t>
      </w:r>
    </w:p>
    <w:p w14:paraId="48939452">
      <w:pPr>
        <w:spacing w:line="520" w:lineRule="exact"/>
        <w:jc w:val="center"/>
        <w:rPr>
          <w:rFonts w:hint="eastAsia" w:ascii="宋体" w:hAnsi="宋体" w:cs="方正小标宋简体"/>
          <w:bCs/>
          <w:color w:val="auto"/>
          <w:sz w:val="32"/>
          <w:szCs w:val="32"/>
          <w:highlight w:val="none"/>
        </w:rPr>
      </w:pPr>
      <w:r>
        <w:rPr>
          <w:rFonts w:hint="eastAsia" w:ascii="宋体" w:hAnsi="宋体" w:cs="方正小标宋简体"/>
          <w:bCs/>
          <w:color w:val="auto"/>
          <w:sz w:val="44"/>
          <w:szCs w:val="44"/>
          <w:highlight w:val="none"/>
        </w:rPr>
        <w:br w:type="page"/>
      </w:r>
      <w:r>
        <w:rPr>
          <w:rFonts w:hint="eastAsia" w:ascii="宋体" w:hAnsi="宋体" w:cs="方正小标宋简体"/>
          <w:bCs/>
          <w:color w:val="auto"/>
          <w:sz w:val="44"/>
          <w:szCs w:val="44"/>
          <w:highlight w:val="none"/>
        </w:rPr>
        <w:t>竞  标  报  价  表</w:t>
      </w:r>
    </w:p>
    <w:p w14:paraId="7AC6F97A">
      <w:pPr>
        <w:snapToGrid w:val="0"/>
        <w:spacing w:before="50" w:after="50" w:line="360" w:lineRule="auto"/>
        <w:rPr>
          <w:rFonts w:hint="eastAsia" w:ascii="宋体" w:hAnsi="宋体" w:cs="仿宋_GB2312"/>
          <w:color w:val="auto"/>
          <w:sz w:val="24"/>
          <w:highlight w:val="none"/>
        </w:rPr>
      </w:pPr>
    </w:p>
    <w:p w14:paraId="0D5BFD85">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58ADABE">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5A8BAE64">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BFA7232">
      <w:pPr>
        <w:snapToGrid w:val="0"/>
        <w:spacing w:before="50" w:after="50" w:line="360" w:lineRule="auto"/>
        <w:rPr>
          <w:rFonts w:hint="eastAsia" w:ascii="宋体" w:hAnsi="宋体" w:cs="仿宋_GB2312"/>
          <w:color w:val="auto"/>
          <w:sz w:val="24"/>
          <w:highlight w:val="none"/>
        </w:rPr>
      </w:pPr>
    </w:p>
    <w:tbl>
      <w:tblPr>
        <w:tblStyle w:val="2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569"/>
        <w:gridCol w:w="760"/>
        <w:gridCol w:w="740"/>
        <w:gridCol w:w="2071"/>
        <w:gridCol w:w="2368"/>
      </w:tblGrid>
      <w:tr w14:paraId="06A9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5C0D469">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4F5D8AFF">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标的名称</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050F079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7EE11165">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071" w:type="dxa"/>
            <w:tcBorders>
              <w:top w:val="single" w:color="auto" w:sz="4" w:space="0"/>
              <w:left w:val="single" w:color="auto" w:sz="4" w:space="0"/>
              <w:bottom w:val="single" w:color="auto" w:sz="4" w:space="0"/>
              <w:right w:val="single" w:color="auto" w:sz="4" w:space="0"/>
            </w:tcBorders>
            <w:noWrap w:val="0"/>
            <w:vAlign w:val="center"/>
          </w:tcPr>
          <w:p w14:paraId="1892E3E3">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总报价（元）</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0239DB2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4366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209924C">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38147217">
            <w:pPr>
              <w:spacing w:line="360" w:lineRule="auto"/>
              <w:jc w:val="center"/>
              <w:rPr>
                <w:rFonts w:ascii="宋体" w:hAnsi="宋体" w:cs="仿宋_GB2312"/>
                <w:color w:val="auto"/>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60A365D">
            <w:pPr>
              <w:spacing w:line="360" w:lineRule="auto"/>
              <w:jc w:val="center"/>
              <w:rPr>
                <w:rFonts w:ascii="宋体" w:hAnsi="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D64751A">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w:t>
            </w:r>
          </w:p>
        </w:tc>
        <w:tc>
          <w:tcPr>
            <w:tcW w:w="2071" w:type="dxa"/>
            <w:tcBorders>
              <w:top w:val="single" w:color="auto" w:sz="4" w:space="0"/>
              <w:left w:val="single" w:color="auto" w:sz="4" w:space="0"/>
              <w:bottom w:val="single" w:color="auto" w:sz="4" w:space="0"/>
              <w:right w:val="single" w:color="auto" w:sz="4" w:space="0"/>
            </w:tcBorders>
            <w:noWrap w:val="0"/>
            <w:vAlign w:val="center"/>
          </w:tcPr>
          <w:p w14:paraId="664E2FD0">
            <w:pPr>
              <w:spacing w:line="360" w:lineRule="auto"/>
              <w:jc w:val="center"/>
              <w:rPr>
                <w:rFonts w:hint="eastAsia" w:ascii="宋体" w:hAnsi="宋体" w:eastAsia="宋体" w:cs="仿宋_GB2312"/>
                <w:color w:val="auto"/>
                <w:sz w:val="24"/>
                <w:highlight w:val="none"/>
                <w:lang w:val="en-US" w:eastAsia="zh-CN"/>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14:paraId="1D1EA0C7">
            <w:pPr>
              <w:spacing w:line="360" w:lineRule="auto"/>
              <w:jc w:val="center"/>
              <w:rPr>
                <w:rFonts w:ascii="宋体" w:hAnsi="宋体" w:cs="仿宋_GB2312"/>
                <w:color w:val="auto"/>
                <w:sz w:val="24"/>
                <w:highlight w:val="none"/>
              </w:rPr>
            </w:pPr>
          </w:p>
        </w:tc>
      </w:tr>
      <w:tr w14:paraId="49F1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6"/>
            <w:tcBorders>
              <w:top w:val="single" w:color="auto" w:sz="4" w:space="0"/>
              <w:left w:val="single" w:color="auto" w:sz="4" w:space="0"/>
              <w:bottom w:val="single" w:color="auto" w:sz="4" w:space="0"/>
              <w:right w:val="single" w:color="auto" w:sz="4" w:space="0"/>
            </w:tcBorders>
            <w:noWrap w:val="0"/>
            <w:vAlign w:val="center"/>
          </w:tcPr>
          <w:p w14:paraId="71B14788">
            <w:pPr>
              <w:snapToGrid w:val="0"/>
              <w:spacing w:before="50" w:after="50" w:line="360" w:lineRule="auto"/>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服务期限：</w:t>
            </w:r>
          </w:p>
        </w:tc>
      </w:tr>
    </w:tbl>
    <w:p w14:paraId="00B83C72">
      <w:pPr>
        <w:snapToGrid w:val="0"/>
        <w:spacing w:before="50" w:after="50" w:line="360" w:lineRule="auto"/>
        <w:jc w:val="left"/>
        <w:rPr>
          <w:rFonts w:ascii="宋体" w:hAnsi="宋体" w:cs="仿宋_GB2312"/>
          <w:color w:val="auto"/>
          <w:sz w:val="24"/>
          <w:highlight w:val="none"/>
        </w:rPr>
      </w:pPr>
    </w:p>
    <w:p w14:paraId="40ABAC6A">
      <w:pPr>
        <w:snapToGrid w:val="0"/>
        <w:spacing w:before="50" w:after="50"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DED870E">
      <w:pPr>
        <w:snapToGrid w:val="0"/>
        <w:spacing w:before="50" w:after="50"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1.供应商的报价表必须加盖供应商公章并由法定代表人或者委托代理人签字，</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78F83FA5">
      <w:pPr>
        <w:snapToGrid w:val="0"/>
        <w:spacing w:before="50" w:after="50" w:line="360" w:lineRule="auto"/>
        <w:ind w:firstLine="480" w:firstLineChars="200"/>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14:paraId="5B7D9428">
      <w:pPr>
        <w:snapToGrid w:val="0"/>
        <w:spacing w:before="50" w:after="50"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12A22C5E">
      <w:pPr>
        <w:snapToGrid w:val="0"/>
        <w:spacing w:before="50" w:after="50"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.如为联合体竞标，盖章处须加盖联合体各方公章，</w:t>
      </w:r>
      <w:r>
        <w:rPr>
          <w:rFonts w:hint="eastAsia" w:ascii="宋体" w:hAnsi="宋体" w:cs="仿宋_GB2312"/>
          <w:b/>
          <w:color w:val="auto"/>
          <w:sz w:val="24"/>
          <w:highlight w:val="none"/>
        </w:rPr>
        <w:t>否则其响应文件按无效响应处理。</w:t>
      </w:r>
    </w:p>
    <w:p w14:paraId="2E097847">
      <w:pPr>
        <w:snapToGrid w:val="0"/>
        <w:spacing w:before="50" w:after="50" w:line="360" w:lineRule="auto"/>
        <w:ind w:firstLine="480" w:firstLineChars="200"/>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127C4B7B">
      <w:pPr>
        <w:snapToGrid w:val="0"/>
        <w:spacing w:before="50" w:after="50" w:line="360" w:lineRule="auto"/>
        <w:ind w:right="-817" w:rightChars="-389"/>
        <w:rPr>
          <w:rFonts w:hint="eastAsia" w:ascii="宋体" w:hAnsi="宋体" w:cs="仿宋_GB2312"/>
          <w:color w:val="auto"/>
          <w:sz w:val="24"/>
          <w:highlight w:val="none"/>
        </w:rPr>
      </w:pPr>
    </w:p>
    <w:p w14:paraId="5E3CF6AC">
      <w:pPr>
        <w:snapToGrid w:val="0"/>
        <w:spacing w:before="50" w:after="50" w:line="360" w:lineRule="auto"/>
        <w:ind w:right="-817" w:rightChars="-389" w:firstLine="960" w:firstLineChars="400"/>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7895AD8B">
      <w:pPr>
        <w:snapToGrid w:val="0"/>
        <w:spacing w:before="50" w:after="50" w:line="360" w:lineRule="auto"/>
        <w:ind w:right="-817" w:rightChars="-389" w:firstLine="2640" w:firstLineChars="1100"/>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5B1C112E">
      <w:pPr>
        <w:snapToGrid w:val="0"/>
        <w:spacing w:before="50" w:after="50" w:line="360" w:lineRule="auto"/>
        <w:ind w:right="-817" w:rightChars="-389" w:firstLine="4080" w:firstLineChars="1700"/>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4DA2A6FA">
      <w:pPr>
        <w:spacing w:before="312" w:beforeLines="100" w:after="156" w:afterLines="50" w:line="520" w:lineRule="exact"/>
        <w:ind w:left="540"/>
        <w:jc w:val="center"/>
        <w:rPr>
          <w:rFonts w:hint="eastAsia" w:ascii="宋体" w:hAnsi="宋体" w:cs="仿宋_GB2312"/>
          <w:color w:val="auto"/>
          <w:sz w:val="32"/>
          <w:szCs w:val="32"/>
          <w:highlight w:val="none"/>
        </w:rPr>
      </w:pPr>
      <w:r>
        <w:rPr>
          <w:rFonts w:hint="eastAsia" w:ascii="宋体" w:hAnsi="宋体"/>
          <w:b/>
          <w:color w:val="auto"/>
          <w:sz w:val="32"/>
          <w:szCs w:val="32"/>
          <w:highlight w:val="none"/>
        </w:rPr>
        <w:br w:type="page"/>
      </w:r>
      <w:r>
        <w:rPr>
          <w:rFonts w:hint="eastAsia" w:ascii="宋体" w:hAnsi="宋体" w:cs="方正小标宋简体"/>
          <w:bCs/>
          <w:color w:val="auto"/>
          <w:sz w:val="44"/>
          <w:szCs w:val="44"/>
          <w:highlight w:val="none"/>
        </w:rPr>
        <w:t>法定代表人证明书</w:t>
      </w:r>
    </w:p>
    <w:p w14:paraId="5F521318">
      <w:pPr>
        <w:spacing w:line="520" w:lineRule="exact"/>
        <w:ind w:left="540"/>
        <w:rPr>
          <w:rFonts w:hint="eastAsia" w:ascii="宋体" w:hAnsi="宋体" w:cs="仿宋_GB2312"/>
          <w:color w:val="auto"/>
          <w:sz w:val="32"/>
          <w:szCs w:val="32"/>
          <w:highlight w:val="none"/>
        </w:rPr>
      </w:pPr>
    </w:p>
    <w:p w14:paraId="5C2E3385">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38B7A30">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79B3171">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D42AD71">
      <w:pPr>
        <w:spacing w:line="360" w:lineRule="auto"/>
        <w:ind w:left="540"/>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6C8EAFD1">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CD62DB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5ABFC554">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32ABA94F">
      <w:pPr>
        <w:spacing w:line="360" w:lineRule="auto"/>
        <w:ind w:left="540"/>
        <w:rPr>
          <w:rFonts w:hint="eastAsia" w:ascii="宋体" w:hAnsi="宋体" w:cs="仿宋_GB2312"/>
          <w:color w:val="auto"/>
          <w:sz w:val="24"/>
          <w:highlight w:val="none"/>
        </w:rPr>
      </w:pPr>
    </w:p>
    <w:p w14:paraId="5D6FF0C9">
      <w:pPr>
        <w:spacing w:line="360" w:lineRule="auto"/>
        <w:ind w:left="540"/>
        <w:rPr>
          <w:rFonts w:hint="eastAsia" w:ascii="宋体" w:hAnsi="宋体" w:cs="仿宋_GB2312"/>
          <w:color w:val="auto"/>
          <w:sz w:val="24"/>
          <w:highlight w:val="none"/>
        </w:rPr>
      </w:pPr>
    </w:p>
    <w:p w14:paraId="7F09E12E">
      <w:pPr>
        <w:spacing w:line="360" w:lineRule="auto"/>
        <w:ind w:left="540"/>
        <w:rPr>
          <w:rFonts w:hint="eastAsia" w:ascii="宋体" w:hAnsi="宋体" w:cs="仿宋_GB2312"/>
          <w:color w:val="auto"/>
          <w:sz w:val="24"/>
          <w:highlight w:val="none"/>
        </w:rPr>
      </w:pPr>
    </w:p>
    <w:p w14:paraId="4BFD7B94">
      <w:pPr>
        <w:spacing w:line="360" w:lineRule="auto"/>
        <w:ind w:left="540"/>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F865EC6">
      <w:pPr>
        <w:spacing w:line="360" w:lineRule="auto"/>
        <w:ind w:left="540"/>
        <w:rPr>
          <w:rFonts w:hint="eastAsia" w:ascii="宋体" w:hAnsi="宋体" w:cs="仿宋_GB2312"/>
          <w:color w:val="auto"/>
          <w:sz w:val="24"/>
          <w:highlight w:val="none"/>
        </w:rPr>
      </w:pPr>
    </w:p>
    <w:p w14:paraId="4027D893">
      <w:pPr>
        <w:spacing w:line="360" w:lineRule="auto"/>
        <w:ind w:left="540"/>
        <w:jc w:val="right"/>
        <w:rPr>
          <w:rFonts w:hint="eastAsia" w:ascii="宋体" w:hAnsi="宋体" w:cs="仿宋_GB2312"/>
          <w:color w:val="auto"/>
          <w:sz w:val="24"/>
          <w:highlight w:val="none"/>
        </w:rPr>
      </w:pPr>
      <w:r>
        <w:rPr>
          <w:rFonts w:hint="eastAsia" w:ascii="宋体" w:hAnsi="宋体" w:cs="仿宋_GB2312"/>
          <w:color w:val="auto"/>
          <w:sz w:val="24"/>
          <w:highlight w:val="none"/>
        </w:rPr>
        <w:t>供应商（盖公章）：</w:t>
      </w:r>
    </w:p>
    <w:p w14:paraId="621484AE">
      <w:pPr>
        <w:snapToGrid w:val="0"/>
        <w:spacing w:before="156" w:beforeLines="50" w:after="50" w:line="360" w:lineRule="auto"/>
        <w:ind w:firstLine="4080" w:firstLineChars="1700"/>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6E3AEF3">
      <w:pPr>
        <w:snapToGrid w:val="0"/>
        <w:spacing w:before="156" w:beforeLines="50" w:after="50" w:line="360" w:lineRule="auto"/>
        <w:jc w:val="center"/>
        <w:rPr>
          <w:rFonts w:hint="eastAsia" w:ascii="宋体" w:hAnsi="宋体" w:cs="仿宋_GB2312"/>
          <w:b/>
          <w:color w:val="auto"/>
          <w:sz w:val="24"/>
          <w:highlight w:val="none"/>
        </w:rPr>
      </w:pPr>
    </w:p>
    <w:p w14:paraId="41123AA2">
      <w:pPr>
        <w:snapToGrid w:val="0"/>
        <w:spacing w:before="156" w:beforeLines="50" w:after="50" w:line="360" w:lineRule="auto"/>
        <w:jc w:val="left"/>
        <w:rPr>
          <w:rFonts w:hint="eastAsia" w:ascii="宋体" w:hAnsi="宋体" w:cs="仿宋_GB2312"/>
          <w:color w:val="auto"/>
          <w:sz w:val="24"/>
          <w:highlight w:val="none"/>
        </w:rPr>
      </w:pPr>
    </w:p>
    <w:p w14:paraId="4C540EE6">
      <w:pPr>
        <w:snapToGrid w:val="0"/>
        <w:spacing w:before="156" w:beforeLines="50" w:after="50" w:line="360" w:lineRule="auto"/>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4E9EF133">
      <w:pPr>
        <w:snapToGrid w:val="0"/>
        <w:spacing w:before="156" w:beforeLines="50" w:after="50" w:line="360" w:lineRule="auto"/>
        <w:ind w:firstLine="480" w:firstLineChars="200"/>
        <w:jc w:val="left"/>
        <w:rPr>
          <w:rFonts w:hint="eastAsia" w:ascii="宋体" w:hAnsi="宋体" w:cs="仿宋_GB2312"/>
          <w:b/>
          <w:color w:val="auto"/>
          <w:sz w:val="32"/>
          <w:szCs w:val="32"/>
          <w:highlight w:val="non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CFD4861">
      <w:pPr>
        <w:adjustRightInd w:val="0"/>
        <w:snapToGrid w:val="0"/>
        <w:spacing w:line="300" w:lineRule="auto"/>
        <w:jc w:val="left"/>
        <w:rPr>
          <w:rFonts w:hint="eastAsia" w:ascii="宋体" w:hAnsi="宋体"/>
          <w:b/>
          <w:color w:val="auto"/>
          <w:szCs w:val="21"/>
          <w:highlight w:val="none"/>
        </w:rPr>
      </w:pPr>
    </w:p>
    <w:p w14:paraId="4C302302">
      <w:pPr>
        <w:spacing w:line="500" w:lineRule="exact"/>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br w:type="page"/>
      </w:r>
    </w:p>
    <w:p w14:paraId="22C60E4A">
      <w:pPr>
        <w:spacing w:line="520" w:lineRule="exact"/>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法定代表人授权委托书（非联合体竞标格式）</w:t>
      </w:r>
    </w:p>
    <w:p w14:paraId="50ADE70A">
      <w:pPr>
        <w:spacing w:line="520" w:lineRule="exact"/>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（如有委托时）</w:t>
      </w:r>
    </w:p>
    <w:p w14:paraId="359F43FE">
      <w:pPr>
        <w:spacing w:line="520" w:lineRule="exact"/>
        <w:rPr>
          <w:rFonts w:hint="eastAsia" w:ascii="宋体" w:hAnsi="宋体" w:cs="仿宋_GB2312"/>
          <w:color w:val="auto"/>
          <w:sz w:val="32"/>
          <w:szCs w:val="32"/>
          <w:highlight w:val="none"/>
        </w:rPr>
      </w:pPr>
    </w:p>
    <w:p w14:paraId="2E1688C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7F89E5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086184D">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40A0821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7DA230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5C7723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1F50601">
      <w:pPr>
        <w:spacing w:line="360" w:lineRule="auto"/>
        <w:rPr>
          <w:rFonts w:hint="eastAsia" w:ascii="宋体" w:hAnsi="宋体" w:cs="仿宋_GB2312"/>
          <w:color w:val="auto"/>
          <w:sz w:val="24"/>
          <w:highlight w:val="none"/>
        </w:rPr>
      </w:pPr>
    </w:p>
    <w:p w14:paraId="555F9DF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                    </w:t>
      </w:r>
    </w:p>
    <w:p w14:paraId="7B7AAF9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587C36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06DE972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供应商（盖公章）：                      </w:t>
      </w:r>
    </w:p>
    <w:p w14:paraId="294591E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5ADC78CA">
      <w:pPr>
        <w:spacing w:line="360" w:lineRule="auto"/>
        <w:rPr>
          <w:rFonts w:hint="eastAsia" w:ascii="宋体" w:hAnsi="宋体" w:cs="仿宋_GB2312"/>
          <w:color w:val="auto"/>
          <w:sz w:val="24"/>
          <w:highlight w:val="none"/>
        </w:rPr>
      </w:pPr>
    </w:p>
    <w:p w14:paraId="6E137916">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注：1.法定代表人和委托代理人必须在授权委托书上亲笔签名，不得使用印章、签名章或者其他电子制版签名代替；</w:t>
      </w:r>
    </w:p>
    <w:p w14:paraId="5082DDE6">
      <w:pPr>
        <w:spacing w:line="360" w:lineRule="auto"/>
        <w:ind w:firstLine="480" w:firstLineChars="200"/>
        <w:jc w:val="left"/>
        <w:rPr>
          <w:rFonts w:hint="eastAsia" w:ascii="宋体" w:hAnsi="宋体" w:cs="仿宋_GB2312"/>
          <w:color w:val="auto"/>
          <w:szCs w:val="21"/>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cs="仿宋_GB2312"/>
          <w:color w:val="auto"/>
          <w:szCs w:val="21"/>
          <w:highlight w:val="none"/>
        </w:rPr>
        <w:t xml:space="preserve"> </w:t>
      </w:r>
    </w:p>
    <w:p w14:paraId="515E0DBB">
      <w:pPr>
        <w:spacing w:line="500" w:lineRule="exact"/>
        <w:jc w:val="center"/>
        <w:rPr>
          <w:rFonts w:hint="eastAsia" w:ascii="宋体" w:hAnsi="宋体" w:cs="方正小标宋简体"/>
          <w:bCs/>
          <w:color w:val="auto"/>
          <w:sz w:val="44"/>
          <w:szCs w:val="44"/>
          <w:highlight w:val="none"/>
        </w:rPr>
      </w:pPr>
      <w:r>
        <w:rPr>
          <w:rFonts w:hint="eastAsia" w:ascii="宋体" w:hAnsi="宋体" w:cs="仿宋_GB2312"/>
          <w:color w:val="auto"/>
          <w:sz w:val="32"/>
          <w:szCs w:val="32"/>
          <w:highlight w:val="none"/>
        </w:rPr>
        <w:br w:type="page"/>
      </w:r>
      <w:r>
        <w:rPr>
          <w:rFonts w:hint="eastAsia" w:ascii="宋体" w:hAnsi="宋体" w:cs="方正小标宋简体"/>
          <w:bCs/>
          <w:color w:val="auto"/>
          <w:sz w:val="44"/>
          <w:szCs w:val="44"/>
          <w:highlight w:val="none"/>
        </w:rPr>
        <w:t>商务条款偏离表格式</w:t>
      </w:r>
    </w:p>
    <w:p w14:paraId="625E3A85">
      <w:pPr>
        <w:spacing w:line="500" w:lineRule="exact"/>
        <w:jc w:val="center"/>
        <w:rPr>
          <w:rFonts w:hint="eastAsia" w:ascii="宋体" w:hAnsi="宋体"/>
          <w:b/>
          <w:color w:val="auto"/>
          <w:sz w:val="32"/>
          <w:szCs w:val="32"/>
          <w:highlight w:val="none"/>
        </w:rPr>
      </w:pPr>
      <w:r>
        <w:rPr>
          <w:rFonts w:hint="eastAsia" w:ascii="宋体" w:hAnsi="宋体" w:cs="方正小标宋简体"/>
          <w:bCs/>
          <w:color w:val="auto"/>
          <w:sz w:val="44"/>
          <w:szCs w:val="44"/>
          <w:highlight w:val="none"/>
        </w:rPr>
        <w:t>(注：按采购需求具体条款修改)</w:t>
      </w:r>
    </w:p>
    <w:p w14:paraId="516F4E55">
      <w:pPr>
        <w:snapToGrid w:val="0"/>
        <w:spacing w:before="50"/>
        <w:jc w:val="left"/>
        <w:rPr>
          <w:rFonts w:hint="eastAsia" w:ascii="宋体" w:hAnsi="宋体"/>
          <w:color w:val="auto"/>
          <w:sz w:val="24"/>
          <w:highlight w:val="none"/>
        </w:rPr>
      </w:pPr>
    </w:p>
    <w:p w14:paraId="01276F5B">
      <w:pPr>
        <w:pStyle w:val="15"/>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14:paraId="5552E49C">
      <w:pPr>
        <w:snapToGrid w:val="0"/>
        <w:spacing w:before="50" w:line="360" w:lineRule="auto"/>
        <w:jc w:val="left"/>
        <w:rPr>
          <w:rFonts w:hint="eastAsia" w:ascii="宋体" w:hAnsi="宋体" w:cs="仿宋_GB2312"/>
          <w:color w:val="auto"/>
          <w:sz w:val="24"/>
          <w:highlight w:val="none"/>
          <w:u w:val="single"/>
        </w:rPr>
      </w:pPr>
    </w:p>
    <w:tbl>
      <w:tblPr>
        <w:tblStyle w:val="27"/>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2100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F635414">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0337996">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410B676">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供应商的承诺</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422056F">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2D48E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14BBB4B">
            <w:pPr>
              <w:snapToGrid w:val="0"/>
              <w:spacing w:before="156" w:beforeLines="50" w:line="360" w:lineRule="auto"/>
              <w:jc w:val="center"/>
              <w:rPr>
                <w:rFonts w:hint="eastAsia" w:ascii="宋体" w:hAnsi="宋体" w:cs="仿宋_GB2312"/>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39113C0">
            <w:pPr>
              <w:snapToGrid w:val="0"/>
              <w:spacing w:before="156" w:beforeLines="50" w:line="360" w:lineRule="auto"/>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6AC3BE0">
            <w:pPr>
              <w:snapToGrid w:val="0"/>
              <w:spacing w:before="156" w:beforeLines="50" w:line="360" w:lineRule="auto"/>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48201D4">
            <w:pPr>
              <w:snapToGrid w:val="0"/>
              <w:spacing w:before="156" w:beforeLines="50" w:line="360" w:lineRule="auto"/>
              <w:jc w:val="center"/>
              <w:rPr>
                <w:rFonts w:hint="eastAsia" w:ascii="宋体" w:hAnsi="宋体" w:cs="仿宋_GB2312"/>
                <w:color w:val="auto"/>
                <w:sz w:val="24"/>
                <w:highlight w:val="none"/>
              </w:rPr>
            </w:pPr>
          </w:p>
        </w:tc>
      </w:tr>
      <w:tr w14:paraId="70BDD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E056719">
            <w:pPr>
              <w:snapToGrid w:val="0"/>
              <w:spacing w:before="156" w:beforeLines="50" w:line="360" w:lineRule="auto"/>
              <w:jc w:val="center"/>
              <w:rPr>
                <w:rFonts w:hint="eastAsia" w:ascii="宋体" w:hAnsi="宋体" w:cs="仿宋_GB2312"/>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7C5833C">
            <w:pPr>
              <w:snapToGrid w:val="0"/>
              <w:spacing w:before="156" w:beforeLines="50" w:line="360" w:lineRule="auto"/>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27DF691">
            <w:pPr>
              <w:snapToGrid w:val="0"/>
              <w:spacing w:before="156" w:beforeLines="50" w:line="360" w:lineRule="auto"/>
              <w:ind w:left="43"/>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3AA350A">
            <w:pPr>
              <w:snapToGrid w:val="0"/>
              <w:spacing w:before="156" w:beforeLines="50" w:line="360" w:lineRule="auto"/>
              <w:ind w:left="43"/>
              <w:jc w:val="center"/>
              <w:rPr>
                <w:rFonts w:hint="eastAsia" w:ascii="宋体" w:hAnsi="宋体" w:cs="仿宋_GB2312"/>
                <w:color w:val="auto"/>
                <w:sz w:val="24"/>
                <w:highlight w:val="none"/>
              </w:rPr>
            </w:pPr>
          </w:p>
        </w:tc>
      </w:tr>
      <w:tr w14:paraId="52B72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4BAD05E">
            <w:pPr>
              <w:snapToGrid w:val="0"/>
              <w:spacing w:before="156" w:beforeLines="50" w:line="360" w:lineRule="auto"/>
              <w:jc w:val="center"/>
              <w:rPr>
                <w:rFonts w:hint="eastAsia" w:ascii="宋体" w:hAnsi="宋体" w:cs="仿宋_GB2312"/>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7A90F83">
            <w:pPr>
              <w:snapToGrid w:val="0"/>
              <w:spacing w:before="156" w:beforeLines="50" w:line="360" w:lineRule="auto"/>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CC59984">
            <w:pPr>
              <w:snapToGrid w:val="0"/>
              <w:spacing w:before="156" w:beforeLines="50" w:line="360" w:lineRule="auto"/>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580F593">
            <w:pPr>
              <w:snapToGrid w:val="0"/>
              <w:spacing w:before="156" w:beforeLines="50" w:line="360" w:lineRule="auto"/>
              <w:jc w:val="center"/>
              <w:rPr>
                <w:rFonts w:hint="eastAsia" w:ascii="宋体" w:hAnsi="宋体" w:cs="仿宋_GB2312"/>
                <w:color w:val="auto"/>
                <w:sz w:val="24"/>
                <w:highlight w:val="none"/>
              </w:rPr>
            </w:pPr>
          </w:p>
        </w:tc>
      </w:tr>
      <w:tr w14:paraId="143A3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3B771E9">
            <w:pPr>
              <w:snapToGrid w:val="0"/>
              <w:spacing w:before="156" w:beforeLines="50"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6B97685">
            <w:pPr>
              <w:snapToGrid w:val="0"/>
              <w:spacing w:before="156" w:beforeLines="50" w:line="360" w:lineRule="auto"/>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2097BDA">
            <w:pPr>
              <w:snapToGrid w:val="0"/>
              <w:spacing w:before="156" w:beforeLines="50" w:line="360" w:lineRule="auto"/>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103DD43">
            <w:pPr>
              <w:snapToGrid w:val="0"/>
              <w:spacing w:before="156" w:beforeLines="50" w:line="360" w:lineRule="auto"/>
              <w:jc w:val="center"/>
              <w:rPr>
                <w:rFonts w:hint="eastAsia" w:ascii="宋体" w:hAnsi="宋体" w:cs="仿宋_GB2312"/>
                <w:color w:val="auto"/>
                <w:sz w:val="24"/>
                <w:highlight w:val="none"/>
              </w:rPr>
            </w:pPr>
          </w:p>
        </w:tc>
      </w:tr>
    </w:tbl>
    <w:p w14:paraId="492397FF">
      <w:pPr>
        <w:pStyle w:val="11"/>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289CF734">
      <w:pPr>
        <w:pStyle w:val="11"/>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采购需求”中的商务条款逐条实质性响应，并作出偏离说明。</w:t>
      </w:r>
    </w:p>
    <w:p w14:paraId="23B82F0F">
      <w:pPr>
        <w:snapToGrid w:val="0"/>
        <w:spacing w:before="50" w:line="360" w:lineRule="auto"/>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42130662">
      <w:pPr>
        <w:snapToGrid w:val="0"/>
        <w:spacing w:before="50" w:after="50" w:line="360" w:lineRule="auto"/>
        <w:ind w:right="-817" w:rightChars="-389"/>
        <w:rPr>
          <w:rFonts w:hint="eastAsia" w:ascii="宋体" w:hAnsi="宋体" w:cs="仿宋_GB2312"/>
          <w:color w:val="auto"/>
          <w:sz w:val="24"/>
          <w:highlight w:val="none"/>
        </w:rPr>
      </w:pPr>
    </w:p>
    <w:p w14:paraId="55FC7C47">
      <w:pPr>
        <w:snapToGrid w:val="0"/>
        <w:spacing w:before="50" w:after="50" w:line="360" w:lineRule="auto"/>
        <w:ind w:right="-817" w:rightChars="-389" w:firstLine="960" w:firstLineChars="400"/>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28E0E6BC">
      <w:pPr>
        <w:snapToGrid w:val="0"/>
        <w:spacing w:before="50" w:after="50" w:line="360" w:lineRule="auto"/>
        <w:ind w:right="-817" w:rightChars="-389" w:firstLine="2640" w:firstLineChars="1100"/>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4FB2C54E">
      <w:pPr>
        <w:snapToGrid w:val="0"/>
        <w:spacing w:before="50" w:after="50" w:line="360" w:lineRule="auto"/>
        <w:ind w:right="-817" w:rightChars="-389" w:firstLine="4080" w:firstLineChars="1700"/>
        <w:rPr>
          <w:rFonts w:hint="eastAsia" w:ascii="宋体" w:hAnsi="宋体" w:cs="仿宋_GB2312"/>
          <w:b/>
          <w:color w:val="auto"/>
          <w:sz w:val="32"/>
          <w:szCs w:val="32"/>
          <w:highlight w:val="none"/>
        </w:rPr>
      </w:pPr>
      <w:r>
        <w:rPr>
          <w:rFonts w:hint="eastAsia" w:ascii="宋体" w:hAnsi="宋体" w:cs="仿宋_GB2312"/>
          <w:color w:val="auto"/>
          <w:sz w:val="24"/>
          <w:highlight w:val="none"/>
        </w:rPr>
        <w:t>日期：   年   月   日</w:t>
      </w:r>
    </w:p>
    <w:p w14:paraId="0A4CAB8B">
      <w:pPr>
        <w:adjustRightInd w:val="0"/>
        <w:snapToGrid w:val="0"/>
        <w:spacing w:line="520" w:lineRule="exact"/>
        <w:ind w:firstLine="7040" w:firstLineChars="1600"/>
        <w:jc w:val="center"/>
        <w:rPr>
          <w:rFonts w:hint="eastAsia" w:ascii="宋体" w:hAnsi="宋体" w:cs="方正小标宋简体"/>
          <w:bCs/>
          <w:color w:val="auto"/>
          <w:sz w:val="44"/>
          <w:szCs w:val="44"/>
          <w:highlight w:val="none"/>
        </w:rPr>
      </w:pPr>
    </w:p>
    <w:p w14:paraId="14E071E9">
      <w:pPr>
        <w:adjustRightInd w:val="0"/>
        <w:snapToGrid w:val="0"/>
        <w:spacing w:line="520" w:lineRule="exact"/>
        <w:ind w:firstLine="7040" w:firstLineChars="1600"/>
        <w:jc w:val="center"/>
        <w:rPr>
          <w:rFonts w:hint="eastAsia" w:ascii="宋体" w:hAnsi="宋体" w:cs="方正小标宋简体"/>
          <w:bCs/>
          <w:color w:val="auto"/>
          <w:sz w:val="44"/>
          <w:szCs w:val="44"/>
          <w:highlight w:val="none"/>
        </w:rPr>
      </w:pPr>
    </w:p>
    <w:p w14:paraId="39C502E3">
      <w:pPr>
        <w:adjustRightInd w:val="0"/>
        <w:snapToGrid w:val="0"/>
        <w:spacing w:line="520" w:lineRule="exact"/>
        <w:ind w:firstLine="7040" w:firstLineChars="1600"/>
        <w:jc w:val="center"/>
        <w:rPr>
          <w:rFonts w:hint="eastAsia" w:ascii="宋体" w:hAnsi="宋体" w:cs="方正小标宋简体"/>
          <w:bCs/>
          <w:color w:val="auto"/>
          <w:sz w:val="44"/>
          <w:szCs w:val="44"/>
          <w:highlight w:val="none"/>
        </w:rPr>
      </w:pPr>
    </w:p>
    <w:p w14:paraId="7D110A34">
      <w:pPr>
        <w:adjustRightInd w:val="0"/>
        <w:snapToGrid w:val="0"/>
        <w:spacing w:line="520" w:lineRule="exact"/>
        <w:ind w:firstLine="7040" w:firstLineChars="1600"/>
        <w:jc w:val="center"/>
        <w:rPr>
          <w:rFonts w:hint="eastAsia" w:ascii="宋体" w:hAnsi="宋体" w:cs="方正小标宋简体"/>
          <w:bCs/>
          <w:color w:val="auto"/>
          <w:sz w:val="44"/>
          <w:szCs w:val="44"/>
          <w:highlight w:val="none"/>
        </w:rPr>
      </w:pPr>
    </w:p>
    <w:p w14:paraId="061E81A9">
      <w:pPr>
        <w:adjustRightInd w:val="0"/>
        <w:snapToGrid w:val="0"/>
        <w:spacing w:line="520" w:lineRule="exact"/>
        <w:rPr>
          <w:rFonts w:hint="eastAsia" w:ascii="宋体" w:hAnsi="宋体"/>
          <w:color w:val="auto"/>
          <w:szCs w:val="21"/>
          <w:highlight w:val="none"/>
          <w:u w:val="single"/>
        </w:rPr>
      </w:pPr>
    </w:p>
    <w:p w14:paraId="1BC00EFC">
      <w:pPr>
        <w:adjustRightInd w:val="0"/>
        <w:snapToGrid w:val="0"/>
        <w:spacing w:line="300" w:lineRule="auto"/>
        <w:jc w:val="center"/>
        <w:rPr>
          <w:rFonts w:hint="eastAsia" w:ascii="宋体" w:hAnsi="宋体" w:cs="方正小标宋简体"/>
          <w:bCs/>
          <w:color w:val="auto"/>
          <w:sz w:val="44"/>
          <w:szCs w:val="44"/>
          <w:highlight w:val="none"/>
        </w:rPr>
      </w:pPr>
      <w:r>
        <w:rPr>
          <w:rFonts w:ascii="宋体" w:hAnsi="宋体" w:cs="方正小标宋简体"/>
          <w:bCs/>
          <w:color w:val="auto"/>
          <w:sz w:val="44"/>
          <w:szCs w:val="44"/>
          <w:highlight w:val="none"/>
        </w:rPr>
        <w:br w:type="page"/>
      </w:r>
      <w:r>
        <w:rPr>
          <w:rFonts w:hint="eastAsia" w:ascii="宋体" w:hAnsi="宋体" w:cs="方正小标宋简体"/>
          <w:bCs/>
          <w:color w:val="auto"/>
          <w:sz w:val="44"/>
          <w:szCs w:val="44"/>
          <w:highlight w:val="none"/>
        </w:rPr>
        <w:t>技术需求偏离表</w:t>
      </w:r>
    </w:p>
    <w:p w14:paraId="0651B348">
      <w:pPr>
        <w:spacing w:line="520" w:lineRule="exact"/>
        <w:rPr>
          <w:rFonts w:hint="eastAsia" w:ascii="宋体" w:hAnsi="宋体" w:cs="仿宋_GB2312"/>
          <w:color w:val="auto"/>
          <w:sz w:val="32"/>
          <w:szCs w:val="32"/>
          <w:highlight w:val="none"/>
        </w:rPr>
      </w:pPr>
    </w:p>
    <w:p w14:paraId="6062BA3D">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8467A0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2497E83C">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p w14:paraId="644CE33F">
      <w:pPr>
        <w:rPr>
          <w:rFonts w:hint="eastAsia" w:ascii="宋体" w:hAnsi="宋体"/>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
        <w:gridCol w:w="915"/>
        <w:gridCol w:w="3038"/>
        <w:gridCol w:w="2735"/>
        <w:gridCol w:w="1492"/>
      </w:tblGrid>
      <w:tr w14:paraId="7D2C00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62B749BC">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72" w:name="_Toc383699906"/>
            <w:bookmarkStart w:id="73" w:name="_Toc373333689"/>
            <w:bookmarkStart w:id="74" w:name="_Toc297193185"/>
            <w:bookmarkStart w:id="75" w:name="_Toc295404981"/>
            <w:bookmarkStart w:id="76" w:name="_Toc173066401"/>
            <w:bookmarkStart w:id="77" w:name="_Toc301781611"/>
            <w:bookmarkStart w:id="78" w:name="_Toc173211900"/>
            <w:bookmarkStart w:id="79" w:name="_Toc254970588"/>
            <w:bookmarkStart w:id="80" w:name="_Toc254970729"/>
            <w:r>
              <w:rPr>
                <w:rFonts w:hint="eastAsia" w:ascii="宋体" w:hAnsi="宋体" w:eastAsia="宋体" w:cs="仿宋_GB2312"/>
                <w:color w:val="auto"/>
                <w:kern w:val="2"/>
                <w:sz w:val="24"/>
                <w:szCs w:val="24"/>
                <w:highlight w:val="none"/>
              </w:rPr>
              <w:t>序号</w:t>
            </w:r>
            <w:bookmarkEnd w:id="72"/>
            <w:bookmarkEnd w:id="73"/>
            <w:bookmarkEnd w:id="74"/>
            <w:bookmarkEnd w:id="75"/>
            <w:bookmarkEnd w:id="76"/>
            <w:bookmarkEnd w:id="77"/>
            <w:bookmarkEnd w:id="78"/>
            <w:bookmarkEnd w:id="79"/>
            <w:bookmarkEnd w:id="80"/>
          </w:p>
        </w:tc>
        <w:tc>
          <w:tcPr>
            <w:tcW w:w="915" w:type="dxa"/>
            <w:tcBorders>
              <w:right w:val="single" w:color="auto" w:sz="4" w:space="0"/>
            </w:tcBorders>
            <w:noWrap w:val="0"/>
            <w:vAlign w:val="center"/>
          </w:tcPr>
          <w:p w14:paraId="0F643151">
            <w:pPr>
              <w:pStyle w:val="13"/>
              <w:spacing w:line="360" w:lineRule="auto"/>
              <w:ind w:firstLine="0" w:firstLineChars="0"/>
              <w:jc w:val="center"/>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标的名称</w:t>
            </w:r>
          </w:p>
        </w:tc>
        <w:tc>
          <w:tcPr>
            <w:tcW w:w="3038" w:type="dxa"/>
            <w:tcBorders>
              <w:left w:val="single" w:color="auto" w:sz="4" w:space="0"/>
            </w:tcBorders>
            <w:noWrap w:val="0"/>
            <w:vAlign w:val="center"/>
          </w:tcPr>
          <w:p w14:paraId="688DDAE3">
            <w:pPr>
              <w:pStyle w:val="13"/>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磋商文件技术需求</w:t>
            </w:r>
          </w:p>
        </w:tc>
        <w:tc>
          <w:tcPr>
            <w:tcW w:w="2735" w:type="dxa"/>
            <w:noWrap w:val="0"/>
            <w:vAlign w:val="center"/>
          </w:tcPr>
          <w:p w14:paraId="1B1E33F8">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81" w:name="_Toc254970590"/>
            <w:bookmarkStart w:id="82" w:name="_Toc173066403"/>
            <w:bookmarkStart w:id="83" w:name="_Toc383699908"/>
            <w:bookmarkStart w:id="84" w:name="_Toc301781613"/>
            <w:bookmarkStart w:id="85" w:name="_Toc173211902"/>
            <w:bookmarkStart w:id="86" w:name="_Toc297193187"/>
            <w:bookmarkStart w:id="87" w:name="_Toc373333691"/>
            <w:bookmarkStart w:id="88" w:name="_Toc254970731"/>
            <w:bookmarkStart w:id="89" w:name="_Toc295404983"/>
            <w:r>
              <w:rPr>
                <w:rFonts w:hint="eastAsia" w:ascii="宋体" w:hAnsi="宋体" w:eastAsia="宋体" w:cs="仿宋_GB2312"/>
                <w:color w:val="auto"/>
                <w:kern w:val="2"/>
                <w:sz w:val="24"/>
                <w:szCs w:val="24"/>
                <w:highlight w:val="none"/>
              </w:rPr>
              <w:t>竞标响应</w:t>
            </w:r>
            <w:bookmarkEnd w:id="81"/>
            <w:bookmarkEnd w:id="82"/>
            <w:bookmarkEnd w:id="83"/>
            <w:bookmarkEnd w:id="84"/>
            <w:bookmarkEnd w:id="85"/>
            <w:bookmarkEnd w:id="86"/>
            <w:bookmarkEnd w:id="87"/>
            <w:bookmarkEnd w:id="88"/>
            <w:bookmarkEnd w:id="89"/>
          </w:p>
        </w:tc>
        <w:tc>
          <w:tcPr>
            <w:tcW w:w="1492" w:type="dxa"/>
            <w:noWrap w:val="0"/>
            <w:vAlign w:val="center"/>
          </w:tcPr>
          <w:p w14:paraId="10F42F2F">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90" w:name="_Toc297193188"/>
            <w:bookmarkStart w:id="91" w:name="_Toc301781614"/>
            <w:bookmarkStart w:id="92" w:name="_Toc254970732"/>
            <w:bookmarkStart w:id="93" w:name="_Toc383699909"/>
            <w:bookmarkStart w:id="94" w:name="_Toc173211903"/>
            <w:bookmarkStart w:id="95" w:name="_Toc373333692"/>
            <w:bookmarkStart w:id="96" w:name="_Toc295404984"/>
            <w:bookmarkStart w:id="97" w:name="_Toc173066404"/>
            <w:bookmarkStart w:id="98" w:name="_Toc254970591"/>
            <w:r>
              <w:rPr>
                <w:rFonts w:hint="eastAsia" w:ascii="宋体" w:hAnsi="宋体" w:eastAsia="宋体" w:cs="仿宋_GB2312"/>
                <w:color w:val="auto"/>
                <w:kern w:val="2"/>
                <w:sz w:val="24"/>
                <w:szCs w:val="24"/>
                <w:highlight w:val="none"/>
              </w:rPr>
              <w:t>偏离</w:t>
            </w:r>
            <w:bookmarkEnd w:id="90"/>
            <w:bookmarkEnd w:id="91"/>
            <w:bookmarkEnd w:id="92"/>
            <w:bookmarkEnd w:id="93"/>
            <w:bookmarkEnd w:id="94"/>
            <w:bookmarkEnd w:id="95"/>
            <w:bookmarkEnd w:id="96"/>
            <w:bookmarkEnd w:id="97"/>
            <w:bookmarkEnd w:id="98"/>
            <w:bookmarkStart w:id="99" w:name="_Toc295404985"/>
            <w:bookmarkStart w:id="100" w:name="_Toc173211904"/>
            <w:bookmarkStart w:id="101" w:name="_Toc173066405"/>
            <w:bookmarkStart w:id="102" w:name="_Toc254970733"/>
            <w:bookmarkStart w:id="103" w:name="_Toc383699910"/>
            <w:bookmarkStart w:id="104" w:name="_Toc301781615"/>
            <w:bookmarkStart w:id="105" w:name="_Toc254970592"/>
            <w:bookmarkStart w:id="106" w:name="_Toc373333693"/>
            <w:bookmarkStart w:id="107" w:name="_Toc297193189"/>
            <w:r>
              <w:rPr>
                <w:rFonts w:hint="eastAsia" w:ascii="宋体" w:hAnsi="宋体" w:eastAsia="宋体" w:cs="仿宋_GB2312"/>
                <w:color w:val="auto"/>
                <w:kern w:val="2"/>
                <w:sz w:val="24"/>
                <w:szCs w:val="24"/>
                <w:highlight w:val="none"/>
              </w:rPr>
              <w:t>说明</w:t>
            </w:r>
            <w:bookmarkEnd w:id="99"/>
            <w:bookmarkEnd w:id="100"/>
            <w:bookmarkEnd w:id="101"/>
            <w:bookmarkEnd w:id="102"/>
            <w:bookmarkEnd w:id="103"/>
            <w:bookmarkEnd w:id="104"/>
            <w:bookmarkEnd w:id="105"/>
            <w:bookmarkEnd w:id="106"/>
            <w:bookmarkEnd w:id="107"/>
          </w:p>
        </w:tc>
      </w:tr>
      <w:tr w14:paraId="1D7D70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48AFC2DF">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108" w:name="_Toc254970734"/>
            <w:bookmarkStart w:id="109" w:name="_Toc373333694"/>
            <w:bookmarkStart w:id="110" w:name="_Toc297193190"/>
            <w:bookmarkStart w:id="111" w:name="_Toc173211905"/>
            <w:bookmarkStart w:id="112" w:name="_Toc383699911"/>
            <w:bookmarkStart w:id="113" w:name="_Toc254970593"/>
            <w:bookmarkStart w:id="114" w:name="_Toc301781616"/>
            <w:bookmarkStart w:id="115" w:name="_Toc295404986"/>
            <w:bookmarkStart w:id="116" w:name="_Toc173066406"/>
            <w:r>
              <w:rPr>
                <w:rFonts w:hint="eastAsia" w:ascii="宋体" w:hAnsi="宋体" w:eastAsia="宋体" w:cs="仿宋_GB2312"/>
                <w:color w:val="auto"/>
                <w:kern w:val="2"/>
                <w:sz w:val="24"/>
                <w:szCs w:val="24"/>
                <w:highlight w:val="none"/>
              </w:rPr>
              <w:t>1</w:t>
            </w:r>
            <w:bookmarkEnd w:id="108"/>
            <w:bookmarkEnd w:id="109"/>
            <w:bookmarkEnd w:id="110"/>
            <w:bookmarkEnd w:id="111"/>
            <w:bookmarkEnd w:id="112"/>
            <w:bookmarkEnd w:id="113"/>
            <w:bookmarkEnd w:id="114"/>
            <w:bookmarkEnd w:id="115"/>
            <w:bookmarkEnd w:id="116"/>
          </w:p>
        </w:tc>
        <w:tc>
          <w:tcPr>
            <w:tcW w:w="915" w:type="dxa"/>
            <w:tcBorders>
              <w:right w:val="single" w:color="auto" w:sz="4" w:space="0"/>
            </w:tcBorders>
            <w:noWrap w:val="0"/>
            <w:vAlign w:val="center"/>
          </w:tcPr>
          <w:p w14:paraId="4F28D57E">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37EC1DCB">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2735" w:type="dxa"/>
            <w:noWrap w:val="0"/>
            <w:vAlign w:val="center"/>
          </w:tcPr>
          <w:p w14:paraId="46F75417">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1492" w:type="dxa"/>
            <w:noWrap w:val="0"/>
            <w:vAlign w:val="center"/>
          </w:tcPr>
          <w:p w14:paraId="4CDECE71">
            <w:pPr>
              <w:pStyle w:val="13"/>
              <w:spacing w:line="360" w:lineRule="auto"/>
              <w:ind w:firstLine="0" w:firstLineChars="0"/>
              <w:jc w:val="center"/>
              <w:rPr>
                <w:rFonts w:hint="eastAsia" w:ascii="宋体" w:hAnsi="宋体" w:eastAsia="宋体" w:cs="仿宋_GB2312"/>
                <w:color w:val="auto"/>
                <w:kern w:val="2"/>
                <w:sz w:val="24"/>
                <w:szCs w:val="24"/>
                <w:highlight w:val="none"/>
              </w:rPr>
            </w:pPr>
          </w:p>
        </w:tc>
      </w:tr>
      <w:tr w14:paraId="35E484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046FE53A">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117" w:name="_Toc173066407"/>
            <w:bookmarkStart w:id="118" w:name="_Toc173211906"/>
            <w:bookmarkStart w:id="119" w:name="_Toc254970735"/>
            <w:bookmarkStart w:id="120" w:name="_Toc373333695"/>
            <w:bookmarkStart w:id="121" w:name="_Toc297193191"/>
            <w:bookmarkStart w:id="122" w:name="_Toc295404987"/>
            <w:bookmarkStart w:id="123" w:name="_Toc254970594"/>
            <w:bookmarkStart w:id="124" w:name="_Toc383699912"/>
            <w:bookmarkStart w:id="125" w:name="_Toc301781617"/>
            <w:r>
              <w:rPr>
                <w:rFonts w:hint="eastAsia" w:ascii="宋体" w:hAnsi="宋体" w:eastAsia="宋体" w:cs="仿宋_GB2312"/>
                <w:color w:val="auto"/>
                <w:kern w:val="2"/>
                <w:sz w:val="24"/>
                <w:szCs w:val="24"/>
                <w:highlight w:val="none"/>
              </w:rPr>
              <w:t>2</w:t>
            </w:r>
            <w:bookmarkEnd w:id="117"/>
            <w:bookmarkEnd w:id="118"/>
            <w:bookmarkEnd w:id="119"/>
            <w:bookmarkEnd w:id="120"/>
            <w:bookmarkEnd w:id="121"/>
            <w:bookmarkEnd w:id="122"/>
            <w:bookmarkEnd w:id="123"/>
            <w:bookmarkEnd w:id="124"/>
            <w:bookmarkEnd w:id="125"/>
          </w:p>
        </w:tc>
        <w:tc>
          <w:tcPr>
            <w:tcW w:w="915" w:type="dxa"/>
            <w:tcBorders>
              <w:right w:val="single" w:color="auto" w:sz="4" w:space="0"/>
            </w:tcBorders>
            <w:noWrap w:val="0"/>
            <w:vAlign w:val="center"/>
          </w:tcPr>
          <w:p w14:paraId="42947AB1">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0F1C3AE5">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2735" w:type="dxa"/>
            <w:noWrap w:val="0"/>
            <w:vAlign w:val="center"/>
          </w:tcPr>
          <w:p w14:paraId="1A171D60">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1492" w:type="dxa"/>
            <w:noWrap w:val="0"/>
            <w:vAlign w:val="center"/>
          </w:tcPr>
          <w:p w14:paraId="109998B0">
            <w:pPr>
              <w:pStyle w:val="13"/>
              <w:spacing w:line="360" w:lineRule="auto"/>
              <w:ind w:firstLine="0" w:firstLineChars="0"/>
              <w:jc w:val="center"/>
              <w:rPr>
                <w:rFonts w:hint="eastAsia" w:ascii="宋体" w:hAnsi="宋体" w:eastAsia="宋体" w:cs="仿宋_GB2312"/>
                <w:color w:val="auto"/>
                <w:kern w:val="2"/>
                <w:sz w:val="24"/>
                <w:szCs w:val="24"/>
                <w:highlight w:val="none"/>
              </w:rPr>
            </w:pPr>
          </w:p>
        </w:tc>
      </w:tr>
      <w:tr w14:paraId="69C3D5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24470098">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126" w:name="_Toc297193192"/>
            <w:bookmarkStart w:id="127" w:name="_Toc383699913"/>
            <w:bookmarkStart w:id="128" w:name="_Toc295404988"/>
            <w:bookmarkStart w:id="129" w:name="_Toc173066408"/>
            <w:bookmarkStart w:id="130" w:name="_Toc373333696"/>
            <w:bookmarkStart w:id="131" w:name="_Toc301781618"/>
            <w:bookmarkStart w:id="132" w:name="_Toc254970736"/>
            <w:bookmarkStart w:id="133" w:name="_Toc173211907"/>
            <w:bookmarkStart w:id="134" w:name="_Toc254970595"/>
            <w:r>
              <w:rPr>
                <w:rFonts w:hint="eastAsia" w:ascii="宋体" w:hAnsi="宋体" w:eastAsia="宋体" w:cs="仿宋_GB2312"/>
                <w:color w:val="auto"/>
                <w:kern w:val="2"/>
                <w:sz w:val="24"/>
                <w:szCs w:val="24"/>
                <w:highlight w:val="none"/>
              </w:rPr>
              <w:t>3</w:t>
            </w:r>
            <w:bookmarkEnd w:id="126"/>
            <w:bookmarkEnd w:id="127"/>
            <w:bookmarkEnd w:id="128"/>
            <w:bookmarkEnd w:id="129"/>
            <w:bookmarkEnd w:id="130"/>
            <w:bookmarkEnd w:id="131"/>
            <w:bookmarkEnd w:id="132"/>
            <w:bookmarkEnd w:id="133"/>
            <w:bookmarkEnd w:id="134"/>
          </w:p>
        </w:tc>
        <w:tc>
          <w:tcPr>
            <w:tcW w:w="915" w:type="dxa"/>
            <w:tcBorders>
              <w:right w:val="single" w:color="auto" w:sz="4" w:space="0"/>
            </w:tcBorders>
            <w:noWrap w:val="0"/>
            <w:vAlign w:val="center"/>
          </w:tcPr>
          <w:p w14:paraId="669A3E4D">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0D0756F3">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2735" w:type="dxa"/>
            <w:noWrap w:val="0"/>
            <w:vAlign w:val="center"/>
          </w:tcPr>
          <w:p w14:paraId="4C119861">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1492" w:type="dxa"/>
            <w:noWrap w:val="0"/>
            <w:vAlign w:val="center"/>
          </w:tcPr>
          <w:p w14:paraId="5B179909">
            <w:pPr>
              <w:pStyle w:val="13"/>
              <w:spacing w:line="360" w:lineRule="auto"/>
              <w:ind w:firstLine="0" w:firstLineChars="0"/>
              <w:jc w:val="center"/>
              <w:rPr>
                <w:rFonts w:hint="eastAsia" w:ascii="宋体" w:hAnsi="宋体" w:eastAsia="宋体" w:cs="仿宋_GB2312"/>
                <w:color w:val="auto"/>
                <w:kern w:val="2"/>
                <w:sz w:val="24"/>
                <w:szCs w:val="24"/>
                <w:highlight w:val="none"/>
              </w:rPr>
            </w:pPr>
          </w:p>
        </w:tc>
      </w:tr>
      <w:tr w14:paraId="1C5784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1641085A">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135" w:name="_Toc254970737"/>
            <w:bookmarkStart w:id="136" w:name="_Toc383699914"/>
            <w:bookmarkStart w:id="137" w:name="_Toc297193193"/>
            <w:bookmarkStart w:id="138" w:name="_Toc173066409"/>
            <w:bookmarkStart w:id="139" w:name="_Toc295404989"/>
            <w:bookmarkStart w:id="140" w:name="_Toc301781619"/>
            <w:bookmarkStart w:id="141" w:name="_Toc173211908"/>
            <w:bookmarkStart w:id="142" w:name="_Toc373333697"/>
            <w:bookmarkStart w:id="143" w:name="_Toc254970596"/>
            <w:r>
              <w:rPr>
                <w:rFonts w:hint="eastAsia" w:ascii="宋体" w:hAnsi="宋体" w:eastAsia="宋体" w:cs="仿宋_GB2312"/>
                <w:color w:val="auto"/>
                <w:kern w:val="2"/>
                <w:sz w:val="24"/>
                <w:szCs w:val="24"/>
                <w:highlight w:val="none"/>
              </w:rPr>
              <w:t>4</w:t>
            </w:r>
            <w:bookmarkEnd w:id="135"/>
            <w:bookmarkEnd w:id="136"/>
            <w:bookmarkEnd w:id="137"/>
            <w:bookmarkEnd w:id="138"/>
            <w:bookmarkEnd w:id="139"/>
            <w:bookmarkEnd w:id="140"/>
            <w:bookmarkEnd w:id="141"/>
            <w:bookmarkEnd w:id="142"/>
            <w:bookmarkEnd w:id="143"/>
          </w:p>
        </w:tc>
        <w:tc>
          <w:tcPr>
            <w:tcW w:w="915" w:type="dxa"/>
            <w:tcBorders>
              <w:right w:val="single" w:color="auto" w:sz="4" w:space="0"/>
            </w:tcBorders>
            <w:noWrap w:val="0"/>
            <w:vAlign w:val="center"/>
          </w:tcPr>
          <w:p w14:paraId="3F5C8662">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117A44C5">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2735" w:type="dxa"/>
            <w:noWrap w:val="0"/>
            <w:vAlign w:val="center"/>
          </w:tcPr>
          <w:p w14:paraId="1F83A506">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1492" w:type="dxa"/>
            <w:noWrap w:val="0"/>
            <w:vAlign w:val="center"/>
          </w:tcPr>
          <w:p w14:paraId="71C28138">
            <w:pPr>
              <w:pStyle w:val="13"/>
              <w:spacing w:line="360" w:lineRule="auto"/>
              <w:ind w:firstLine="0" w:firstLineChars="0"/>
              <w:jc w:val="center"/>
              <w:rPr>
                <w:rFonts w:hint="eastAsia" w:ascii="宋体" w:hAnsi="宋体" w:eastAsia="宋体" w:cs="仿宋_GB2312"/>
                <w:color w:val="auto"/>
                <w:kern w:val="2"/>
                <w:sz w:val="24"/>
                <w:szCs w:val="24"/>
                <w:highlight w:val="none"/>
              </w:rPr>
            </w:pPr>
          </w:p>
        </w:tc>
      </w:tr>
      <w:tr w14:paraId="299D5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234A8C16">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144" w:name="_Toc383699915"/>
            <w:bookmarkStart w:id="145" w:name="_Toc373333698"/>
            <w:bookmarkStart w:id="146" w:name="_Toc173211909"/>
            <w:bookmarkStart w:id="147" w:name="_Toc295404990"/>
            <w:bookmarkStart w:id="148" w:name="_Toc297193194"/>
            <w:bookmarkStart w:id="149" w:name="_Toc173066410"/>
            <w:bookmarkStart w:id="150" w:name="_Toc301781620"/>
            <w:bookmarkStart w:id="151" w:name="_Toc254970738"/>
            <w:bookmarkStart w:id="152" w:name="_Toc254970597"/>
            <w:r>
              <w:rPr>
                <w:rFonts w:hint="eastAsia" w:ascii="宋体" w:hAnsi="宋体" w:eastAsia="宋体" w:cs="仿宋_GB2312"/>
                <w:color w:val="auto"/>
                <w:kern w:val="2"/>
                <w:sz w:val="24"/>
                <w:szCs w:val="24"/>
                <w:highlight w:val="none"/>
              </w:rPr>
              <w:t>5</w:t>
            </w:r>
            <w:bookmarkEnd w:id="144"/>
            <w:bookmarkEnd w:id="145"/>
            <w:bookmarkEnd w:id="146"/>
            <w:bookmarkEnd w:id="147"/>
            <w:bookmarkEnd w:id="148"/>
            <w:bookmarkEnd w:id="149"/>
            <w:bookmarkEnd w:id="150"/>
            <w:bookmarkEnd w:id="151"/>
            <w:bookmarkEnd w:id="152"/>
          </w:p>
        </w:tc>
        <w:tc>
          <w:tcPr>
            <w:tcW w:w="915" w:type="dxa"/>
            <w:tcBorders>
              <w:right w:val="single" w:color="auto" w:sz="4" w:space="0"/>
            </w:tcBorders>
            <w:noWrap w:val="0"/>
            <w:vAlign w:val="center"/>
          </w:tcPr>
          <w:p w14:paraId="3B2A7DE7">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65BCBEE6">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2735" w:type="dxa"/>
            <w:noWrap w:val="0"/>
            <w:vAlign w:val="center"/>
          </w:tcPr>
          <w:p w14:paraId="632ECF0D">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1492" w:type="dxa"/>
            <w:noWrap w:val="0"/>
            <w:vAlign w:val="center"/>
          </w:tcPr>
          <w:p w14:paraId="209FF499">
            <w:pPr>
              <w:pStyle w:val="13"/>
              <w:spacing w:line="360" w:lineRule="auto"/>
              <w:ind w:firstLine="0" w:firstLineChars="0"/>
              <w:jc w:val="center"/>
              <w:rPr>
                <w:rFonts w:hint="eastAsia" w:ascii="宋体" w:hAnsi="宋体" w:eastAsia="宋体" w:cs="仿宋_GB2312"/>
                <w:color w:val="auto"/>
                <w:kern w:val="2"/>
                <w:sz w:val="24"/>
                <w:szCs w:val="24"/>
                <w:highlight w:val="none"/>
              </w:rPr>
            </w:pPr>
          </w:p>
        </w:tc>
      </w:tr>
      <w:tr w14:paraId="0D1419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5" w:type="dxa"/>
            <w:noWrap w:val="0"/>
            <w:vAlign w:val="center"/>
          </w:tcPr>
          <w:p w14:paraId="295EF640">
            <w:pPr>
              <w:pStyle w:val="13"/>
              <w:spacing w:line="360" w:lineRule="auto"/>
              <w:ind w:firstLine="0" w:firstLineChars="0"/>
              <w:jc w:val="center"/>
              <w:rPr>
                <w:rFonts w:hint="eastAsia" w:ascii="宋体" w:hAnsi="宋体" w:eastAsia="宋体" w:cs="仿宋_GB2312"/>
                <w:color w:val="auto"/>
                <w:kern w:val="2"/>
                <w:sz w:val="24"/>
                <w:szCs w:val="24"/>
                <w:highlight w:val="none"/>
              </w:rPr>
            </w:pPr>
            <w:bookmarkStart w:id="153" w:name="_Toc297193195"/>
            <w:bookmarkStart w:id="154" w:name="_Toc383699916"/>
            <w:bookmarkStart w:id="155" w:name="_Toc373333699"/>
            <w:bookmarkStart w:id="156" w:name="_Toc173211914"/>
            <w:bookmarkStart w:id="157" w:name="_Toc254970743"/>
            <w:bookmarkStart w:id="158" w:name="_Toc295404991"/>
            <w:bookmarkStart w:id="159" w:name="_Toc254970602"/>
            <w:bookmarkStart w:id="160" w:name="_Toc173066415"/>
            <w:bookmarkStart w:id="161" w:name="_Toc301781621"/>
            <w:r>
              <w:rPr>
                <w:rFonts w:hint="eastAsia" w:ascii="宋体" w:hAnsi="宋体" w:eastAsia="宋体" w:cs="仿宋_GB2312"/>
                <w:color w:val="auto"/>
                <w:kern w:val="2"/>
                <w:sz w:val="24"/>
                <w:szCs w:val="24"/>
                <w:highlight w:val="none"/>
              </w:rPr>
              <w:t>…</w:t>
            </w:r>
            <w:bookmarkEnd w:id="153"/>
            <w:bookmarkEnd w:id="154"/>
            <w:bookmarkEnd w:id="155"/>
            <w:bookmarkEnd w:id="156"/>
            <w:bookmarkEnd w:id="157"/>
            <w:bookmarkEnd w:id="158"/>
            <w:bookmarkEnd w:id="159"/>
            <w:bookmarkEnd w:id="160"/>
            <w:bookmarkEnd w:id="161"/>
          </w:p>
        </w:tc>
        <w:tc>
          <w:tcPr>
            <w:tcW w:w="915" w:type="dxa"/>
            <w:tcBorders>
              <w:right w:val="single" w:color="auto" w:sz="4" w:space="0"/>
            </w:tcBorders>
            <w:noWrap w:val="0"/>
            <w:vAlign w:val="center"/>
          </w:tcPr>
          <w:p w14:paraId="533AEA06">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5B24DC1D">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2735" w:type="dxa"/>
            <w:noWrap w:val="0"/>
            <w:vAlign w:val="center"/>
          </w:tcPr>
          <w:p w14:paraId="137ED800">
            <w:pPr>
              <w:pStyle w:val="13"/>
              <w:spacing w:line="360" w:lineRule="auto"/>
              <w:ind w:firstLine="0" w:firstLineChars="0"/>
              <w:jc w:val="center"/>
              <w:rPr>
                <w:rFonts w:hint="eastAsia" w:ascii="宋体" w:hAnsi="宋体" w:eastAsia="宋体" w:cs="仿宋_GB2312"/>
                <w:color w:val="auto"/>
                <w:kern w:val="2"/>
                <w:sz w:val="24"/>
                <w:szCs w:val="24"/>
                <w:highlight w:val="none"/>
              </w:rPr>
            </w:pPr>
          </w:p>
        </w:tc>
        <w:tc>
          <w:tcPr>
            <w:tcW w:w="1492" w:type="dxa"/>
            <w:tcBorders>
              <w:right w:val="single" w:color="auto" w:sz="4" w:space="0"/>
            </w:tcBorders>
            <w:noWrap w:val="0"/>
            <w:vAlign w:val="center"/>
          </w:tcPr>
          <w:p w14:paraId="0688426A">
            <w:pPr>
              <w:pStyle w:val="13"/>
              <w:spacing w:line="360" w:lineRule="auto"/>
              <w:ind w:firstLine="0" w:firstLineChars="0"/>
              <w:jc w:val="center"/>
              <w:rPr>
                <w:rFonts w:hint="eastAsia" w:ascii="宋体" w:hAnsi="宋体" w:eastAsia="宋体" w:cs="仿宋_GB2312"/>
                <w:color w:val="auto"/>
                <w:kern w:val="2"/>
                <w:sz w:val="24"/>
                <w:szCs w:val="24"/>
                <w:highlight w:val="none"/>
              </w:rPr>
            </w:pPr>
          </w:p>
        </w:tc>
      </w:tr>
    </w:tbl>
    <w:p w14:paraId="7CDB10C7">
      <w:pPr>
        <w:adjustRightInd w:val="0"/>
        <w:snapToGrid w:val="0"/>
        <w:spacing w:line="360" w:lineRule="auto"/>
        <w:rPr>
          <w:rFonts w:hint="eastAsia" w:ascii="宋体" w:hAnsi="宋体" w:cs="仿宋_GB2312"/>
          <w:color w:val="auto"/>
          <w:sz w:val="24"/>
          <w:highlight w:val="none"/>
        </w:rPr>
      </w:pPr>
    </w:p>
    <w:p w14:paraId="60504D22">
      <w:pPr>
        <w:pStyle w:val="13"/>
        <w:spacing w:line="360" w:lineRule="auto"/>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6B02C5A3">
      <w:pPr>
        <w:pStyle w:val="13"/>
        <w:spacing w:line="360" w:lineRule="auto"/>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1.说明：应对照磋商文件“第三章 采购需求”中的技术需求逐条实质性响应，并作出偏离说明。</w:t>
      </w:r>
    </w:p>
    <w:p w14:paraId="42D0E6DB">
      <w:pPr>
        <w:pStyle w:val="13"/>
        <w:spacing w:line="360" w:lineRule="auto"/>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200892F6">
      <w:pPr>
        <w:pStyle w:val="15"/>
        <w:spacing w:line="360" w:lineRule="auto"/>
        <w:rPr>
          <w:rFonts w:hint="eastAsia" w:hAnsi="宋体" w:cs="仿宋_GB2312"/>
          <w:color w:val="auto"/>
          <w:sz w:val="24"/>
          <w:szCs w:val="24"/>
          <w:highlight w:val="none"/>
        </w:rPr>
      </w:pPr>
    </w:p>
    <w:p w14:paraId="70451E47">
      <w:pPr>
        <w:snapToGrid w:val="0"/>
        <w:spacing w:before="50" w:after="50" w:line="360" w:lineRule="auto"/>
        <w:ind w:right="-817" w:rightChars="-389"/>
        <w:rPr>
          <w:rFonts w:hint="eastAsia" w:ascii="宋体" w:hAnsi="宋体" w:cs="仿宋_GB2312"/>
          <w:color w:val="auto"/>
          <w:sz w:val="24"/>
          <w:highlight w:val="none"/>
        </w:rPr>
      </w:pPr>
    </w:p>
    <w:p w14:paraId="423DFEA6">
      <w:pPr>
        <w:snapToGrid w:val="0"/>
        <w:spacing w:before="50" w:after="50" w:line="360" w:lineRule="auto"/>
        <w:ind w:right="-817" w:rightChars="-389" w:firstLine="960" w:firstLineChars="400"/>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36C04C7F">
      <w:pPr>
        <w:snapToGrid w:val="0"/>
        <w:spacing w:before="50" w:after="50" w:line="360" w:lineRule="auto"/>
        <w:ind w:right="-817" w:rightChars="-389" w:firstLine="2640" w:firstLineChars="1100"/>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474A32DA">
      <w:pPr>
        <w:snapToGrid w:val="0"/>
        <w:spacing w:before="50" w:after="50" w:line="360" w:lineRule="auto"/>
        <w:ind w:right="-817" w:rightChars="-389" w:firstLine="4080" w:firstLineChars="1700"/>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4477C13">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679C17D6">
      <w:pPr>
        <w:snapToGrid w:val="0"/>
        <w:spacing w:before="156" w:beforeLines="50" w:after="50"/>
        <w:ind w:left="142"/>
        <w:jc w:val="left"/>
        <w:rPr>
          <w:rFonts w:hint="eastAsia" w:ascii="宋体" w:hAnsi="宋体"/>
          <w:b/>
          <w:color w:val="auto"/>
          <w:sz w:val="24"/>
          <w:highlight w:val="none"/>
        </w:rPr>
      </w:pPr>
    </w:p>
    <w:p w14:paraId="76ADFC9E">
      <w:pPr>
        <w:snapToGrid w:val="0"/>
        <w:spacing w:before="156"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6EE05384">
      <w:pPr>
        <w:pStyle w:val="15"/>
        <w:rPr>
          <w:rFonts w:hint="eastAsia" w:hAnsi="宋体"/>
          <w:color w:val="auto"/>
          <w:sz w:val="24"/>
          <w:szCs w:val="24"/>
          <w:highlight w:val="none"/>
        </w:rPr>
      </w:pPr>
      <w:r>
        <w:rPr>
          <w:rFonts w:hint="eastAsia" w:hAnsi="宋体"/>
          <w:color w:val="auto"/>
          <w:sz w:val="24"/>
          <w:szCs w:val="24"/>
          <w:highlight w:val="none"/>
        </w:rPr>
        <w:t>所竞分标：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6D4F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noWrap w:val="0"/>
            <w:vAlign w:val="center"/>
          </w:tcPr>
          <w:p w14:paraId="543503E6">
            <w:pPr>
              <w:snapToGrid w:val="0"/>
              <w:spacing w:before="50" w:after="156"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66" w:type="dxa"/>
            <w:noWrap w:val="0"/>
            <w:vAlign w:val="center"/>
          </w:tcPr>
          <w:p w14:paraId="225E6CB3">
            <w:pPr>
              <w:snapToGrid w:val="0"/>
              <w:spacing w:before="50" w:after="156"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837" w:type="dxa"/>
            <w:noWrap w:val="0"/>
            <w:vAlign w:val="center"/>
          </w:tcPr>
          <w:p w14:paraId="31E05016">
            <w:pPr>
              <w:snapToGrid w:val="0"/>
              <w:spacing w:before="50" w:after="156"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533" w:type="dxa"/>
            <w:noWrap w:val="0"/>
            <w:vAlign w:val="center"/>
          </w:tcPr>
          <w:p w14:paraId="65F4B24E">
            <w:pPr>
              <w:snapToGrid w:val="0"/>
              <w:spacing w:before="50" w:after="156"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833" w:type="dxa"/>
            <w:noWrap w:val="0"/>
            <w:vAlign w:val="center"/>
          </w:tcPr>
          <w:p w14:paraId="7FE22CFC">
            <w:pPr>
              <w:snapToGrid w:val="0"/>
              <w:spacing w:before="50" w:after="156"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3A7CC70A">
            <w:pPr>
              <w:snapToGrid w:val="0"/>
              <w:spacing w:before="50" w:after="156"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990" w:type="dxa"/>
            <w:noWrap w:val="0"/>
            <w:vAlign w:val="center"/>
          </w:tcPr>
          <w:p w14:paraId="06F213B9">
            <w:pPr>
              <w:snapToGrid w:val="0"/>
              <w:spacing w:before="50" w:after="156"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23F2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noWrap w:val="0"/>
            <w:vAlign w:val="center"/>
          </w:tcPr>
          <w:p w14:paraId="76A40EA2">
            <w:pPr>
              <w:snapToGrid w:val="0"/>
              <w:spacing w:before="50" w:after="156" w:afterLines="50"/>
              <w:jc w:val="center"/>
              <w:rPr>
                <w:rFonts w:hint="eastAsia" w:ascii="宋体" w:hAnsi="宋体"/>
                <w:color w:val="auto"/>
                <w:sz w:val="24"/>
                <w:szCs w:val="20"/>
                <w:highlight w:val="none"/>
              </w:rPr>
            </w:pPr>
          </w:p>
        </w:tc>
        <w:tc>
          <w:tcPr>
            <w:tcW w:w="766" w:type="dxa"/>
            <w:noWrap w:val="0"/>
            <w:vAlign w:val="center"/>
          </w:tcPr>
          <w:p w14:paraId="1A10632E">
            <w:pPr>
              <w:snapToGrid w:val="0"/>
              <w:spacing w:before="50" w:after="156" w:afterLines="50"/>
              <w:jc w:val="center"/>
              <w:rPr>
                <w:rFonts w:hint="eastAsia" w:ascii="宋体" w:hAnsi="宋体"/>
                <w:color w:val="auto"/>
                <w:sz w:val="24"/>
                <w:szCs w:val="20"/>
                <w:highlight w:val="none"/>
              </w:rPr>
            </w:pPr>
          </w:p>
        </w:tc>
        <w:tc>
          <w:tcPr>
            <w:tcW w:w="1837" w:type="dxa"/>
            <w:noWrap w:val="0"/>
            <w:vAlign w:val="center"/>
          </w:tcPr>
          <w:p w14:paraId="6621D61F">
            <w:pPr>
              <w:snapToGrid w:val="0"/>
              <w:spacing w:before="50" w:after="156" w:afterLines="50"/>
              <w:jc w:val="center"/>
              <w:rPr>
                <w:rFonts w:hint="eastAsia" w:ascii="宋体" w:hAnsi="宋体"/>
                <w:color w:val="auto"/>
                <w:sz w:val="24"/>
                <w:szCs w:val="20"/>
                <w:highlight w:val="none"/>
              </w:rPr>
            </w:pPr>
          </w:p>
        </w:tc>
        <w:tc>
          <w:tcPr>
            <w:tcW w:w="1533" w:type="dxa"/>
            <w:noWrap w:val="0"/>
            <w:vAlign w:val="center"/>
          </w:tcPr>
          <w:p w14:paraId="0AE25DB2">
            <w:pPr>
              <w:snapToGrid w:val="0"/>
              <w:spacing w:before="50" w:after="156" w:afterLines="50"/>
              <w:jc w:val="center"/>
              <w:rPr>
                <w:rFonts w:hint="eastAsia" w:ascii="宋体" w:hAnsi="宋体"/>
                <w:color w:val="auto"/>
                <w:sz w:val="24"/>
                <w:szCs w:val="20"/>
                <w:highlight w:val="none"/>
              </w:rPr>
            </w:pPr>
          </w:p>
        </w:tc>
        <w:tc>
          <w:tcPr>
            <w:tcW w:w="1833" w:type="dxa"/>
            <w:noWrap w:val="0"/>
            <w:vAlign w:val="center"/>
          </w:tcPr>
          <w:p w14:paraId="7BBCCBC1">
            <w:pPr>
              <w:snapToGrid w:val="0"/>
              <w:spacing w:before="50" w:after="156" w:afterLines="50"/>
              <w:jc w:val="center"/>
              <w:rPr>
                <w:rFonts w:hint="eastAsia" w:ascii="宋体" w:hAnsi="宋体"/>
                <w:color w:val="auto"/>
                <w:sz w:val="24"/>
                <w:szCs w:val="20"/>
                <w:highlight w:val="none"/>
              </w:rPr>
            </w:pPr>
          </w:p>
        </w:tc>
        <w:tc>
          <w:tcPr>
            <w:tcW w:w="1990" w:type="dxa"/>
            <w:noWrap w:val="0"/>
            <w:vAlign w:val="center"/>
          </w:tcPr>
          <w:p w14:paraId="4E007E50">
            <w:pPr>
              <w:snapToGrid w:val="0"/>
              <w:spacing w:before="50" w:after="156" w:afterLines="50"/>
              <w:jc w:val="center"/>
              <w:rPr>
                <w:rFonts w:hint="eastAsia" w:ascii="宋体" w:hAnsi="宋体"/>
                <w:color w:val="auto"/>
                <w:sz w:val="24"/>
                <w:szCs w:val="20"/>
                <w:highlight w:val="none"/>
              </w:rPr>
            </w:pPr>
          </w:p>
        </w:tc>
      </w:tr>
      <w:tr w14:paraId="7C6A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noWrap w:val="0"/>
            <w:vAlign w:val="center"/>
          </w:tcPr>
          <w:p w14:paraId="0F8375E4">
            <w:pPr>
              <w:snapToGrid w:val="0"/>
              <w:spacing w:before="50" w:after="156" w:afterLines="50"/>
              <w:jc w:val="center"/>
              <w:rPr>
                <w:rFonts w:hint="eastAsia" w:ascii="宋体" w:hAnsi="宋体"/>
                <w:color w:val="auto"/>
                <w:sz w:val="24"/>
                <w:szCs w:val="20"/>
                <w:highlight w:val="none"/>
              </w:rPr>
            </w:pPr>
          </w:p>
        </w:tc>
        <w:tc>
          <w:tcPr>
            <w:tcW w:w="766" w:type="dxa"/>
            <w:noWrap w:val="0"/>
            <w:vAlign w:val="center"/>
          </w:tcPr>
          <w:p w14:paraId="77BF9978">
            <w:pPr>
              <w:snapToGrid w:val="0"/>
              <w:spacing w:before="50" w:after="156" w:afterLines="50"/>
              <w:jc w:val="center"/>
              <w:rPr>
                <w:rFonts w:hint="eastAsia" w:ascii="宋体" w:hAnsi="宋体"/>
                <w:color w:val="auto"/>
                <w:sz w:val="24"/>
                <w:szCs w:val="20"/>
                <w:highlight w:val="none"/>
              </w:rPr>
            </w:pPr>
          </w:p>
        </w:tc>
        <w:tc>
          <w:tcPr>
            <w:tcW w:w="1837" w:type="dxa"/>
            <w:noWrap w:val="0"/>
            <w:vAlign w:val="center"/>
          </w:tcPr>
          <w:p w14:paraId="170884AF">
            <w:pPr>
              <w:snapToGrid w:val="0"/>
              <w:spacing w:before="50" w:after="156" w:afterLines="50"/>
              <w:jc w:val="center"/>
              <w:rPr>
                <w:rFonts w:hint="eastAsia" w:ascii="宋体" w:hAnsi="宋体"/>
                <w:color w:val="auto"/>
                <w:sz w:val="24"/>
                <w:szCs w:val="20"/>
                <w:highlight w:val="none"/>
              </w:rPr>
            </w:pPr>
          </w:p>
        </w:tc>
        <w:tc>
          <w:tcPr>
            <w:tcW w:w="1533" w:type="dxa"/>
            <w:noWrap w:val="0"/>
            <w:vAlign w:val="center"/>
          </w:tcPr>
          <w:p w14:paraId="7CEBB1D9">
            <w:pPr>
              <w:snapToGrid w:val="0"/>
              <w:spacing w:before="50" w:after="156" w:afterLines="50"/>
              <w:jc w:val="center"/>
              <w:rPr>
                <w:rFonts w:hint="eastAsia" w:ascii="宋体" w:hAnsi="宋体"/>
                <w:color w:val="auto"/>
                <w:sz w:val="24"/>
                <w:szCs w:val="20"/>
                <w:highlight w:val="none"/>
              </w:rPr>
            </w:pPr>
          </w:p>
        </w:tc>
        <w:tc>
          <w:tcPr>
            <w:tcW w:w="1833" w:type="dxa"/>
            <w:noWrap w:val="0"/>
            <w:vAlign w:val="center"/>
          </w:tcPr>
          <w:p w14:paraId="4C347C14">
            <w:pPr>
              <w:snapToGrid w:val="0"/>
              <w:spacing w:before="50" w:after="156" w:afterLines="50"/>
              <w:jc w:val="center"/>
              <w:rPr>
                <w:rFonts w:hint="eastAsia" w:ascii="宋体" w:hAnsi="宋体"/>
                <w:color w:val="auto"/>
                <w:sz w:val="24"/>
                <w:szCs w:val="20"/>
                <w:highlight w:val="none"/>
              </w:rPr>
            </w:pPr>
          </w:p>
        </w:tc>
        <w:tc>
          <w:tcPr>
            <w:tcW w:w="1990" w:type="dxa"/>
            <w:noWrap w:val="0"/>
            <w:vAlign w:val="center"/>
          </w:tcPr>
          <w:p w14:paraId="628AFB41">
            <w:pPr>
              <w:snapToGrid w:val="0"/>
              <w:spacing w:before="50" w:after="156" w:afterLines="50"/>
              <w:jc w:val="center"/>
              <w:rPr>
                <w:rFonts w:hint="eastAsia" w:ascii="宋体" w:hAnsi="宋体"/>
                <w:color w:val="auto"/>
                <w:sz w:val="24"/>
                <w:szCs w:val="20"/>
                <w:highlight w:val="none"/>
              </w:rPr>
            </w:pPr>
          </w:p>
        </w:tc>
      </w:tr>
      <w:tr w14:paraId="5A51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noWrap w:val="0"/>
            <w:vAlign w:val="center"/>
          </w:tcPr>
          <w:p w14:paraId="1E45024A">
            <w:pPr>
              <w:snapToGrid w:val="0"/>
              <w:spacing w:before="50" w:after="156" w:afterLines="50"/>
              <w:jc w:val="center"/>
              <w:rPr>
                <w:rFonts w:hint="eastAsia" w:ascii="宋体" w:hAnsi="宋体"/>
                <w:color w:val="auto"/>
                <w:sz w:val="24"/>
                <w:szCs w:val="20"/>
                <w:highlight w:val="none"/>
              </w:rPr>
            </w:pPr>
          </w:p>
        </w:tc>
        <w:tc>
          <w:tcPr>
            <w:tcW w:w="766" w:type="dxa"/>
            <w:noWrap w:val="0"/>
            <w:vAlign w:val="center"/>
          </w:tcPr>
          <w:p w14:paraId="68BA0ACB">
            <w:pPr>
              <w:snapToGrid w:val="0"/>
              <w:spacing w:before="50" w:after="156" w:afterLines="50"/>
              <w:jc w:val="center"/>
              <w:rPr>
                <w:rFonts w:hint="eastAsia" w:ascii="宋体" w:hAnsi="宋体"/>
                <w:color w:val="auto"/>
                <w:sz w:val="24"/>
                <w:szCs w:val="20"/>
                <w:highlight w:val="none"/>
              </w:rPr>
            </w:pPr>
          </w:p>
        </w:tc>
        <w:tc>
          <w:tcPr>
            <w:tcW w:w="1837" w:type="dxa"/>
            <w:noWrap w:val="0"/>
            <w:vAlign w:val="center"/>
          </w:tcPr>
          <w:p w14:paraId="4C3C111B">
            <w:pPr>
              <w:snapToGrid w:val="0"/>
              <w:spacing w:before="50" w:after="156" w:afterLines="50"/>
              <w:jc w:val="center"/>
              <w:rPr>
                <w:rFonts w:hint="eastAsia" w:ascii="宋体" w:hAnsi="宋体"/>
                <w:color w:val="auto"/>
                <w:sz w:val="24"/>
                <w:szCs w:val="20"/>
                <w:highlight w:val="none"/>
              </w:rPr>
            </w:pPr>
          </w:p>
        </w:tc>
        <w:tc>
          <w:tcPr>
            <w:tcW w:w="1533" w:type="dxa"/>
            <w:noWrap w:val="0"/>
            <w:vAlign w:val="center"/>
          </w:tcPr>
          <w:p w14:paraId="25A30F8B">
            <w:pPr>
              <w:snapToGrid w:val="0"/>
              <w:spacing w:before="50" w:after="156" w:afterLines="50"/>
              <w:jc w:val="center"/>
              <w:rPr>
                <w:rFonts w:hint="eastAsia" w:ascii="宋体" w:hAnsi="宋体"/>
                <w:color w:val="auto"/>
                <w:sz w:val="24"/>
                <w:szCs w:val="20"/>
                <w:highlight w:val="none"/>
              </w:rPr>
            </w:pPr>
          </w:p>
        </w:tc>
        <w:tc>
          <w:tcPr>
            <w:tcW w:w="1833" w:type="dxa"/>
            <w:noWrap w:val="0"/>
            <w:vAlign w:val="center"/>
          </w:tcPr>
          <w:p w14:paraId="18269CBC">
            <w:pPr>
              <w:snapToGrid w:val="0"/>
              <w:spacing w:before="50" w:after="156" w:afterLines="50"/>
              <w:jc w:val="center"/>
              <w:rPr>
                <w:rFonts w:hint="eastAsia" w:ascii="宋体" w:hAnsi="宋体"/>
                <w:color w:val="auto"/>
                <w:sz w:val="24"/>
                <w:szCs w:val="20"/>
                <w:highlight w:val="none"/>
              </w:rPr>
            </w:pPr>
          </w:p>
        </w:tc>
        <w:tc>
          <w:tcPr>
            <w:tcW w:w="1990" w:type="dxa"/>
            <w:noWrap w:val="0"/>
            <w:vAlign w:val="center"/>
          </w:tcPr>
          <w:p w14:paraId="33C75030">
            <w:pPr>
              <w:snapToGrid w:val="0"/>
              <w:spacing w:before="50" w:after="156" w:afterLines="50"/>
              <w:jc w:val="center"/>
              <w:rPr>
                <w:rFonts w:hint="eastAsia" w:ascii="宋体" w:hAnsi="宋体"/>
                <w:color w:val="auto"/>
                <w:sz w:val="24"/>
                <w:szCs w:val="20"/>
                <w:highlight w:val="none"/>
              </w:rPr>
            </w:pPr>
          </w:p>
        </w:tc>
      </w:tr>
    </w:tbl>
    <w:p w14:paraId="53443C1B">
      <w:pPr>
        <w:snapToGrid w:val="0"/>
        <w:spacing w:before="50" w:after="156" w:afterLines="50"/>
        <w:jc w:val="left"/>
        <w:rPr>
          <w:rFonts w:hint="eastAsia" w:ascii="宋体" w:hAnsi="宋体"/>
          <w:color w:val="auto"/>
          <w:sz w:val="24"/>
          <w:szCs w:val="20"/>
          <w:highlight w:val="none"/>
        </w:rPr>
      </w:pPr>
      <w:r>
        <w:rPr>
          <w:rFonts w:hint="eastAsia" w:ascii="宋体" w:hAnsi="宋体"/>
          <w:color w:val="auto"/>
          <w:sz w:val="24"/>
          <w:szCs w:val="20"/>
          <w:highlight w:val="none"/>
        </w:rPr>
        <w:t>注：在填写时，如本表格不适合供应商的实际情况，可根据本表格式自行制表填写。</w:t>
      </w:r>
    </w:p>
    <w:p w14:paraId="01DC9DDA">
      <w:pPr>
        <w:snapToGrid w:val="0"/>
        <w:spacing w:before="50" w:after="50"/>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8A6F353">
      <w:pPr>
        <w:snapToGrid w:val="0"/>
        <w:spacing w:before="50" w:after="156" w:afterLines="50"/>
        <w:jc w:val="left"/>
        <w:rPr>
          <w:rFonts w:hint="eastAsia" w:ascii="宋体" w:hAnsi="宋体"/>
          <w:color w:val="auto"/>
          <w:spacing w:val="20"/>
          <w:sz w:val="24"/>
          <w:highlight w:val="none"/>
        </w:rPr>
      </w:pPr>
      <w:r>
        <w:rPr>
          <w:rFonts w:hint="eastAsia" w:ascii="宋体" w:hAnsi="宋体"/>
          <w:color w:val="auto"/>
          <w:spacing w:val="20"/>
          <w:sz w:val="24"/>
          <w:highlight w:val="none"/>
        </w:rPr>
        <w:t>供应商（盖公章）：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27BF0B5">
      <w:pPr>
        <w:snapToGrid w:val="0"/>
        <w:spacing w:before="50" w:after="156" w:afterLines="50"/>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2E926AA">
      <w:pPr>
        <w:rPr>
          <w:rFonts w:hint="eastAsia" w:ascii="宋体" w:hAnsi="宋体"/>
          <w:color w:val="auto"/>
          <w:highlight w:val="none"/>
        </w:rPr>
      </w:pPr>
    </w:p>
    <w:p w14:paraId="328064A6">
      <w:pPr>
        <w:pStyle w:val="26"/>
        <w:rPr>
          <w:rFonts w:hint="eastAsia" w:ascii="宋体" w:hAnsi="宋体"/>
          <w:color w:val="auto"/>
          <w:highlight w:val="none"/>
        </w:rPr>
      </w:pPr>
    </w:p>
    <w:p w14:paraId="437E43DE">
      <w:pPr>
        <w:pStyle w:val="25"/>
        <w:ind w:firstLine="210"/>
        <w:rPr>
          <w:rFonts w:hint="eastAsia" w:ascii="宋体" w:hAnsi="宋体"/>
          <w:color w:val="auto"/>
          <w:highlight w:val="none"/>
        </w:rPr>
      </w:pPr>
    </w:p>
    <w:p w14:paraId="42AE96F5">
      <w:pPr>
        <w:rPr>
          <w:rFonts w:hint="eastAsia" w:ascii="宋体" w:hAnsi="宋体" w:cs="宋体"/>
          <w:b/>
          <w:bCs/>
          <w:color w:val="auto"/>
          <w:sz w:val="24"/>
          <w:highlight w:val="none"/>
        </w:rPr>
      </w:pPr>
    </w:p>
    <w:p w14:paraId="7BDAD48E">
      <w:pPr>
        <w:rPr>
          <w:rFonts w:hint="eastAsia" w:ascii="宋体" w:hAnsi="宋体"/>
          <w:color w:val="auto"/>
          <w:highlight w:val="none"/>
        </w:rPr>
      </w:pPr>
    </w:p>
    <w:p w14:paraId="236095BA">
      <w:pPr>
        <w:spacing w:line="300" w:lineRule="auto"/>
        <w:rPr>
          <w:rFonts w:hint="eastAsia" w:ascii="宋体" w:hAnsi="宋体" w:cs="仿宋_GB2312"/>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0C19E252">
      <w:pPr>
        <w:spacing w:line="300" w:lineRule="auto"/>
        <w:jc w:val="center"/>
        <w:rPr>
          <w:rFonts w:hint="eastAsia" w:ascii="宋体" w:hAnsi="宋体"/>
          <w:color w:val="auto"/>
          <w:szCs w:val="21"/>
          <w:highlight w:val="none"/>
        </w:rPr>
      </w:pPr>
      <w:r>
        <w:rPr>
          <w:rFonts w:hint="eastAsia" w:ascii="宋体" w:hAnsi="宋体"/>
          <w:b/>
          <w:bCs/>
          <w:color w:val="auto"/>
          <w:sz w:val="32"/>
          <w:szCs w:val="32"/>
          <w:highlight w:val="none"/>
        </w:rPr>
        <w:t>质疑函（格式）</w:t>
      </w:r>
    </w:p>
    <w:p w14:paraId="73528B6A">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69BB28F2">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BD4D63A">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DB9BD27">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7BB3BD3">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A46838E">
      <w:pPr>
        <w:pStyle w:val="1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8D73E2F">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C676D3">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574E4F9">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A69A6B2">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9908A56">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E8C7E3A">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09F0E15C">
      <w:pPr>
        <w:pStyle w:val="15"/>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38A38ADD">
      <w:pPr>
        <w:pStyle w:val="15"/>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1A3155A6">
      <w:pPr>
        <w:pStyle w:val="15"/>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1B37E3A4">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695EEC96">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7FBDB47">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B0F1CFF">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D87F05B">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6A33D3C6">
      <w:pPr>
        <w:pStyle w:val="15"/>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1361D911">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A6AB48B">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F632D09">
      <w:pPr>
        <w:pStyle w:val="15"/>
        <w:spacing w:line="360" w:lineRule="auto"/>
        <w:ind w:left="25" w:leftChars="12" w:firstLine="352" w:firstLineChars="147"/>
        <w:rPr>
          <w:rFonts w:hint="eastAsia" w:hAnsi="宋体"/>
          <w:color w:val="auto"/>
          <w:sz w:val="24"/>
          <w:szCs w:val="24"/>
          <w:highlight w:val="none"/>
        </w:rPr>
      </w:pPr>
    </w:p>
    <w:p w14:paraId="70F8644A">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E96C5AA">
      <w:pPr>
        <w:pStyle w:val="15"/>
        <w:spacing w:line="360" w:lineRule="auto"/>
        <w:ind w:left="25" w:leftChars="12" w:firstLine="352" w:firstLineChars="147"/>
        <w:rPr>
          <w:rFonts w:hint="eastAsia" w:hAnsi="宋体"/>
          <w:color w:val="auto"/>
          <w:sz w:val="24"/>
          <w:szCs w:val="24"/>
          <w:highlight w:val="none"/>
        </w:rPr>
      </w:pPr>
    </w:p>
    <w:p w14:paraId="57975B56">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7A72781">
      <w:pPr>
        <w:pStyle w:val="15"/>
        <w:snapToGrid w:val="0"/>
        <w:spacing w:line="360" w:lineRule="auto"/>
        <w:rPr>
          <w:rFonts w:hint="eastAsia" w:hAnsi="宋体"/>
          <w:b/>
          <w:color w:val="auto"/>
          <w:sz w:val="24"/>
          <w:szCs w:val="24"/>
          <w:highlight w:val="none"/>
        </w:rPr>
      </w:pPr>
    </w:p>
    <w:p w14:paraId="0BC0C0AA">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F69E91C">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DE97A8A">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3A124F">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5061338">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4AD81A1">
      <w:pPr>
        <w:pStyle w:val="1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354AEBA">
      <w:pPr>
        <w:pStyle w:val="15"/>
        <w:snapToGrid w:val="0"/>
        <w:rPr>
          <w:rFonts w:hint="eastAsia" w:hAnsi="宋体"/>
          <w:b/>
          <w:color w:val="auto"/>
          <w:sz w:val="24"/>
          <w:szCs w:val="24"/>
          <w:highlight w:val="none"/>
        </w:rPr>
      </w:pPr>
    </w:p>
    <w:p w14:paraId="5B22AD07">
      <w:pPr>
        <w:spacing w:line="460" w:lineRule="exact"/>
        <w:rPr>
          <w:rFonts w:hint="eastAsia" w:ascii="宋体" w:hAnsi="宋体"/>
          <w:color w:val="auto"/>
          <w:sz w:val="44"/>
          <w:highlight w:val="none"/>
        </w:rPr>
      </w:pPr>
    </w:p>
    <w:p w14:paraId="032479A7">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投诉书（格式）</w:t>
      </w:r>
    </w:p>
    <w:p w14:paraId="68FA8502">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DAB89F4">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7CA0A4BF">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AA3A098">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1F13DEB">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AC1F9A0">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C653013">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2F74FA">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4C7DC8E0">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85E43C">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4029C5C">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04E1DF94">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78E265F7">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4FA0E7C">
      <w:pPr>
        <w:pStyle w:val="1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53A5EEC">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E90EC3">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D81BCDE">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C619740">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3E71B54">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62489AF">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2B2E65B">
      <w:pPr>
        <w:pStyle w:val="15"/>
        <w:spacing w:line="360" w:lineRule="auto"/>
        <w:ind w:left="25" w:leftChars="12" w:firstLine="394" w:firstLineChars="197"/>
        <w:rPr>
          <w:rFonts w:hint="eastAsia" w:hAnsi="宋体"/>
          <w:bCs/>
          <w:color w:val="auto"/>
          <w:sz w:val="24"/>
          <w:szCs w:val="24"/>
          <w:highlight w:val="none"/>
          <w:u w:val="single"/>
        </w:rPr>
      </w:pPr>
      <w:r>
        <w:rPr>
          <w:rFonts w:hint="eastAsia"/>
          <w:color w:val="auto"/>
          <w:highlight w:val="none"/>
          <w:lang w:val="en-US" w:eastAsia="zh-CN"/>
        </w:rPr>
        <w:t>采购</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C5601EF">
      <w:pPr>
        <w:pStyle w:val="1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6FCE3FE">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0F33E28">
      <w:pPr>
        <w:pStyle w:val="15"/>
        <w:spacing w:line="360" w:lineRule="auto"/>
        <w:ind w:left="25" w:leftChars="12" w:firstLine="952" w:firstLineChars="397"/>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96A5593">
      <w:pPr>
        <w:pStyle w:val="1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2C0331D">
      <w:pPr>
        <w:pStyle w:val="15"/>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20856DD">
      <w:pPr>
        <w:pStyle w:val="15"/>
        <w:spacing w:line="360" w:lineRule="auto"/>
        <w:ind w:firstLine="241"/>
        <w:rPr>
          <w:rFonts w:hint="eastAsia" w:hAnsi="宋体"/>
          <w:color w:val="auto"/>
          <w:sz w:val="24"/>
          <w:szCs w:val="24"/>
          <w:highlight w:val="non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E9B4FCB">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8E11E60">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55220D2">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8164EC1">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BD54B3B">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6AC793B">
      <w:pPr>
        <w:pStyle w:val="1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03CBFD5">
      <w:pPr>
        <w:pStyle w:val="1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761832E">
      <w:pPr>
        <w:pStyle w:val="1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663F8A77">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F263BA8">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A0FFAC0">
      <w:pPr>
        <w:pStyle w:val="15"/>
        <w:spacing w:line="360" w:lineRule="auto"/>
        <w:ind w:left="25" w:leftChars="12" w:firstLine="352" w:firstLineChars="147"/>
        <w:rPr>
          <w:rFonts w:hint="eastAsia" w:hAnsi="宋体"/>
          <w:color w:val="auto"/>
          <w:sz w:val="24"/>
          <w:szCs w:val="24"/>
          <w:highlight w:val="none"/>
        </w:rPr>
      </w:pPr>
    </w:p>
    <w:p w14:paraId="4E98864E">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F3B0BD0">
      <w:pPr>
        <w:pStyle w:val="15"/>
        <w:spacing w:line="360" w:lineRule="auto"/>
        <w:ind w:left="25" w:leftChars="12" w:firstLine="352" w:firstLineChars="147"/>
        <w:rPr>
          <w:rFonts w:hint="eastAsia" w:hAnsi="宋体"/>
          <w:color w:val="auto"/>
          <w:sz w:val="24"/>
          <w:szCs w:val="24"/>
          <w:highlight w:val="none"/>
        </w:rPr>
      </w:pPr>
    </w:p>
    <w:p w14:paraId="598F94C2">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CA8E73A">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5330BAED">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A7B2026">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F6C289F">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6BC6241">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144F60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BF06467">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64127D4C">
      <w:pPr>
        <w:pStyle w:val="1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5ECA2F3E">
      <w:pPr>
        <w:rPr>
          <w:rFonts w:ascii="宋体" w:hAnsi="宋体"/>
          <w:color w:val="auto"/>
          <w:highlight w:val="none"/>
        </w:rPr>
      </w:pPr>
      <w:r>
        <w:rPr>
          <w:rFonts w:hint="eastAsia" w:ascii="宋体" w:hAnsi="宋体"/>
          <w:color w:val="auto"/>
          <w:highlight w:val="none"/>
          <w:lang w:val="en-US" w:eastAsia="zh-CN"/>
        </w:rPr>
        <w:t>磋商</w:t>
      </w:r>
      <w:r>
        <w:rPr>
          <w:rFonts w:hint="eastAsia" w:ascii="宋体" w:hAnsi="宋体"/>
          <w:color w:val="auto"/>
          <w:highlight w:val="none"/>
        </w:rPr>
        <w:t>保证金退还申请函格式（供参考）</w:t>
      </w:r>
    </w:p>
    <w:p w14:paraId="08782B6C">
      <w:pPr>
        <w:rPr>
          <w:rFonts w:hint="eastAsia" w:ascii="宋体" w:hAnsi="宋体"/>
          <w:color w:val="auto"/>
          <w:highlight w:val="none"/>
        </w:rPr>
      </w:pPr>
    </w:p>
    <w:p w14:paraId="5EA6C33D">
      <w:pPr>
        <w:jc w:val="center"/>
        <w:rPr>
          <w:rFonts w:hint="eastAsia" w:ascii="宋体" w:hAnsi="宋体"/>
          <w:color w:val="auto"/>
          <w:sz w:val="32"/>
          <w:szCs w:val="32"/>
          <w:highlight w:val="none"/>
        </w:rPr>
      </w:pPr>
      <w:r>
        <w:rPr>
          <w:rFonts w:hint="eastAsia" w:ascii="宋体" w:hAnsi="宋体"/>
          <w:color w:val="auto"/>
          <w:sz w:val="32"/>
          <w:szCs w:val="32"/>
          <w:highlight w:val="none"/>
        </w:rPr>
        <w:t>退</w:t>
      </w:r>
      <w:r>
        <w:rPr>
          <w:rFonts w:hint="eastAsia" w:ascii="宋体" w:hAnsi="宋体"/>
          <w:color w:val="auto"/>
          <w:sz w:val="32"/>
          <w:szCs w:val="32"/>
          <w:highlight w:val="none"/>
          <w:lang w:val="en-US" w:eastAsia="zh-CN"/>
        </w:rPr>
        <w:t>磋商</w:t>
      </w:r>
      <w:r>
        <w:rPr>
          <w:rFonts w:hint="eastAsia" w:ascii="宋体" w:hAnsi="宋体"/>
          <w:color w:val="auto"/>
          <w:sz w:val="32"/>
          <w:szCs w:val="32"/>
          <w:highlight w:val="none"/>
        </w:rPr>
        <w:t>保证金申请函</w:t>
      </w:r>
    </w:p>
    <w:p w14:paraId="0EB133AA">
      <w:pPr>
        <w:rPr>
          <w:rFonts w:ascii="宋体" w:hAnsi="宋体" w:cs="宋体"/>
          <w:color w:val="auto"/>
          <w:highlight w:val="none"/>
        </w:rPr>
      </w:pPr>
    </w:p>
    <w:p w14:paraId="189C1AF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广西中信恒泰工程顾问有限公司：</w:t>
      </w:r>
    </w:p>
    <w:p w14:paraId="02CFBABB">
      <w:pPr>
        <w:spacing w:line="360" w:lineRule="auto"/>
        <w:ind w:firstLine="660"/>
        <w:rPr>
          <w:rFonts w:hint="eastAsia" w:ascii="宋体" w:hAnsi="宋体" w:cs="宋体"/>
          <w:color w:val="auto"/>
          <w:szCs w:val="21"/>
          <w:highlight w:val="none"/>
        </w:rPr>
      </w:pPr>
      <w:r>
        <w:rPr>
          <w:rFonts w:hint="eastAsia" w:ascii="宋体" w:hAnsi="宋体" w:cs="宋体"/>
          <w:color w:val="auto"/>
          <w:szCs w:val="21"/>
          <w:highlight w:val="none"/>
        </w:rPr>
        <w:t>兹有我单位参加贵公司组织采购的</w:t>
      </w:r>
      <w:r>
        <w:rPr>
          <w:rFonts w:hint="eastAsia" w:ascii="宋体" w:hAnsi="宋体" w:cs="宋体"/>
          <w:color w:val="auto"/>
          <w:szCs w:val="21"/>
          <w:highlight w:val="none"/>
          <w:u w:val="single"/>
        </w:rPr>
        <w:t xml:space="preserve">      项目（项目编号：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日以</w:t>
      </w:r>
      <w:r>
        <w:rPr>
          <w:rFonts w:hint="eastAsia" w:ascii="宋体" w:hAnsi="宋体" w:cs="宋体"/>
          <w:color w:val="auto"/>
          <w:szCs w:val="21"/>
          <w:highlight w:val="none"/>
          <w:u w:val="single"/>
        </w:rPr>
        <w:t xml:space="preserve"> 转账 </w:t>
      </w:r>
      <w:r>
        <w:rPr>
          <w:rFonts w:hint="eastAsia" w:ascii="宋体" w:hAnsi="宋体" w:cs="宋体"/>
          <w:color w:val="auto"/>
          <w:szCs w:val="21"/>
          <w:highlight w:val="none"/>
        </w:rPr>
        <w:t>形式缴纳</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w:t>
      </w:r>
      <w:r>
        <w:rPr>
          <w:rFonts w:hint="eastAsia" w:ascii="宋体" w:hAnsi="宋体" w:cs="宋体"/>
          <w:color w:val="auto"/>
          <w:szCs w:val="21"/>
          <w:highlight w:val="none"/>
          <w:u w:val="single"/>
        </w:rPr>
        <w:t xml:space="preserve">       元整（¥     ）</w:t>
      </w:r>
      <w:r>
        <w:rPr>
          <w:rFonts w:hint="eastAsia" w:ascii="宋体" w:hAnsi="宋体" w:cs="宋体"/>
          <w:color w:val="auto"/>
          <w:szCs w:val="21"/>
          <w:highlight w:val="none"/>
        </w:rPr>
        <w:t>，该项目于</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日开标，本单位</w:t>
      </w:r>
      <w:r>
        <w:rPr>
          <w:rFonts w:hint="eastAsia" w:ascii="宋体" w:hAnsi="宋体" w:cs="宋体"/>
          <w:color w:val="auto"/>
          <w:szCs w:val="21"/>
          <w:highlight w:val="none"/>
          <w:u w:val="single"/>
          <w:lang w:val="en-US" w:eastAsia="zh-CN"/>
        </w:rPr>
        <w:t>成交</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未成交</w:t>
      </w:r>
      <w:r>
        <w:rPr>
          <w:rFonts w:hint="eastAsia" w:ascii="宋体" w:hAnsi="宋体" w:cs="宋体"/>
          <w:color w:val="auto"/>
          <w:szCs w:val="21"/>
          <w:highlight w:val="none"/>
        </w:rPr>
        <w:t>，且对此次采购的结果无任何异议，请贵公司将该项</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保证金给予办理退还，并退还到我单位以下账户中：</w:t>
      </w:r>
    </w:p>
    <w:p w14:paraId="79651056">
      <w:pPr>
        <w:spacing w:line="360" w:lineRule="auto"/>
        <w:ind w:firstLine="660"/>
        <w:rPr>
          <w:rFonts w:hint="eastAsia" w:ascii="宋体" w:hAnsi="宋体" w:cs="宋体"/>
          <w:color w:val="auto"/>
          <w:szCs w:val="21"/>
          <w:highlight w:val="none"/>
        </w:rPr>
      </w:pPr>
      <w:r>
        <w:rPr>
          <w:rFonts w:hint="eastAsia" w:ascii="宋体" w:hAnsi="宋体" w:cs="宋体"/>
          <w:b/>
          <w:color w:val="auto"/>
          <w:szCs w:val="21"/>
          <w:highlight w:val="none"/>
        </w:rPr>
        <w:t>单位名称：</w:t>
      </w:r>
      <w:r>
        <w:rPr>
          <w:rFonts w:hint="eastAsia" w:ascii="宋体" w:hAnsi="宋体" w:cs="宋体"/>
          <w:bCs/>
          <w:color w:val="auto"/>
          <w:szCs w:val="21"/>
          <w:highlight w:val="none"/>
        </w:rPr>
        <w:t xml:space="preserve"> </w:t>
      </w:r>
    </w:p>
    <w:p w14:paraId="0BA44729">
      <w:pPr>
        <w:spacing w:line="360" w:lineRule="auto"/>
        <w:ind w:firstLine="660"/>
        <w:rPr>
          <w:rFonts w:hint="eastAsia" w:ascii="宋体" w:hAnsi="宋体" w:cs="宋体"/>
          <w:color w:val="auto"/>
          <w:szCs w:val="21"/>
          <w:highlight w:val="none"/>
        </w:rPr>
      </w:pPr>
      <w:r>
        <w:rPr>
          <w:rFonts w:hint="eastAsia" w:ascii="宋体" w:hAnsi="宋体" w:cs="宋体"/>
          <w:b/>
          <w:color w:val="auto"/>
          <w:szCs w:val="21"/>
          <w:highlight w:val="none"/>
        </w:rPr>
        <w:t>开户银行：</w:t>
      </w:r>
      <w:r>
        <w:rPr>
          <w:rFonts w:hint="eastAsia" w:ascii="宋体" w:hAnsi="宋体" w:cs="宋体"/>
          <w:color w:val="auto"/>
          <w:szCs w:val="21"/>
          <w:highlight w:val="none"/>
        </w:rPr>
        <w:t xml:space="preserve">  </w:t>
      </w:r>
    </w:p>
    <w:p w14:paraId="4D9DFC09">
      <w:pPr>
        <w:spacing w:line="360" w:lineRule="auto"/>
        <w:ind w:firstLine="660"/>
        <w:rPr>
          <w:rFonts w:hint="eastAsia" w:ascii="宋体" w:hAnsi="宋体" w:cs="宋体"/>
          <w:color w:val="auto"/>
          <w:szCs w:val="21"/>
          <w:highlight w:val="none"/>
        </w:rPr>
      </w:pPr>
      <w:r>
        <w:rPr>
          <w:rFonts w:hint="eastAsia" w:ascii="宋体" w:hAnsi="宋体" w:cs="宋体"/>
          <w:b/>
          <w:color w:val="auto"/>
          <w:szCs w:val="21"/>
          <w:highlight w:val="none"/>
        </w:rPr>
        <w:t xml:space="preserve">银行账号： </w:t>
      </w:r>
    </w:p>
    <w:p w14:paraId="6068BE88">
      <w:pPr>
        <w:spacing w:line="360" w:lineRule="auto"/>
        <w:ind w:firstLine="660"/>
        <w:rPr>
          <w:rFonts w:hint="eastAsia" w:ascii="宋体" w:hAnsi="宋体" w:cs="宋体"/>
          <w:color w:val="auto"/>
          <w:szCs w:val="21"/>
          <w:highlight w:val="none"/>
        </w:rPr>
      </w:pPr>
      <w:r>
        <w:rPr>
          <w:rFonts w:hint="eastAsia" w:ascii="宋体" w:hAnsi="宋体" w:cs="宋体"/>
          <w:b/>
          <w:color w:val="auto"/>
          <w:szCs w:val="21"/>
          <w:highlight w:val="none"/>
        </w:rPr>
        <w:t>开户地所属省份、市县</w:t>
      </w:r>
      <w:r>
        <w:rPr>
          <w:rFonts w:hint="eastAsia" w:ascii="宋体" w:hAnsi="宋体" w:cs="宋体"/>
          <w:color w:val="auto"/>
          <w:szCs w:val="21"/>
          <w:highlight w:val="none"/>
        </w:rPr>
        <w:t xml:space="preserve">： </w:t>
      </w:r>
    </w:p>
    <w:p w14:paraId="433337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1C19BE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单位全称：</w:t>
      </w:r>
      <w:r>
        <w:rPr>
          <w:rFonts w:hint="eastAsia" w:ascii="宋体" w:hAnsi="宋体" w:cs="宋体"/>
          <w:bCs/>
          <w:color w:val="auto"/>
          <w:szCs w:val="21"/>
          <w:highlight w:val="none"/>
        </w:rPr>
        <w:t xml:space="preserve">         </w:t>
      </w:r>
      <w:r>
        <w:rPr>
          <w:rFonts w:hint="eastAsia" w:ascii="宋体" w:hAnsi="宋体" w:cs="宋体"/>
          <w:color w:val="auto"/>
          <w:szCs w:val="21"/>
          <w:highlight w:val="none"/>
        </w:rPr>
        <w:t>（加盖公章）</w:t>
      </w:r>
    </w:p>
    <w:p w14:paraId="359C5BE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时间：    年   月   日</w:t>
      </w:r>
    </w:p>
    <w:p w14:paraId="1AC0CF98">
      <w:pPr>
        <w:spacing w:line="360" w:lineRule="auto"/>
        <w:rPr>
          <w:rFonts w:hint="eastAsia" w:ascii="宋体" w:hAnsi="宋体" w:cs="宋体"/>
          <w:color w:val="auto"/>
          <w:szCs w:val="21"/>
          <w:highlight w:val="none"/>
        </w:rPr>
      </w:pPr>
    </w:p>
    <w:p w14:paraId="2F839A5D">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说明</w:t>
      </w:r>
      <w:r>
        <w:rPr>
          <w:rFonts w:hint="eastAsia" w:ascii="宋体" w:hAnsi="宋体" w:cs="宋体"/>
          <w:color w:val="auto"/>
          <w:szCs w:val="21"/>
          <w:highlight w:val="none"/>
        </w:rPr>
        <w:t>：退</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保证金申请函可提前做出，并在</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当天递交给采购代理机构工作人员，以便发布</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通知书后退还，也可在</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通知书发布后递交。</w:t>
      </w:r>
    </w:p>
    <w:p w14:paraId="6A9D3D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的供应商的</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保证金于</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通知书发出后退回（无息）；成交供应商按要求与采购人签署合同并将合同交采购代理机构后可申请退回其</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保证金（无息）；成交供应商需提交</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合同原件或复印件（复印件须加盖公章）。</w:t>
      </w:r>
    </w:p>
    <w:p w14:paraId="3C4FD9A4">
      <w:pPr>
        <w:spacing w:line="360" w:lineRule="auto"/>
        <w:rPr>
          <w:rFonts w:hint="eastAsia" w:ascii="宋体" w:hAnsi="宋体" w:cs="仿宋_GB2312"/>
          <w:color w:val="auto"/>
          <w:sz w:val="32"/>
          <w:szCs w:val="32"/>
          <w:highlight w:val="none"/>
        </w:rPr>
      </w:pPr>
    </w:p>
    <w:p w14:paraId="643FAA47">
      <w:pPr>
        <w:spacing w:line="520" w:lineRule="exact"/>
        <w:rPr>
          <w:rFonts w:hint="eastAsia" w:ascii="宋体" w:hAnsi="宋体" w:cs="仿宋_GB2312"/>
          <w:color w:val="auto"/>
          <w:sz w:val="32"/>
          <w:szCs w:val="32"/>
          <w:highlight w:val="none"/>
        </w:rPr>
      </w:pPr>
    </w:p>
    <w:p w14:paraId="768289C4">
      <w:pPr>
        <w:spacing w:line="520" w:lineRule="exact"/>
        <w:rPr>
          <w:rFonts w:hint="eastAsia" w:ascii="宋体" w:hAnsi="宋体" w:cs="仿宋_GB2312"/>
          <w:color w:val="auto"/>
          <w:sz w:val="32"/>
          <w:szCs w:val="32"/>
          <w:highlight w:val="none"/>
        </w:rPr>
      </w:pPr>
    </w:p>
    <w:p w14:paraId="688262D4">
      <w:pPr>
        <w:spacing w:line="520" w:lineRule="exact"/>
        <w:rPr>
          <w:rFonts w:hint="eastAsia" w:ascii="宋体" w:hAnsi="宋体" w:cs="仿宋_GB2312"/>
          <w:color w:val="auto"/>
          <w:sz w:val="32"/>
          <w:szCs w:val="32"/>
          <w:highlight w:val="none"/>
        </w:rPr>
      </w:pPr>
    </w:p>
    <w:p w14:paraId="09C91247">
      <w:pPr>
        <w:autoSpaceDE w:val="0"/>
        <w:autoSpaceDN w:val="0"/>
        <w:spacing w:line="300" w:lineRule="auto"/>
        <w:rPr>
          <w:rFonts w:hint="eastAsia" w:ascii="宋体" w:hAnsi="宋体"/>
          <w:color w:val="auto"/>
          <w:szCs w:val="21"/>
          <w:highlight w:val="none"/>
        </w:rPr>
      </w:pPr>
    </w:p>
    <w:p w14:paraId="5089754C">
      <w:pPr>
        <w:pStyle w:val="3"/>
        <w:spacing w:line="520" w:lineRule="exact"/>
        <w:jc w:val="center"/>
        <w:rPr>
          <w:rFonts w:ascii="宋体" w:hAnsi="宋体"/>
          <w:color w:val="auto"/>
          <w:highlight w:val="none"/>
        </w:rPr>
      </w:pPr>
      <w:r>
        <w:rPr>
          <w:rFonts w:ascii="宋体" w:hAnsi="宋体"/>
          <w:color w:val="auto"/>
          <w:highlight w:val="none"/>
        </w:rPr>
        <w:br w:type="page"/>
      </w:r>
      <w:bookmarkStart w:id="162" w:name="_Toc24444"/>
      <w:r>
        <w:rPr>
          <w:rFonts w:hint="eastAsia" w:ascii="宋体" w:hAnsi="宋体"/>
          <w:color w:val="auto"/>
          <w:highlight w:val="none"/>
        </w:rPr>
        <w:t>第六章  采购合同</w:t>
      </w:r>
      <w:bookmarkEnd w:id="162"/>
    </w:p>
    <w:p w14:paraId="75F00AC0">
      <w:pPr>
        <w:jc w:val="center"/>
        <w:rPr>
          <w:rFonts w:ascii="宋体" w:hAnsi="宋体" w:cs="微软雅黑"/>
          <w:color w:val="auto"/>
          <w:sz w:val="44"/>
          <w:szCs w:val="44"/>
          <w:highlight w:val="none"/>
        </w:rPr>
      </w:pPr>
      <w:bookmarkStart w:id="163" w:name="_Toc5873"/>
      <w:bookmarkStart w:id="164" w:name="_Toc20751"/>
      <w:bookmarkStart w:id="165" w:name="_Toc20146"/>
      <w:bookmarkStart w:id="166" w:name="_Toc20258"/>
      <w:bookmarkStart w:id="167" w:name="_Toc16893"/>
      <w:r>
        <w:rPr>
          <w:rFonts w:hint="eastAsia" w:ascii="宋体" w:hAnsi="宋体" w:cs="微软雅黑"/>
          <w:color w:val="auto"/>
          <w:sz w:val="44"/>
          <w:szCs w:val="44"/>
          <w:highlight w:val="none"/>
        </w:rPr>
        <w:t>采 购 合 同</w:t>
      </w:r>
      <w:bookmarkEnd w:id="163"/>
      <w:bookmarkEnd w:id="164"/>
      <w:bookmarkEnd w:id="165"/>
      <w:bookmarkEnd w:id="166"/>
      <w:bookmarkEnd w:id="167"/>
    </w:p>
    <w:p w14:paraId="5B0CC4D3">
      <w:pPr>
        <w:rPr>
          <w:rFonts w:ascii="宋体" w:hAnsi="宋体" w:cs="微软雅黑"/>
          <w:color w:val="auto"/>
          <w:sz w:val="36"/>
          <w:szCs w:val="36"/>
          <w:highlight w:val="none"/>
        </w:rPr>
      </w:pPr>
    </w:p>
    <w:p w14:paraId="786B6ABA">
      <w:pPr>
        <w:spacing w:after="120"/>
        <w:ind w:left="0" w:leftChars="0" w:firstLine="2319" w:firstLineChars="773"/>
        <w:rPr>
          <w:rFonts w:ascii="宋体" w:hAnsi="宋体" w:cs="微软雅黑"/>
          <w:color w:val="auto"/>
          <w:kern w:val="0"/>
          <w:sz w:val="30"/>
          <w:szCs w:val="30"/>
          <w:highlight w:val="none"/>
          <w:u w:val="single"/>
        </w:rPr>
      </w:pPr>
      <w:r>
        <w:rPr>
          <w:rFonts w:hint="eastAsia" w:ascii="宋体" w:hAnsi="宋体" w:cs="微软雅黑"/>
          <w:color w:val="auto"/>
          <w:kern w:val="0"/>
          <w:sz w:val="30"/>
          <w:szCs w:val="30"/>
          <w:highlight w:val="none"/>
        </w:rPr>
        <w:t>合同名称：</w:t>
      </w:r>
      <w:r>
        <w:rPr>
          <w:rFonts w:hint="eastAsia" w:ascii="宋体" w:hAnsi="宋体" w:cs="微软雅黑"/>
          <w:color w:val="auto"/>
          <w:kern w:val="0"/>
          <w:sz w:val="30"/>
          <w:szCs w:val="30"/>
          <w:highlight w:val="none"/>
          <w:u w:val="single"/>
        </w:rPr>
        <w:t xml:space="preserve">          </w:t>
      </w:r>
    </w:p>
    <w:p w14:paraId="42032431">
      <w:pPr>
        <w:spacing w:after="120"/>
        <w:ind w:left="0" w:leftChars="0" w:firstLine="2319" w:firstLineChars="773"/>
        <w:rPr>
          <w:rFonts w:ascii="宋体" w:hAnsi="宋体" w:cs="微软雅黑"/>
          <w:color w:val="auto"/>
          <w:kern w:val="0"/>
          <w:sz w:val="30"/>
          <w:szCs w:val="30"/>
          <w:highlight w:val="none"/>
        </w:rPr>
      </w:pPr>
      <w:r>
        <w:rPr>
          <w:rFonts w:hint="eastAsia" w:ascii="宋体" w:hAnsi="宋体" w:cs="微软雅黑"/>
          <w:color w:val="auto"/>
          <w:kern w:val="0"/>
          <w:sz w:val="30"/>
          <w:szCs w:val="30"/>
          <w:highlight w:val="none"/>
        </w:rPr>
        <w:t>项目编号：</w:t>
      </w:r>
      <w:r>
        <w:rPr>
          <w:rFonts w:hint="eastAsia" w:ascii="宋体" w:hAnsi="宋体" w:cs="微软雅黑"/>
          <w:color w:val="auto"/>
          <w:kern w:val="0"/>
          <w:sz w:val="30"/>
          <w:szCs w:val="30"/>
          <w:highlight w:val="none"/>
          <w:u w:val="single"/>
        </w:rPr>
        <w:t xml:space="preserve">          </w:t>
      </w:r>
    </w:p>
    <w:p w14:paraId="114541E7">
      <w:pPr>
        <w:spacing w:after="120"/>
        <w:ind w:left="420" w:leftChars="200" w:firstLine="600" w:firstLineChars="200"/>
        <w:rPr>
          <w:rFonts w:ascii="宋体" w:hAnsi="宋体" w:cs="微软雅黑"/>
          <w:color w:val="auto"/>
          <w:kern w:val="0"/>
          <w:sz w:val="30"/>
          <w:szCs w:val="30"/>
          <w:highlight w:val="none"/>
        </w:rPr>
      </w:pPr>
    </w:p>
    <w:p w14:paraId="771E2FA5">
      <w:pPr>
        <w:spacing w:after="120"/>
        <w:ind w:left="420" w:leftChars="200" w:firstLine="600" w:firstLineChars="200"/>
        <w:rPr>
          <w:rFonts w:ascii="宋体" w:hAnsi="宋体" w:cs="微软雅黑"/>
          <w:color w:val="auto"/>
          <w:kern w:val="0"/>
          <w:sz w:val="30"/>
          <w:szCs w:val="30"/>
          <w:highlight w:val="none"/>
        </w:rPr>
      </w:pPr>
    </w:p>
    <w:p w14:paraId="04437767">
      <w:pPr>
        <w:spacing w:after="120"/>
        <w:ind w:firstLine="600" w:firstLineChars="200"/>
        <w:rPr>
          <w:rFonts w:ascii="宋体" w:hAnsi="宋体" w:cs="微软雅黑"/>
          <w:color w:val="auto"/>
          <w:kern w:val="0"/>
          <w:sz w:val="30"/>
          <w:szCs w:val="30"/>
          <w:highlight w:val="none"/>
          <w:u w:val="single"/>
        </w:rPr>
      </w:pPr>
      <w:r>
        <w:rPr>
          <w:rFonts w:hint="eastAsia" w:ascii="宋体" w:hAnsi="宋体" w:cs="微软雅黑"/>
          <w:color w:val="auto"/>
          <w:kern w:val="0"/>
          <w:sz w:val="30"/>
          <w:szCs w:val="30"/>
          <w:highlight w:val="none"/>
        </w:rPr>
        <w:t>采购人：</w:t>
      </w:r>
      <w:r>
        <w:rPr>
          <w:rFonts w:hint="eastAsia" w:ascii="宋体" w:hAnsi="宋体" w:cs="微软雅黑"/>
          <w:color w:val="auto"/>
          <w:kern w:val="0"/>
          <w:sz w:val="30"/>
          <w:szCs w:val="30"/>
          <w:highlight w:val="none"/>
          <w:u w:val="single"/>
        </w:rPr>
        <w:t xml:space="preserve"> </w:t>
      </w:r>
      <w:r>
        <w:rPr>
          <w:rFonts w:ascii="宋体" w:hAnsi="宋体" w:cs="微软雅黑"/>
          <w:color w:val="auto"/>
          <w:kern w:val="0"/>
          <w:sz w:val="30"/>
          <w:szCs w:val="30"/>
          <w:highlight w:val="none"/>
          <w:u w:val="single"/>
        </w:rPr>
        <w:t xml:space="preserve">               </w:t>
      </w:r>
      <w:r>
        <w:rPr>
          <w:rFonts w:hint="eastAsia" w:ascii="宋体" w:hAnsi="宋体" w:cs="微软雅黑"/>
          <w:color w:val="auto"/>
          <w:kern w:val="0"/>
          <w:sz w:val="30"/>
          <w:szCs w:val="30"/>
          <w:highlight w:val="none"/>
          <w:u w:val="single"/>
        </w:rPr>
        <w:t xml:space="preserve"> </w:t>
      </w:r>
    </w:p>
    <w:p w14:paraId="2F72ADB3">
      <w:pPr>
        <w:spacing w:after="120"/>
        <w:ind w:firstLine="600" w:firstLineChars="200"/>
        <w:rPr>
          <w:rFonts w:ascii="宋体" w:hAnsi="宋体" w:cs="微软雅黑"/>
          <w:color w:val="auto"/>
          <w:kern w:val="0"/>
          <w:sz w:val="30"/>
          <w:szCs w:val="30"/>
          <w:highlight w:val="none"/>
          <w:u w:val="single"/>
        </w:rPr>
      </w:pPr>
      <w:r>
        <w:rPr>
          <w:rFonts w:hint="eastAsia" w:ascii="宋体" w:hAnsi="宋体" w:cs="微软雅黑"/>
          <w:color w:val="auto"/>
          <w:kern w:val="0"/>
          <w:sz w:val="30"/>
          <w:szCs w:val="30"/>
          <w:highlight w:val="none"/>
        </w:rPr>
        <w:t>供 应 商：</w:t>
      </w:r>
      <w:r>
        <w:rPr>
          <w:rFonts w:hint="eastAsia" w:ascii="宋体" w:hAnsi="宋体" w:cs="微软雅黑"/>
          <w:color w:val="auto"/>
          <w:kern w:val="0"/>
          <w:sz w:val="30"/>
          <w:szCs w:val="30"/>
          <w:highlight w:val="none"/>
          <w:u w:val="single"/>
        </w:rPr>
        <w:t xml:space="preserve"> </w:t>
      </w:r>
      <w:r>
        <w:rPr>
          <w:rFonts w:ascii="宋体" w:hAnsi="宋体" w:cs="微软雅黑"/>
          <w:color w:val="auto"/>
          <w:kern w:val="0"/>
          <w:sz w:val="30"/>
          <w:szCs w:val="30"/>
          <w:highlight w:val="none"/>
          <w:u w:val="single"/>
        </w:rPr>
        <w:t xml:space="preserve"> </w:t>
      </w:r>
      <w:r>
        <w:rPr>
          <w:rFonts w:hint="eastAsia" w:ascii="宋体" w:hAnsi="宋体" w:cs="微软雅黑"/>
          <w:color w:val="auto"/>
          <w:kern w:val="0"/>
          <w:sz w:val="30"/>
          <w:szCs w:val="30"/>
          <w:highlight w:val="none"/>
          <w:u w:val="single"/>
        </w:rPr>
        <w:t xml:space="preserve">               </w:t>
      </w:r>
    </w:p>
    <w:p w14:paraId="31A90E5F">
      <w:pPr>
        <w:spacing w:after="120"/>
        <w:rPr>
          <w:rFonts w:ascii="宋体" w:hAnsi="宋体" w:cs="微软雅黑"/>
          <w:color w:val="auto"/>
          <w:kern w:val="0"/>
          <w:sz w:val="30"/>
          <w:szCs w:val="30"/>
          <w:highlight w:val="none"/>
        </w:rPr>
      </w:pPr>
    </w:p>
    <w:p w14:paraId="2BB71F64">
      <w:pPr>
        <w:spacing w:after="120"/>
        <w:rPr>
          <w:rFonts w:ascii="宋体" w:hAnsi="宋体" w:cs="微软雅黑"/>
          <w:color w:val="auto"/>
          <w:kern w:val="0"/>
          <w:sz w:val="30"/>
          <w:szCs w:val="30"/>
          <w:highlight w:val="none"/>
        </w:rPr>
      </w:pPr>
    </w:p>
    <w:p w14:paraId="4F8B6975">
      <w:pPr>
        <w:spacing w:after="120"/>
        <w:ind w:firstLine="600" w:firstLineChars="200"/>
        <w:rPr>
          <w:rFonts w:ascii="宋体" w:hAnsi="宋体" w:cs="微软雅黑"/>
          <w:color w:val="auto"/>
          <w:kern w:val="0"/>
          <w:sz w:val="30"/>
          <w:szCs w:val="30"/>
          <w:highlight w:val="none"/>
          <w:u w:val="single"/>
        </w:rPr>
      </w:pPr>
      <w:r>
        <w:rPr>
          <w:rFonts w:hint="eastAsia" w:ascii="宋体" w:hAnsi="宋体" w:cs="微软雅黑"/>
          <w:color w:val="auto"/>
          <w:kern w:val="0"/>
          <w:sz w:val="30"/>
          <w:szCs w:val="30"/>
          <w:highlight w:val="none"/>
        </w:rPr>
        <w:t>签订合同地点：</w:t>
      </w:r>
      <w:r>
        <w:rPr>
          <w:rFonts w:hint="eastAsia" w:ascii="宋体" w:hAnsi="宋体" w:cs="微软雅黑"/>
          <w:color w:val="auto"/>
          <w:kern w:val="0"/>
          <w:sz w:val="30"/>
          <w:szCs w:val="30"/>
          <w:highlight w:val="none"/>
          <w:u w:val="single"/>
        </w:rPr>
        <w:t xml:space="preserve">广西南宁市                           </w:t>
      </w:r>
    </w:p>
    <w:p w14:paraId="57CC4850">
      <w:pPr>
        <w:spacing w:after="120"/>
        <w:ind w:left="420" w:leftChars="200" w:firstLine="600" w:firstLineChars="200"/>
        <w:rPr>
          <w:rFonts w:ascii="宋体" w:hAnsi="宋体" w:cs="微软雅黑"/>
          <w:color w:val="auto"/>
          <w:kern w:val="0"/>
          <w:sz w:val="30"/>
          <w:szCs w:val="30"/>
          <w:highlight w:val="none"/>
        </w:rPr>
      </w:pPr>
    </w:p>
    <w:p w14:paraId="3DDE1694">
      <w:pPr>
        <w:spacing w:after="120"/>
        <w:ind w:firstLine="600" w:firstLineChars="200"/>
        <w:rPr>
          <w:rFonts w:ascii="宋体" w:hAnsi="宋体" w:cs="微软雅黑"/>
          <w:color w:val="auto"/>
          <w:kern w:val="0"/>
          <w:sz w:val="30"/>
          <w:szCs w:val="30"/>
          <w:highlight w:val="none"/>
          <w:u w:val="single"/>
        </w:rPr>
      </w:pPr>
      <w:r>
        <w:rPr>
          <w:rFonts w:hint="eastAsia" w:ascii="宋体" w:hAnsi="宋体" w:cs="微软雅黑"/>
          <w:color w:val="auto"/>
          <w:kern w:val="0"/>
          <w:sz w:val="30"/>
          <w:szCs w:val="30"/>
          <w:highlight w:val="none"/>
        </w:rPr>
        <w:t>签订合同时间：</w:t>
      </w:r>
      <w:r>
        <w:rPr>
          <w:rFonts w:hint="eastAsia" w:ascii="宋体" w:hAnsi="宋体" w:cs="微软雅黑"/>
          <w:color w:val="auto"/>
          <w:kern w:val="0"/>
          <w:sz w:val="30"/>
          <w:szCs w:val="30"/>
          <w:highlight w:val="none"/>
          <w:u w:val="single"/>
        </w:rPr>
        <w:t>202</w:t>
      </w:r>
      <w:r>
        <w:rPr>
          <w:rFonts w:hint="eastAsia" w:ascii="宋体" w:hAnsi="宋体" w:cs="微软雅黑"/>
          <w:color w:val="auto"/>
          <w:kern w:val="0"/>
          <w:sz w:val="30"/>
          <w:szCs w:val="30"/>
          <w:highlight w:val="none"/>
          <w:u w:val="single"/>
          <w:lang w:val="en-US" w:eastAsia="zh-CN"/>
        </w:rPr>
        <w:t>4</w:t>
      </w:r>
      <w:r>
        <w:rPr>
          <w:rFonts w:hint="eastAsia" w:ascii="宋体" w:hAnsi="宋体" w:cs="微软雅黑"/>
          <w:color w:val="auto"/>
          <w:kern w:val="0"/>
          <w:sz w:val="30"/>
          <w:szCs w:val="30"/>
          <w:highlight w:val="none"/>
          <w:u w:val="single"/>
        </w:rPr>
        <w:t xml:space="preserve">年    月    日                  </w:t>
      </w:r>
    </w:p>
    <w:p w14:paraId="4B624C44">
      <w:pPr>
        <w:wordWrap w:val="0"/>
        <w:snapToGrid w:val="0"/>
        <w:spacing w:before="156" w:beforeLines="50" w:line="360" w:lineRule="auto"/>
        <w:jc w:val="center"/>
        <w:outlineLvl w:val="0"/>
        <w:rPr>
          <w:rFonts w:ascii="宋体" w:hAnsi="宋体" w:cs="微软雅黑"/>
          <w:b/>
          <w:bCs/>
          <w:color w:val="auto"/>
          <w:sz w:val="36"/>
          <w:szCs w:val="36"/>
          <w:highlight w:val="none"/>
        </w:rPr>
      </w:pPr>
    </w:p>
    <w:p w14:paraId="1AACC029">
      <w:pPr>
        <w:wordWrap w:val="0"/>
        <w:snapToGrid w:val="0"/>
        <w:spacing w:before="156" w:beforeLines="50" w:line="360" w:lineRule="auto"/>
        <w:jc w:val="center"/>
        <w:outlineLvl w:val="0"/>
        <w:rPr>
          <w:rFonts w:ascii="宋体" w:hAnsi="宋体" w:cs="微软雅黑"/>
          <w:b/>
          <w:bCs/>
          <w:color w:val="auto"/>
          <w:sz w:val="36"/>
          <w:szCs w:val="36"/>
          <w:highlight w:val="none"/>
        </w:rPr>
      </w:pPr>
    </w:p>
    <w:p w14:paraId="0AEB86B5">
      <w:pPr>
        <w:wordWrap w:val="0"/>
        <w:snapToGrid w:val="0"/>
        <w:spacing w:before="156" w:beforeLines="50" w:line="360" w:lineRule="auto"/>
        <w:jc w:val="center"/>
        <w:outlineLvl w:val="0"/>
        <w:rPr>
          <w:rFonts w:ascii="宋体" w:hAnsi="宋体" w:cs="微软雅黑"/>
          <w:b/>
          <w:bCs/>
          <w:color w:val="auto"/>
          <w:sz w:val="36"/>
          <w:szCs w:val="36"/>
          <w:highlight w:val="none"/>
        </w:rPr>
      </w:pPr>
    </w:p>
    <w:p w14:paraId="75203108">
      <w:pPr>
        <w:wordWrap w:val="0"/>
        <w:snapToGrid w:val="0"/>
        <w:spacing w:before="156" w:beforeLines="50" w:line="360" w:lineRule="auto"/>
        <w:jc w:val="center"/>
        <w:outlineLvl w:val="0"/>
        <w:rPr>
          <w:rFonts w:ascii="宋体" w:hAnsi="宋体" w:cs="微软雅黑"/>
          <w:b/>
          <w:bCs/>
          <w:color w:val="auto"/>
          <w:sz w:val="36"/>
          <w:szCs w:val="36"/>
          <w:highlight w:val="none"/>
        </w:rPr>
      </w:pPr>
    </w:p>
    <w:p w14:paraId="7521290F">
      <w:pPr>
        <w:keepNext w:val="0"/>
        <w:keepLines w:val="0"/>
        <w:pageBreakBefore w:val="0"/>
        <w:widowControl w:val="0"/>
        <w:kinsoku/>
        <w:wordWrap w:val="0"/>
        <w:overflowPunct/>
        <w:topLinePunct w:val="0"/>
        <w:autoSpaceDE/>
        <w:autoSpaceDN/>
        <w:bidi w:val="0"/>
        <w:adjustRightInd/>
        <w:snapToGrid w:val="0"/>
        <w:spacing w:before="156" w:beforeLines="50" w:line="360" w:lineRule="auto"/>
        <w:jc w:val="center"/>
        <w:textAlignment w:val="auto"/>
        <w:outlineLvl w:val="9"/>
        <w:rPr>
          <w:rFonts w:ascii="宋体" w:hAnsi="宋体" w:cs="微软雅黑"/>
          <w:color w:val="auto"/>
          <w:sz w:val="36"/>
          <w:szCs w:val="36"/>
          <w:highlight w:val="none"/>
        </w:rPr>
      </w:pPr>
      <w:bookmarkStart w:id="168" w:name="_Toc6004"/>
      <w:bookmarkStart w:id="169" w:name="_Toc254970549"/>
      <w:bookmarkStart w:id="170" w:name="_Toc493601332"/>
      <w:bookmarkStart w:id="171" w:name="_Toc254970690"/>
      <w:r>
        <w:rPr>
          <w:rFonts w:hint="eastAsia" w:ascii="宋体" w:hAnsi="宋体" w:cs="微软雅黑"/>
          <w:b/>
          <w:bCs/>
          <w:color w:val="auto"/>
          <w:sz w:val="36"/>
          <w:szCs w:val="36"/>
          <w:highlight w:val="none"/>
        </w:rPr>
        <w:t>采购合同</w:t>
      </w:r>
      <w:bookmarkEnd w:id="168"/>
    </w:p>
    <w:bookmarkEnd w:id="169"/>
    <w:bookmarkEnd w:id="170"/>
    <w:bookmarkEnd w:id="171"/>
    <w:p w14:paraId="4657C61B">
      <w:pPr>
        <w:snapToGrid w:val="0"/>
        <w:spacing w:line="360" w:lineRule="exact"/>
        <w:ind w:right="480" w:firstLine="5985" w:firstLineChars="2850"/>
        <w:rPr>
          <w:rFonts w:ascii="宋体" w:hAnsi="宋体" w:cs="微软雅黑"/>
          <w:bCs/>
          <w:color w:val="auto"/>
          <w:szCs w:val="21"/>
          <w:highlight w:val="none"/>
        </w:rPr>
      </w:pPr>
    </w:p>
    <w:p w14:paraId="133C8598">
      <w:pPr>
        <w:snapToGrid w:val="0"/>
        <w:spacing w:line="320" w:lineRule="exact"/>
        <w:rPr>
          <w:rFonts w:ascii="宋体" w:hAnsi="宋体" w:cs="微软雅黑"/>
          <w:color w:val="auto"/>
          <w:szCs w:val="21"/>
          <w:highlight w:val="none"/>
        </w:rPr>
      </w:pPr>
    </w:p>
    <w:p w14:paraId="3DCA32B1">
      <w:pPr>
        <w:keepNext w:val="0"/>
        <w:keepLines w:val="0"/>
        <w:pageBreakBefore w:val="0"/>
        <w:kinsoku/>
        <w:overflowPunct/>
        <w:topLinePunct w:val="0"/>
        <w:autoSpaceDE/>
        <w:autoSpaceDN/>
        <w:bidi w:val="0"/>
        <w:adjustRightInd/>
        <w:snapToGrid w:val="0"/>
        <w:spacing w:line="440" w:lineRule="exact"/>
        <w:rPr>
          <w:rFonts w:ascii="宋体" w:hAnsi="宋体" w:cs="微软雅黑"/>
          <w:color w:val="auto"/>
          <w:sz w:val="21"/>
          <w:szCs w:val="21"/>
          <w:highlight w:val="none"/>
          <w:u w:val="single"/>
        </w:rPr>
      </w:pPr>
      <w:r>
        <w:rPr>
          <w:rFonts w:hint="eastAsia" w:ascii="宋体" w:hAnsi="宋体" w:cs="微软雅黑"/>
          <w:color w:val="auto"/>
          <w:sz w:val="21"/>
          <w:szCs w:val="21"/>
          <w:highlight w:val="none"/>
        </w:rPr>
        <w:t>采购人（甲方）：</w:t>
      </w:r>
      <w:r>
        <w:rPr>
          <w:rFonts w:hint="eastAsia" w:ascii="宋体" w:hAnsi="宋体" w:cs="微软雅黑"/>
          <w:color w:val="auto"/>
          <w:sz w:val="21"/>
          <w:szCs w:val="21"/>
          <w:highlight w:val="none"/>
          <w:u w:val="single"/>
        </w:rPr>
        <w:t xml:space="preserve"> </w:t>
      </w:r>
      <w:r>
        <w:rPr>
          <w:rFonts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rPr>
        <w:t xml:space="preserve">  </w:t>
      </w:r>
      <w:r>
        <w:rPr>
          <w:rFonts w:hint="eastAsia" w:ascii="宋体" w:hAnsi="宋体" w:cs="微软雅黑"/>
          <w:color w:val="auto"/>
          <w:sz w:val="21"/>
          <w:szCs w:val="21"/>
          <w:highlight w:val="none"/>
          <w:lang w:val="en-US" w:eastAsia="zh-CN"/>
        </w:rPr>
        <w:t xml:space="preserve">    </w:t>
      </w:r>
      <w:r>
        <w:rPr>
          <w:rFonts w:hint="eastAsia" w:ascii="宋体" w:hAnsi="宋体" w:cs="微软雅黑"/>
          <w:color w:val="auto"/>
          <w:sz w:val="21"/>
          <w:szCs w:val="21"/>
          <w:highlight w:val="none"/>
        </w:rPr>
        <w:t xml:space="preserve">  </w:t>
      </w:r>
      <w:r>
        <w:rPr>
          <w:rFonts w:hint="eastAsia" w:ascii="宋体" w:hAnsi="宋体" w:cs="微软雅黑"/>
          <w:bCs/>
          <w:color w:val="auto"/>
          <w:sz w:val="21"/>
          <w:szCs w:val="21"/>
          <w:highlight w:val="none"/>
        </w:rPr>
        <w:t xml:space="preserve">项 目 编 </w:t>
      </w:r>
      <w:r>
        <w:rPr>
          <w:rFonts w:hint="eastAsia" w:ascii="宋体" w:hAnsi="宋体" w:cs="微软雅黑"/>
          <w:color w:val="auto"/>
          <w:spacing w:val="-20"/>
          <w:sz w:val="21"/>
          <w:szCs w:val="21"/>
          <w:highlight w:val="none"/>
        </w:rPr>
        <w:t>号</w:t>
      </w:r>
      <w:r>
        <w:rPr>
          <w:rFonts w:hint="eastAsia" w:ascii="宋体" w:hAnsi="宋体" w:cs="微软雅黑"/>
          <w:color w:val="auto"/>
          <w:sz w:val="21"/>
          <w:szCs w:val="21"/>
          <w:highlight w:val="none"/>
        </w:rPr>
        <w:t xml:space="preserve"> ：</w:t>
      </w:r>
      <w:r>
        <w:rPr>
          <w:rFonts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u w:val="single"/>
        </w:rPr>
        <w:t xml:space="preserve">        </w:t>
      </w:r>
    </w:p>
    <w:p w14:paraId="55ABEC18">
      <w:pPr>
        <w:keepNext w:val="0"/>
        <w:keepLines w:val="0"/>
        <w:pageBreakBefore w:val="0"/>
        <w:kinsoku/>
        <w:overflowPunct/>
        <w:topLinePunct w:val="0"/>
        <w:autoSpaceDE/>
        <w:autoSpaceDN/>
        <w:bidi w:val="0"/>
        <w:adjustRightInd/>
        <w:snapToGrid w:val="0"/>
        <w:spacing w:line="440" w:lineRule="exact"/>
        <w:rPr>
          <w:rFonts w:ascii="宋体" w:hAnsi="宋体" w:cs="微软雅黑"/>
          <w:color w:val="auto"/>
          <w:sz w:val="21"/>
          <w:szCs w:val="21"/>
          <w:highlight w:val="none"/>
          <w:u w:val="single"/>
        </w:rPr>
      </w:pPr>
      <w:r>
        <w:rPr>
          <w:rFonts w:hint="eastAsia" w:ascii="宋体" w:hAnsi="宋体" w:cs="微软雅黑"/>
          <w:color w:val="auto"/>
          <w:sz w:val="21"/>
          <w:szCs w:val="21"/>
          <w:highlight w:val="none"/>
        </w:rPr>
        <w:t>供 应 商（乙方：）</w:t>
      </w:r>
      <w:r>
        <w:rPr>
          <w:rFonts w:hint="eastAsia" w:ascii="宋体" w:hAnsi="宋体" w:cs="微软雅黑"/>
          <w:color w:val="auto"/>
          <w:sz w:val="21"/>
          <w:szCs w:val="21"/>
          <w:highlight w:val="none"/>
          <w:u w:val="single"/>
        </w:rPr>
        <w:t xml:space="preserve">  </w:t>
      </w:r>
      <w:r>
        <w:rPr>
          <w:rFonts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rPr>
        <w:t xml:space="preserve">    </w:t>
      </w:r>
      <w:r>
        <w:rPr>
          <w:rFonts w:hint="eastAsia" w:ascii="宋体" w:hAnsi="宋体" w:cs="微软雅黑"/>
          <w:color w:val="auto"/>
          <w:sz w:val="21"/>
          <w:szCs w:val="21"/>
          <w:highlight w:val="none"/>
          <w:lang w:val="en-US" w:eastAsia="zh-CN"/>
        </w:rPr>
        <w:t xml:space="preserve">      </w:t>
      </w:r>
      <w:r>
        <w:rPr>
          <w:rFonts w:hint="eastAsia" w:ascii="宋体" w:hAnsi="宋体" w:cs="微软雅黑"/>
          <w:color w:val="auto"/>
          <w:sz w:val="21"/>
          <w:szCs w:val="21"/>
          <w:highlight w:val="none"/>
        </w:rPr>
        <w:t>项 目 名 称：</w:t>
      </w:r>
      <w:r>
        <w:rPr>
          <w:rFonts w:hint="eastAsia" w:ascii="宋体" w:hAnsi="宋体" w:cs="微软雅黑"/>
          <w:color w:val="auto"/>
          <w:sz w:val="21"/>
          <w:szCs w:val="21"/>
          <w:highlight w:val="none"/>
          <w:u w:val="single"/>
        </w:rPr>
        <w:t xml:space="preserve"> </w:t>
      </w:r>
      <w:r>
        <w:rPr>
          <w:rFonts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u w:val="single"/>
        </w:rPr>
        <w:t xml:space="preserve">                     </w:t>
      </w:r>
    </w:p>
    <w:p w14:paraId="052D2B85">
      <w:pPr>
        <w:keepNext w:val="0"/>
        <w:keepLines w:val="0"/>
        <w:pageBreakBefore w:val="0"/>
        <w:kinsoku/>
        <w:overflowPunct/>
        <w:topLinePunct w:val="0"/>
        <w:autoSpaceDE/>
        <w:autoSpaceDN/>
        <w:bidi w:val="0"/>
        <w:adjustRightInd/>
        <w:snapToGrid w:val="0"/>
        <w:spacing w:line="440" w:lineRule="exact"/>
        <w:rPr>
          <w:rFonts w:ascii="宋体" w:hAnsi="宋体" w:cs="微软雅黑"/>
          <w:color w:val="auto"/>
          <w:sz w:val="21"/>
          <w:szCs w:val="21"/>
          <w:highlight w:val="none"/>
        </w:rPr>
      </w:pPr>
      <w:r>
        <w:rPr>
          <w:rFonts w:hint="eastAsia" w:ascii="宋体" w:hAnsi="宋体" w:cs="微软雅黑"/>
          <w:color w:val="auto"/>
          <w:sz w:val="21"/>
          <w:szCs w:val="21"/>
          <w:highlight w:val="none"/>
        </w:rPr>
        <w:t>签  订  地  点 ：</w:t>
      </w:r>
      <w:r>
        <w:rPr>
          <w:rFonts w:hint="eastAsia" w:ascii="宋体" w:hAnsi="宋体" w:cs="微软雅黑"/>
          <w:color w:val="auto"/>
          <w:sz w:val="21"/>
          <w:szCs w:val="21"/>
          <w:highlight w:val="none"/>
          <w:u w:val="single"/>
        </w:rPr>
        <w:t xml:space="preserve">  </w:t>
      </w:r>
      <w:r>
        <w:rPr>
          <w:rFonts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u w:val="single"/>
        </w:rPr>
        <w:t xml:space="preserve">              </w:t>
      </w:r>
      <w:r>
        <w:rPr>
          <w:rFonts w:hint="eastAsia" w:ascii="宋体" w:hAnsi="宋体" w:cs="微软雅黑"/>
          <w:color w:val="auto"/>
          <w:sz w:val="21"/>
          <w:szCs w:val="21"/>
          <w:highlight w:val="none"/>
        </w:rPr>
        <w:t xml:space="preserve"> 签 订 时 间：</w:t>
      </w:r>
      <w:r>
        <w:rPr>
          <w:rFonts w:hint="eastAsia" w:ascii="宋体" w:hAnsi="宋体" w:cs="微软雅黑"/>
          <w:color w:val="auto"/>
          <w:sz w:val="21"/>
          <w:szCs w:val="21"/>
          <w:highlight w:val="none"/>
          <w:u w:val="single"/>
        </w:rPr>
        <w:t xml:space="preserve"> 202</w:t>
      </w:r>
      <w:r>
        <w:rPr>
          <w:rFonts w:hint="eastAsia" w:ascii="宋体" w:hAnsi="宋体" w:cs="微软雅黑"/>
          <w:color w:val="auto"/>
          <w:sz w:val="21"/>
          <w:szCs w:val="21"/>
          <w:highlight w:val="none"/>
          <w:u w:val="single"/>
          <w:lang w:val="en-US" w:eastAsia="zh-CN"/>
        </w:rPr>
        <w:t>4</w:t>
      </w:r>
      <w:r>
        <w:rPr>
          <w:rFonts w:hint="eastAsia" w:ascii="宋体" w:hAnsi="宋体" w:cs="微软雅黑"/>
          <w:color w:val="auto"/>
          <w:sz w:val="21"/>
          <w:szCs w:val="21"/>
          <w:highlight w:val="none"/>
          <w:u w:val="single"/>
        </w:rPr>
        <w:t xml:space="preserve">年   月   日             </w:t>
      </w:r>
    </w:p>
    <w:p w14:paraId="0110DE4B">
      <w:pPr>
        <w:keepNext w:val="0"/>
        <w:keepLines w:val="0"/>
        <w:pageBreakBefore w:val="0"/>
        <w:kinsoku/>
        <w:overflowPunct/>
        <w:topLinePunct w:val="0"/>
        <w:autoSpaceDE/>
        <w:autoSpaceDN/>
        <w:bidi w:val="0"/>
        <w:adjustRightInd/>
        <w:spacing w:line="440" w:lineRule="exact"/>
        <w:ind w:firstLine="420" w:firstLineChars="200"/>
        <w:rPr>
          <w:rFonts w:ascii="宋体" w:hAnsi="宋体" w:cs="微软雅黑"/>
          <w:color w:val="auto"/>
          <w:sz w:val="21"/>
          <w:szCs w:val="21"/>
          <w:highlight w:val="none"/>
        </w:rPr>
      </w:pPr>
      <w:r>
        <w:rPr>
          <w:rFonts w:hint="eastAsia" w:ascii="宋体" w:hAnsi="宋体" w:cs="微软雅黑"/>
          <w:color w:val="auto"/>
          <w:sz w:val="21"/>
          <w:szCs w:val="21"/>
          <w:highlight w:val="none"/>
        </w:rPr>
        <w:t>根据《中华人民共和国民法典》《中华人民共和国政府采购法》等法律法规规定，按照</w:t>
      </w:r>
      <w:r>
        <w:rPr>
          <w:rFonts w:hint="eastAsia" w:ascii="宋体" w:hAnsi="宋体" w:cs="微软雅黑"/>
          <w:color w:val="auto"/>
          <w:sz w:val="21"/>
          <w:szCs w:val="21"/>
          <w:highlight w:val="none"/>
          <w:lang w:val="en-US" w:eastAsia="zh-CN"/>
        </w:rPr>
        <w:t>采购</w:t>
      </w:r>
      <w:r>
        <w:rPr>
          <w:rFonts w:hint="eastAsia" w:ascii="宋体" w:hAnsi="宋体" w:cs="微软雅黑"/>
          <w:color w:val="auto"/>
          <w:sz w:val="21"/>
          <w:szCs w:val="21"/>
          <w:highlight w:val="none"/>
        </w:rPr>
        <w:t>文件规定条款和</w:t>
      </w:r>
      <w:r>
        <w:rPr>
          <w:rFonts w:hint="eastAsia" w:ascii="宋体" w:hAnsi="宋体" w:cs="微软雅黑"/>
          <w:color w:val="auto"/>
          <w:sz w:val="21"/>
          <w:szCs w:val="21"/>
          <w:highlight w:val="none"/>
          <w:lang w:val="en-US" w:eastAsia="zh-CN"/>
        </w:rPr>
        <w:t>成交</w:t>
      </w:r>
      <w:r>
        <w:rPr>
          <w:rFonts w:hint="eastAsia" w:ascii="宋体" w:hAnsi="宋体" w:cs="微软雅黑"/>
          <w:color w:val="auto"/>
          <w:sz w:val="21"/>
          <w:szCs w:val="21"/>
          <w:highlight w:val="none"/>
        </w:rPr>
        <w:t>供应商</w:t>
      </w:r>
      <w:r>
        <w:rPr>
          <w:rFonts w:hint="eastAsia"/>
          <w:color w:val="auto"/>
          <w:sz w:val="21"/>
          <w:szCs w:val="21"/>
          <w:highlight w:val="none"/>
          <w:lang w:val="en-US" w:eastAsia="zh-CN"/>
        </w:rPr>
        <w:t>响应</w:t>
      </w:r>
      <w:r>
        <w:rPr>
          <w:rFonts w:hint="eastAsia" w:ascii="宋体" w:hAnsi="宋体" w:cs="微软雅黑"/>
          <w:color w:val="auto"/>
          <w:sz w:val="21"/>
          <w:szCs w:val="21"/>
          <w:highlight w:val="none"/>
        </w:rPr>
        <w:t>文件及其承诺，甲乙双方签订本合同。</w:t>
      </w:r>
    </w:p>
    <w:p w14:paraId="12089EAF">
      <w:pPr>
        <w:keepNext w:val="0"/>
        <w:keepLines w:val="0"/>
        <w:pageBreakBefore w:val="0"/>
        <w:numPr>
          <w:ilvl w:val="0"/>
          <w:numId w:val="2"/>
        </w:numPr>
        <w:kinsoku/>
        <w:overflowPunct/>
        <w:topLinePunct w:val="0"/>
        <w:autoSpaceDE/>
        <w:autoSpaceDN/>
        <w:bidi w:val="0"/>
        <w:adjustRightInd/>
        <w:snapToGrid w:val="0"/>
        <w:spacing w:line="440" w:lineRule="exact"/>
        <w:ind w:left="1259" w:hanging="839"/>
        <w:rPr>
          <w:rFonts w:ascii="宋体" w:hAnsi="宋体" w:cs="微软雅黑"/>
          <w:b/>
          <w:color w:val="auto"/>
          <w:sz w:val="21"/>
          <w:szCs w:val="21"/>
          <w:highlight w:val="none"/>
        </w:rPr>
      </w:pPr>
      <w:bookmarkStart w:id="172" w:name="_Toc68033986"/>
      <w:bookmarkStart w:id="173" w:name="_Toc510088907"/>
      <w:r>
        <w:rPr>
          <w:rFonts w:hint="eastAsia" w:ascii="宋体" w:hAnsi="宋体" w:cs="微软雅黑"/>
          <w:b/>
          <w:color w:val="auto"/>
          <w:sz w:val="21"/>
          <w:szCs w:val="21"/>
          <w:highlight w:val="none"/>
        </w:rPr>
        <w:t>合同标的</w:t>
      </w:r>
      <w:bookmarkEnd w:id="172"/>
      <w:bookmarkEnd w:id="173"/>
    </w:p>
    <w:p w14:paraId="4FBD9E58">
      <w:pPr>
        <w:keepNext w:val="0"/>
        <w:keepLines w:val="0"/>
        <w:pageBreakBefore w:val="0"/>
        <w:kinsoku/>
        <w:overflowPunct/>
        <w:topLinePunct w:val="0"/>
        <w:autoSpaceDE/>
        <w:autoSpaceDN/>
        <w:bidi w:val="0"/>
        <w:adjustRightInd/>
        <w:snapToGrid w:val="0"/>
        <w:spacing w:line="440" w:lineRule="exact"/>
        <w:ind w:firstLine="420" w:firstLineChars="200"/>
        <w:rPr>
          <w:rFonts w:ascii="宋体" w:hAnsi="宋体" w:cs="微软雅黑"/>
          <w:color w:val="auto"/>
          <w:sz w:val="21"/>
          <w:szCs w:val="21"/>
          <w:highlight w:val="none"/>
        </w:rPr>
      </w:pPr>
      <w:bookmarkStart w:id="174" w:name="_Toc510088911"/>
      <w:bookmarkStart w:id="175" w:name="_Toc68033990"/>
      <w:r>
        <w:rPr>
          <w:rFonts w:hint="eastAsia" w:ascii="宋体" w:hAnsi="宋体" w:cs="微软雅黑"/>
          <w:color w:val="auto"/>
          <w:sz w:val="21"/>
          <w:szCs w:val="21"/>
          <w:highlight w:val="none"/>
        </w:rPr>
        <w:t>1.服务项目</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3596"/>
        <w:gridCol w:w="1133"/>
        <w:gridCol w:w="1981"/>
        <w:gridCol w:w="1732"/>
      </w:tblGrid>
      <w:tr w14:paraId="23CE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42F5D5EA">
            <w:pPr>
              <w:keepNext w:val="0"/>
              <w:keepLines w:val="0"/>
              <w:pageBreakBefore w:val="0"/>
              <w:kinsoku/>
              <w:overflowPunct/>
              <w:topLinePunct w:val="0"/>
              <w:autoSpaceDE/>
              <w:autoSpaceDN/>
              <w:bidi w:val="0"/>
              <w:adjustRightInd/>
              <w:snapToGrid w:val="0"/>
              <w:spacing w:line="440" w:lineRule="exact"/>
              <w:jc w:val="center"/>
              <w:rPr>
                <w:rFonts w:ascii="宋体" w:hAnsi="宋体" w:cs="微软雅黑"/>
                <w:bCs/>
                <w:color w:val="auto"/>
                <w:sz w:val="21"/>
                <w:szCs w:val="21"/>
                <w:highlight w:val="none"/>
              </w:rPr>
            </w:pPr>
            <w:bookmarkStart w:id="176" w:name="_Hlk35008699"/>
            <w:r>
              <w:rPr>
                <w:rFonts w:hint="eastAsia" w:ascii="宋体" w:hAnsi="宋体" w:cs="微软雅黑"/>
                <w:bCs/>
                <w:color w:val="auto"/>
                <w:sz w:val="21"/>
                <w:szCs w:val="21"/>
                <w:highlight w:val="none"/>
              </w:rPr>
              <w:t>序号</w:t>
            </w:r>
          </w:p>
        </w:tc>
        <w:tc>
          <w:tcPr>
            <w:tcW w:w="3596" w:type="dxa"/>
            <w:tcBorders>
              <w:top w:val="single" w:color="auto" w:sz="4" w:space="0"/>
              <w:left w:val="single" w:color="auto" w:sz="4" w:space="0"/>
              <w:bottom w:val="single" w:color="auto" w:sz="4" w:space="0"/>
              <w:right w:val="single" w:color="auto" w:sz="4" w:space="0"/>
            </w:tcBorders>
            <w:noWrap w:val="0"/>
            <w:vAlign w:val="center"/>
          </w:tcPr>
          <w:p w14:paraId="7FF2A57A">
            <w:pPr>
              <w:keepNext w:val="0"/>
              <w:keepLines w:val="0"/>
              <w:pageBreakBefore w:val="0"/>
              <w:kinsoku/>
              <w:overflowPunct/>
              <w:topLinePunct w:val="0"/>
              <w:autoSpaceDE/>
              <w:autoSpaceDN/>
              <w:bidi w:val="0"/>
              <w:adjustRightInd/>
              <w:snapToGrid w:val="0"/>
              <w:spacing w:line="440" w:lineRule="exact"/>
              <w:jc w:val="center"/>
              <w:rPr>
                <w:rFonts w:ascii="宋体" w:hAnsi="宋体" w:cs="微软雅黑"/>
                <w:bCs/>
                <w:color w:val="auto"/>
                <w:sz w:val="21"/>
                <w:szCs w:val="21"/>
                <w:highlight w:val="none"/>
              </w:rPr>
            </w:pPr>
            <w:r>
              <w:rPr>
                <w:rFonts w:hint="eastAsia" w:ascii="宋体" w:hAnsi="宋体" w:cs="微软雅黑"/>
                <w:bCs/>
                <w:color w:val="auto"/>
                <w:sz w:val="21"/>
                <w:szCs w:val="21"/>
                <w:highlight w:val="none"/>
              </w:rPr>
              <w:t>采购标的</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8D99EA4">
            <w:pPr>
              <w:keepNext w:val="0"/>
              <w:keepLines w:val="0"/>
              <w:pageBreakBefore w:val="0"/>
              <w:kinsoku/>
              <w:overflowPunct/>
              <w:topLinePunct w:val="0"/>
              <w:autoSpaceDE/>
              <w:autoSpaceDN/>
              <w:bidi w:val="0"/>
              <w:adjustRightInd/>
              <w:snapToGrid w:val="0"/>
              <w:spacing w:line="440" w:lineRule="exact"/>
              <w:ind w:left="-88" w:leftChars="-42" w:right="-107" w:rightChars="-51"/>
              <w:jc w:val="center"/>
              <w:rPr>
                <w:rFonts w:ascii="宋体" w:hAnsi="宋体" w:cs="微软雅黑"/>
                <w:bCs/>
                <w:color w:val="auto"/>
                <w:sz w:val="21"/>
                <w:szCs w:val="21"/>
                <w:highlight w:val="none"/>
              </w:rPr>
            </w:pPr>
            <w:r>
              <w:rPr>
                <w:rFonts w:hint="eastAsia" w:ascii="宋体" w:hAnsi="宋体" w:cs="微软雅黑"/>
                <w:bCs/>
                <w:color w:val="auto"/>
                <w:sz w:val="21"/>
                <w:szCs w:val="21"/>
                <w:highlight w:val="none"/>
              </w:rPr>
              <w:t>单位及数量</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3A843479">
            <w:pPr>
              <w:keepNext w:val="0"/>
              <w:keepLines w:val="0"/>
              <w:pageBreakBefore w:val="0"/>
              <w:kinsoku/>
              <w:overflowPunct/>
              <w:topLinePunct w:val="0"/>
              <w:autoSpaceDE/>
              <w:autoSpaceDN/>
              <w:bidi w:val="0"/>
              <w:adjustRightInd/>
              <w:snapToGrid w:val="0"/>
              <w:spacing w:line="440" w:lineRule="exact"/>
              <w:jc w:val="center"/>
              <w:rPr>
                <w:rFonts w:hint="default" w:ascii="宋体" w:hAnsi="宋体" w:eastAsia="宋体" w:cs="微软雅黑"/>
                <w:bCs/>
                <w:color w:val="auto"/>
                <w:sz w:val="21"/>
                <w:szCs w:val="21"/>
                <w:highlight w:val="none"/>
                <w:lang w:val="en-US" w:eastAsia="zh-CN"/>
              </w:rPr>
            </w:pPr>
            <w:r>
              <w:rPr>
                <w:rFonts w:hint="eastAsia" w:ascii="宋体" w:hAnsi="宋体" w:eastAsia="宋体" w:cs="微软雅黑"/>
                <w:bCs/>
                <w:color w:val="auto"/>
                <w:sz w:val="21"/>
                <w:szCs w:val="21"/>
                <w:highlight w:val="none"/>
                <w:lang w:val="en-US" w:eastAsia="zh-CN"/>
              </w:rPr>
              <w:t>成交价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C4AFD03">
            <w:pPr>
              <w:keepNext w:val="0"/>
              <w:keepLines w:val="0"/>
              <w:pageBreakBefore w:val="0"/>
              <w:kinsoku/>
              <w:overflowPunct/>
              <w:topLinePunct w:val="0"/>
              <w:autoSpaceDE/>
              <w:autoSpaceDN/>
              <w:bidi w:val="0"/>
              <w:adjustRightInd/>
              <w:snapToGrid w:val="0"/>
              <w:spacing w:line="440" w:lineRule="exact"/>
              <w:jc w:val="center"/>
              <w:rPr>
                <w:rFonts w:hint="eastAsia" w:ascii="宋体" w:hAnsi="宋体" w:eastAsia="宋体" w:cs="微软雅黑"/>
                <w:bCs/>
                <w:color w:val="auto"/>
                <w:sz w:val="21"/>
                <w:szCs w:val="21"/>
                <w:highlight w:val="none"/>
                <w:lang w:val="en-US" w:eastAsia="zh-CN"/>
              </w:rPr>
            </w:pPr>
            <w:r>
              <w:rPr>
                <w:rFonts w:hint="eastAsia" w:ascii="宋体" w:hAnsi="宋体" w:cs="微软雅黑"/>
                <w:bCs/>
                <w:color w:val="auto"/>
                <w:sz w:val="21"/>
                <w:szCs w:val="21"/>
                <w:highlight w:val="none"/>
                <w:lang w:val="en-US" w:eastAsia="zh-CN"/>
              </w:rPr>
              <w:t>备注</w:t>
            </w:r>
          </w:p>
        </w:tc>
      </w:tr>
      <w:tr w14:paraId="130C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53" w:type="dxa"/>
            <w:tcBorders>
              <w:top w:val="single" w:color="auto" w:sz="4" w:space="0"/>
              <w:left w:val="single" w:color="auto" w:sz="4" w:space="0"/>
              <w:bottom w:val="single" w:color="auto" w:sz="4" w:space="0"/>
              <w:right w:val="single" w:color="auto" w:sz="4" w:space="0"/>
            </w:tcBorders>
            <w:noWrap w:val="0"/>
            <w:vAlign w:val="center"/>
          </w:tcPr>
          <w:p w14:paraId="1EAE923F">
            <w:pPr>
              <w:keepNext w:val="0"/>
              <w:keepLines w:val="0"/>
              <w:pageBreakBefore w:val="0"/>
              <w:kinsoku/>
              <w:overflowPunct/>
              <w:topLinePunct w:val="0"/>
              <w:autoSpaceDE/>
              <w:autoSpaceDN/>
              <w:bidi w:val="0"/>
              <w:adjustRightInd/>
              <w:snapToGrid w:val="0"/>
              <w:spacing w:line="440" w:lineRule="exact"/>
              <w:jc w:val="center"/>
              <w:rPr>
                <w:rFonts w:ascii="宋体" w:hAnsi="宋体" w:cs="微软雅黑"/>
                <w:bCs/>
                <w:color w:val="auto"/>
                <w:sz w:val="21"/>
                <w:szCs w:val="21"/>
                <w:highlight w:val="none"/>
              </w:rPr>
            </w:pPr>
            <w:r>
              <w:rPr>
                <w:rFonts w:hint="eastAsia" w:ascii="宋体" w:hAnsi="宋体" w:cs="微软雅黑"/>
                <w:bCs/>
                <w:color w:val="auto"/>
                <w:sz w:val="21"/>
                <w:szCs w:val="21"/>
                <w:highlight w:val="none"/>
              </w:rPr>
              <w:t>1</w:t>
            </w:r>
          </w:p>
        </w:tc>
        <w:tc>
          <w:tcPr>
            <w:tcW w:w="3596" w:type="dxa"/>
            <w:tcBorders>
              <w:top w:val="single" w:color="auto" w:sz="4" w:space="0"/>
              <w:left w:val="single" w:color="auto" w:sz="4" w:space="0"/>
              <w:bottom w:val="single" w:color="auto" w:sz="4" w:space="0"/>
              <w:right w:val="single" w:color="auto" w:sz="4" w:space="0"/>
            </w:tcBorders>
            <w:noWrap w:val="0"/>
            <w:vAlign w:val="center"/>
          </w:tcPr>
          <w:p w14:paraId="0F6D81E2">
            <w:pPr>
              <w:keepNext w:val="0"/>
              <w:keepLines w:val="0"/>
              <w:pageBreakBefore w:val="0"/>
              <w:widowControl/>
              <w:kinsoku/>
              <w:overflowPunct/>
              <w:topLinePunct w:val="0"/>
              <w:autoSpaceDE/>
              <w:autoSpaceDN/>
              <w:bidi w:val="0"/>
              <w:adjustRightInd/>
              <w:spacing w:line="440" w:lineRule="exact"/>
              <w:jc w:val="center"/>
              <w:rPr>
                <w:rFonts w:ascii="宋体" w:hAnsi="宋体" w:cs="微软雅黑"/>
                <w:bCs/>
                <w:color w:val="auto"/>
                <w:kern w:val="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9898523">
            <w:pPr>
              <w:keepNext w:val="0"/>
              <w:keepLines w:val="0"/>
              <w:pageBreakBefore w:val="0"/>
              <w:kinsoku/>
              <w:overflowPunct/>
              <w:topLinePunct w:val="0"/>
              <w:autoSpaceDE/>
              <w:autoSpaceDN/>
              <w:bidi w:val="0"/>
              <w:adjustRightInd/>
              <w:spacing w:line="440" w:lineRule="exact"/>
              <w:jc w:val="center"/>
              <w:rPr>
                <w:rFonts w:ascii="宋体" w:hAnsi="宋体" w:cs="微软雅黑"/>
                <w:bCs/>
                <w:color w:val="auto"/>
                <w:sz w:val="21"/>
                <w:szCs w:val="21"/>
                <w:highlight w:val="none"/>
              </w:rPr>
            </w:pPr>
            <w:r>
              <w:rPr>
                <w:rFonts w:ascii="宋体" w:hAnsi="宋体" w:cs="微软雅黑"/>
                <w:bCs/>
                <w:color w:val="auto"/>
                <w:sz w:val="21"/>
                <w:szCs w:val="21"/>
                <w:highlight w:val="none"/>
              </w:rPr>
              <w:t>1</w:t>
            </w:r>
            <w:r>
              <w:rPr>
                <w:rFonts w:hint="eastAsia" w:ascii="宋体" w:hAnsi="宋体" w:cs="微软雅黑"/>
                <w:bCs/>
                <w:color w:val="auto"/>
                <w:sz w:val="21"/>
                <w:szCs w:val="21"/>
                <w:highlight w:val="none"/>
              </w:rPr>
              <w:t xml:space="preserve">项 </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0799223">
            <w:pPr>
              <w:keepNext w:val="0"/>
              <w:keepLines w:val="0"/>
              <w:pageBreakBefore w:val="0"/>
              <w:widowControl/>
              <w:kinsoku/>
              <w:overflowPunct/>
              <w:topLinePunct w:val="0"/>
              <w:autoSpaceDE/>
              <w:autoSpaceDN/>
              <w:bidi w:val="0"/>
              <w:adjustRightInd/>
              <w:spacing w:line="440" w:lineRule="exact"/>
              <w:jc w:val="center"/>
              <w:textAlignment w:val="center"/>
              <w:rPr>
                <w:rFonts w:ascii="宋体" w:hAnsi="宋体" w:cs="微软雅黑"/>
                <w:bCs/>
                <w:color w:val="auto"/>
                <w:kern w:val="0"/>
                <w:sz w:val="21"/>
                <w:szCs w:val="21"/>
                <w:highlight w:val="none"/>
              </w:rPr>
            </w:pPr>
            <w:r>
              <w:rPr>
                <w:rFonts w:ascii="宋体" w:hAnsi="宋体" w:cs="微软雅黑"/>
                <w:bCs/>
                <w:color w:val="auto"/>
                <w:kern w:val="0"/>
                <w:sz w:val="21"/>
                <w:szCs w:val="21"/>
                <w:highlight w:val="none"/>
              </w:rPr>
              <w:t xml:space="preserve"> </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13F6528">
            <w:pPr>
              <w:keepNext w:val="0"/>
              <w:keepLines w:val="0"/>
              <w:pageBreakBefore w:val="0"/>
              <w:widowControl/>
              <w:kinsoku/>
              <w:overflowPunct/>
              <w:topLinePunct w:val="0"/>
              <w:autoSpaceDE/>
              <w:autoSpaceDN/>
              <w:bidi w:val="0"/>
              <w:adjustRightInd/>
              <w:spacing w:line="440" w:lineRule="exact"/>
              <w:jc w:val="center"/>
              <w:textAlignment w:val="center"/>
              <w:rPr>
                <w:rFonts w:ascii="宋体" w:hAnsi="宋体" w:cs="微软雅黑"/>
                <w:bCs/>
                <w:color w:val="auto"/>
                <w:kern w:val="0"/>
                <w:sz w:val="21"/>
                <w:szCs w:val="21"/>
                <w:highlight w:val="none"/>
              </w:rPr>
            </w:pPr>
            <w:r>
              <w:rPr>
                <w:rFonts w:ascii="宋体" w:hAnsi="宋体" w:cs="微软雅黑"/>
                <w:bCs/>
                <w:color w:val="auto"/>
                <w:kern w:val="0"/>
                <w:sz w:val="21"/>
                <w:szCs w:val="21"/>
                <w:highlight w:val="none"/>
              </w:rPr>
              <w:t xml:space="preserve"> </w:t>
            </w:r>
          </w:p>
        </w:tc>
      </w:tr>
      <w:tr w14:paraId="0A6F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95" w:type="dxa"/>
            <w:gridSpan w:val="5"/>
            <w:tcBorders>
              <w:top w:val="single" w:color="auto" w:sz="4" w:space="0"/>
              <w:left w:val="single" w:color="auto" w:sz="4" w:space="0"/>
              <w:bottom w:val="single" w:color="auto" w:sz="4" w:space="0"/>
              <w:right w:val="single" w:color="auto" w:sz="4" w:space="0"/>
            </w:tcBorders>
            <w:noWrap w:val="0"/>
            <w:vAlign w:val="bottom"/>
          </w:tcPr>
          <w:p w14:paraId="0EB5A6B7">
            <w:pPr>
              <w:keepNext w:val="0"/>
              <w:keepLines w:val="0"/>
              <w:pageBreakBefore w:val="0"/>
              <w:kinsoku/>
              <w:overflowPunct/>
              <w:topLinePunct w:val="0"/>
              <w:autoSpaceDE/>
              <w:autoSpaceDN/>
              <w:bidi w:val="0"/>
              <w:adjustRightInd/>
              <w:snapToGrid w:val="0"/>
              <w:spacing w:line="440" w:lineRule="exact"/>
              <w:ind w:right="-127"/>
              <w:rPr>
                <w:rFonts w:hint="default" w:ascii="宋体" w:hAnsi="宋体" w:eastAsia="宋体" w:cs="微软雅黑"/>
                <w:bCs/>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服务期限</w:t>
            </w:r>
            <w:r>
              <w:rPr>
                <w:rFonts w:hint="eastAsia" w:ascii="宋体" w:hAnsi="宋体" w:cs="微软雅黑"/>
                <w:bCs/>
                <w:color w:val="auto"/>
                <w:sz w:val="21"/>
                <w:szCs w:val="21"/>
                <w:highlight w:val="none"/>
                <w:lang w:val="en-US" w:eastAsia="zh-CN"/>
              </w:rPr>
              <w:t>：</w:t>
            </w:r>
          </w:p>
        </w:tc>
      </w:tr>
      <w:bookmarkEnd w:id="176"/>
    </w:tbl>
    <w:p w14:paraId="70961201">
      <w:pPr>
        <w:keepNext w:val="0"/>
        <w:keepLines w:val="0"/>
        <w:pageBreakBefore w:val="0"/>
        <w:tabs>
          <w:tab w:val="left" w:pos="8280"/>
        </w:tabs>
        <w:kinsoku/>
        <w:overflowPunct/>
        <w:topLinePunct w:val="0"/>
        <w:autoSpaceDE/>
        <w:autoSpaceDN/>
        <w:bidi w:val="0"/>
        <w:adjustRightInd/>
        <w:snapToGrid w:val="0"/>
        <w:spacing w:line="440" w:lineRule="exact"/>
        <w:ind w:right="26" w:firstLine="420" w:firstLineChars="200"/>
        <w:rPr>
          <w:rFonts w:ascii="宋体" w:hAnsi="宋体" w:cs="微软雅黑"/>
          <w:color w:val="auto"/>
          <w:sz w:val="21"/>
          <w:szCs w:val="21"/>
          <w:highlight w:val="none"/>
        </w:rPr>
      </w:pPr>
      <w:r>
        <w:rPr>
          <w:rFonts w:hint="eastAsia" w:ascii="宋体" w:hAnsi="宋体" w:cs="微软雅黑"/>
          <w:color w:val="auto"/>
          <w:sz w:val="21"/>
          <w:szCs w:val="21"/>
          <w:highlight w:val="none"/>
        </w:rPr>
        <w:t>2.项目服务所应实现的目标及技术要求以</w:t>
      </w:r>
      <w:r>
        <w:rPr>
          <w:rFonts w:hint="eastAsia" w:ascii="宋体" w:hAnsi="宋体" w:cs="微软雅黑"/>
          <w:color w:val="auto"/>
          <w:sz w:val="21"/>
          <w:szCs w:val="21"/>
          <w:highlight w:val="none"/>
          <w:lang w:val="en-US" w:eastAsia="zh-CN"/>
        </w:rPr>
        <w:t>采购</w:t>
      </w:r>
      <w:r>
        <w:rPr>
          <w:rFonts w:hint="eastAsia" w:ascii="宋体" w:hAnsi="宋体" w:cs="微软雅黑"/>
          <w:color w:val="auto"/>
          <w:sz w:val="21"/>
          <w:szCs w:val="21"/>
          <w:highlight w:val="none"/>
        </w:rPr>
        <w:t>文件和</w:t>
      </w:r>
      <w:r>
        <w:rPr>
          <w:rFonts w:hint="eastAsia" w:ascii="宋体" w:hAnsi="宋体" w:cs="微软雅黑"/>
          <w:color w:val="auto"/>
          <w:sz w:val="21"/>
          <w:szCs w:val="21"/>
          <w:highlight w:val="none"/>
          <w:lang w:val="en-US" w:eastAsia="zh-CN"/>
        </w:rPr>
        <w:t>响应</w:t>
      </w:r>
      <w:r>
        <w:rPr>
          <w:rFonts w:hint="eastAsia" w:ascii="宋体" w:hAnsi="宋体" w:cs="微软雅黑"/>
          <w:color w:val="auto"/>
          <w:sz w:val="21"/>
          <w:szCs w:val="21"/>
          <w:highlight w:val="none"/>
        </w:rPr>
        <w:t>文件承诺约定为准。</w:t>
      </w:r>
    </w:p>
    <w:p w14:paraId="3B65C19D">
      <w:pPr>
        <w:keepNext w:val="0"/>
        <w:keepLines w:val="0"/>
        <w:pageBreakBefore w:val="0"/>
        <w:kinsoku/>
        <w:wordWrap w:val="0"/>
        <w:overflowPunct/>
        <w:topLinePunct w:val="0"/>
        <w:autoSpaceDE/>
        <w:autoSpaceDN/>
        <w:bidi w:val="0"/>
        <w:adjustRightInd/>
        <w:snapToGrid w:val="0"/>
        <w:spacing w:line="440" w:lineRule="exact"/>
        <w:ind w:firstLine="420" w:firstLineChars="200"/>
        <w:rPr>
          <w:rFonts w:ascii="宋体" w:hAnsi="宋体" w:cs="微软雅黑"/>
          <w:color w:val="auto"/>
          <w:sz w:val="21"/>
          <w:szCs w:val="21"/>
          <w:highlight w:val="none"/>
        </w:rPr>
      </w:pPr>
      <w:r>
        <w:rPr>
          <w:rFonts w:hint="eastAsia" w:ascii="宋体" w:hAnsi="宋体" w:cs="微软雅黑"/>
          <w:color w:val="auto"/>
          <w:sz w:val="21"/>
          <w:szCs w:val="21"/>
          <w:highlight w:val="none"/>
        </w:rPr>
        <w:t>3.合同合计金额包括在履行期间完成本项目采购要求、人员要求所产生的全部费用（包括在合同履行期间因工作量变化而引起的费用的变动）。如磋商文件和响应文件对其另有规定的，从其规定。</w:t>
      </w:r>
    </w:p>
    <w:p w14:paraId="6EF6ED7A">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微软雅黑"/>
          <w:b/>
          <w:bCs/>
          <w:color w:val="auto"/>
          <w:szCs w:val="21"/>
          <w:highlight w:val="none"/>
        </w:rPr>
      </w:pPr>
      <w:r>
        <w:rPr>
          <w:rFonts w:hint="eastAsia" w:ascii="宋体" w:hAnsi="宋体" w:cs="微软雅黑"/>
          <w:b/>
          <w:bCs/>
          <w:color w:val="auto"/>
          <w:szCs w:val="21"/>
          <w:highlight w:val="none"/>
        </w:rPr>
        <w:t>第二条  项目服务范围和要求</w:t>
      </w:r>
    </w:p>
    <w:p w14:paraId="661B69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微软雅黑"/>
          <w:color w:val="auto"/>
          <w:szCs w:val="21"/>
          <w:highlight w:val="none"/>
        </w:rPr>
      </w:pPr>
      <w:r>
        <w:rPr>
          <w:rFonts w:hint="eastAsia" w:ascii="宋体" w:hAnsi="宋体" w:cs="微软雅黑"/>
          <w:color w:val="auto"/>
          <w:szCs w:val="21"/>
          <w:highlight w:val="none"/>
        </w:rPr>
        <w:t>1.</w:t>
      </w:r>
      <w:r>
        <w:rPr>
          <w:rFonts w:hint="eastAsia" w:ascii="宋体" w:hAnsi="宋体"/>
          <w:color w:val="auto"/>
          <w:sz w:val="20"/>
          <w:szCs w:val="20"/>
          <w:highlight w:val="none"/>
        </w:rPr>
        <w:t>服务期限：</w:t>
      </w:r>
      <w:r>
        <w:rPr>
          <w:rFonts w:hint="eastAsia" w:ascii="宋体" w:hAnsi="宋体"/>
          <w:b w:val="0"/>
          <w:bCs w:val="0"/>
          <w:color w:val="auto"/>
          <w:sz w:val="20"/>
          <w:szCs w:val="20"/>
          <w:highlight w:val="none"/>
        </w:rPr>
        <w:t>服务期不少于一年，签订合同后下一个工作日生效</w:t>
      </w:r>
      <w:r>
        <w:rPr>
          <w:rFonts w:hint="eastAsia" w:ascii="宋体" w:hAnsi="宋体" w:cs="Times New Roman"/>
          <w:color w:val="auto"/>
          <w:sz w:val="20"/>
          <w:szCs w:val="20"/>
          <w:highlight w:val="none"/>
        </w:rPr>
        <w:t>。</w:t>
      </w:r>
    </w:p>
    <w:p w14:paraId="33B048E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2.</w:t>
      </w:r>
      <w:r>
        <w:rPr>
          <w:rFonts w:hint="eastAsia" w:ascii="宋体" w:hAnsi="宋体" w:cs="微软雅黑"/>
          <w:color w:val="auto"/>
          <w:szCs w:val="21"/>
          <w:highlight w:val="none"/>
          <w:lang w:val="en-US" w:eastAsia="zh-CN"/>
        </w:rPr>
        <w:t>服务</w:t>
      </w:r>
      <w:r>
        <w:rPr>
          <w:rFonts w:ascii="宋体" w:hAnsi="宋体" w:cs="微软雅黑"/>
          <w:color w:val="auto"/>
          <w:szCs w:val="21"/>
          <w:highlight w:val="none"/>
        </w:rPr>
        <w:t>地点</w:t>
      </w:r>
      <w:r>
        <w:rPr>
          <w:rFonts w:hint="eastAsia" w:ascii="宋体" w:hAnsi="宋体" w:cs="微软雅黑"/>
          <w:color w:val="auto"/>
          <w:szCs w:val="21"/>
          <w:highlight w:val="none"/>
        </w:rPr>
        <w:t>：</w:t>
      </w:r>
      <w:r>
        <w:rPr>
          <w:rFonts w:hint="eastAsia" w:ascii="宋体" w:hAnsi="宋体" w:cs="微软雅黑"/>
          <w:color w:val="auto"/>
          <w:szCs w:val="21"/>
          <w:highlight w:val="none"/>
          <w:u w:val="single"/>
          <w:lang w:val="en-US" w:eastAsia="zh-CN"/>
        </w:rPr>
        <w:t xml:space="preserve">  广西区内采购人指定地点  </w:t>
      </w:r>
      <w:r>
        <w:rPr>
          <w:rFonts w:hint="eastAsia" w:ascii="宋体" w:hAnsi="宋体" w:cs="微软雅黑"/>
          <w:color w:val="auto"/>
          <w:szCs w:val="21"/>
          <w:highlight w:val="none"/>
        </w:rPr>
        <w:t>。</w:t>
      </w:r>
    </w:p>
    <w:p w14:paraId="47181D6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3.服务内容：按项目采购需求“采购项目服务要求”中的“</w:t>
      </w:r>
      <w:r>
        <w:rPr>
          <w:rFonts w:hint="eastAsia" w:ascii="宋体" w:hAnsi="宋体" w:cs="微软雅黑"/>
          <w:color w:val="auto"/>
          <w:kern w:val="0"/>
          <w:szCs w:val="21"/>
          <w:highlight w:val="none"/>
        </w:rPr>
        <w:t>技术参数要求（服务要求）</w:t>
      </w:r>
      <w:r>
        <w:rPr>
          <w:rFonts w:hint="eastAsia" w:ascii="宋体" w:hAnsi="宋体" w:cs="微软雅黑"/>
          <w:color w:val="auto"/>
          <w:szCs w:val="21"/>
          <w:highlight w:val="none"/>
        </w:rPr>
        <w:t>”执行。</w:t>
      </w:r>
    </w:p>
    <w:p w14:paraId="090B35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4.乙方所提供的服务必须与</w:t>
      </w:r>
      <w:r>
        <w:rPr>
          <w:rFonts w:hint="eastAsia" w:ascii="宋体" w:hAnsi="宋体" w:cs="微软雅黑"/>
          <w:color w:val="auto"/>
          <w:szCs w:val="21"/>
          <w:highlight w:val="none"/>
          <w:lang w:val="en-US" w:eastAsia="zh-CN"/>
        </w:rPr>
        <w:t>采购</w:t>
      </w:r>
      <w:r>
        <w:rPr>
          <w:rFonts w:hint="eastAsia" w:ascii="宋体" w:hAnsi="宋体" w:cs="微软雅黑"/>
          <w:color w:val="auto"/>
          <w:szCs w:val="21"/>
          <w:highlight w:val="none"/>
        </w:rPr>
        <w:t>文件和承诺相一致且符合相应的服务规范及标准。</w:t>
      </w:r>
    </w:p>
    <w:p w14:paraId="5A47072B">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微软雅黑"/>
          <w:color w:val="auto"/>
          <w:szCs w:val="21"/>
          <w:highlight w:val="none"/>
        </w:rPr>
      </w:pPr>
      <w:r>
        <w:rPr>
          <w:rFonts w:hint="eastAsia" w:ascii="宋体" w:hAnsi="宋体" w:cs="微软雅黑"/>
          <w:b/>
          <w:color w:val="auto"/>
          <w:szCs w:val="21"/>
          <w:highlight w:val="none"/>
        </w:rPr>
        <w:t>第三条　权利保证</w:t>
      </w:r>
    </w:p>
    <w:p w14:paraId="7668477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1.甲方根据工作需要，可为乙方提供相关资料等。</w:t>
      </w:r>
    </w:p>
    <w:p w14:paraId="648B416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2.甲方有权定期了解乙方工作进展情况，并对乙方工作进行监督，提出合理建议。</w:t>
      </w:r>
    </w:p>
    <w:p w14:paraId="0E62446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3.乙方应按规定时间节点内完成项目工作。</w:t>
      </w:r>
    </w:p>
    <w:p w14:paraId="4656362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4.乙方应委派具有相应能力、经验的员工为甲方提供服务，合同履行过程中，服务人员应与</w:t>
      </w:r>
      <w:r>
        <w:rPr>
          <w:rFonts w:hint="eastAsia" w:ascii="宋体" w:hAnsi="宋体" w:cs="微软雅黑"/>
          <w:color w:val="auto"/>
          <w:szCs w:val="21"/>
          <w:highlight w:val="none"/>
          <w:lang w:val="en-US" w:eastAsia="zh-CN"/>
        </w:rPr>
        <w:t>竞标</w:t>
      </w:r>
      <w:r>
        <w:rPr>
          <w:rFonts w:hint="eastAsia" w:ascii="宋体" w:hAnsi="宋体" w:cs="微软雅黑"/>
          <w:color w:val="auto"/>
          <w:szCs w:val="21"/>
          <w:highlight w:val="none"/>
        </w:rPr>
        <w:t>时拟投入的人员一致，未经甲方同意，乙方不得随意更换项目人员（见合同附件《项目实施人员一览表》）。</w:t>
      </w:r>
    </w:p>
    <w:p w14:paraId="3C59FD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5.合同履行过程中，乙方应根据甲方要求，定期向甲方汇报工作进展，并接受甲方监督。</w:t>
      </w:r>
    </w:p>
    <w:p w14:paraId="64748EA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6.乙方有权根据本合同约定及工作需要，要求甲方提供与项目建设有关的信息与资料。</w:t>
      </w:r>
    </w:p>
    <w:p w14:paraId="7A3D68F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7.乙方有权要求甲方配合其工作，并要求甲方提供必要的协助。</w:t>
      </w:r>
    </w:p>
    <w:p w14:paraId="3CDF7C0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8.乙方应保证在项目服务工作实施过程中不会侵犯任何第三方的专利权、著作权、商标权、工业设计权或其他权利。</w:t>
      </w:r>
    </w:p>
    <w:p w14:paraId="16F4FAD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9.乙方应按采购文件规定的时间向甲方提供项目实施工作有关技术资料。</w:t>
      </w:r>
    </w:p>
    <w:p w14:paraId="5875E2F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10.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本合同第八条第7款承担违约责任。本合同终止保密条款继续有效。</w:t>
      </w:r>
    </w:p>
    <w:p w14:paraId="536F7AE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11.乙方保证所提供或交付的技术服务所有权完全属于乙方且无任何抵押、质押、查封等产权瑕疵。</w:t>
      </w:r>
    </w:p>
    <w:p w14:paraId="7849B20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微软雅黑"/>
          <w:color w:val="auto"/>
          <w:szCs w:val="21"/>
          <w:highlight w:val="none"/>
        </w:rPr>
      </w:pPr>
      <w:r>
        <w:rPr>
          <w:rFonts w:hint="eastAsia" w:ascii="宋体" w:hAnsi="宋体" w:cs="微软雅黑"/>
          <w:color w:val="auto"/>
          <w:szCs w:val="21"/>
          <w:highlight w:val="none"/>
        </w:rPr>
        <w:t>12.乙方所交付的技术成果知识产权归甲方所有（如采购文件另有约定的从其约定）。</w:t>
      </w:r>
    </w:p>
    <w:p w14:paraId="6F776BAF">
      <w:pPr>
        <w:snapToGrid w:val="0"/>
        <w:spacing w:line="420" w:lineRule="exact"/>
        <w:ind w:firstLine="422" w:firstLineChars="200"/>
        <w:rPr>
          <w:rFonts w:ascii="宋体" w:hAnsi="宋体" w:cs="微软雅黑"/>
          <w:color w:val="auto"/>
          <w:szCs w:val="21"/>
          <w:highlight w:val="none"/>
        </w:rPr>
      </w:pPr>
      <w:r>
        <w:rPr>
          <w:rFonts w:hint="eastAsia" w:ascii="宋体" w:hAnsi="宋体" w:cs="微软雅黑"/>
          <w:b/>
          <w:color w:val="auto"/>
          <w:szCs w:val="21"/>
          <w:highlight w:val="none"/>
        </w:rPr>
        <w:t>第四条　交付和验收</w:t>
      </w:r>
    </w:p>
    <w:p w14:paraId="7E6DE876">
      <w:pPr>
        <w:snapToGrid w:val="0"/>
        <w:spacing w:line="360" w:lineRule="auto"/>
        <w:ind w:firstLine="420" w:firstLineChars="200"/>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rPr>
        <w:t>1.提交服务成果时间及地点：</w:t>
      </w:r>
      <w:r>
        <w:rPr>
          <w:rFonts w:hint="eastAsia" w:ascii="宋体" w:hAnsi="宋体" w:cs="微软雅黑"/>
          <w:color w:val="auto"/>
          <w:szCs w:val="21"/>
          <w:highlight w:val="none"/>
          <w:u w:val="single"/>
          <w:lang w:val="en-US" w:eastAsia="zh-CN"/>
        </w:rPr>
        <w:t xml:space="preserve">                      </w:t>
      </w:r>
    </w:p>
    <w:p w14:paraId="5EA5EE85">
      <w:pPr>
        <w:snapToGrid w:val="0"/>
        <w:spacing w:line="360" w:lineRule="auto"/>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2.乙方应按照国家有关法律法规以及采购文件规定的服务内容、技术要求、质量标准和本合同所附的《服务方案及承诺》为甲方提供技术服务。乙方提供不符合采购文件和本合同规定的技术服务，甲方有权拒绝接受。</w:t>
      </w:r>
    </w:p>
    <w:p w14:paraId="55C26B08">
      <w:pPr>
        <w:snapToGrid w:val="0"/>
        <w:spacing w:line="360" w:lineRule="auto"/>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3.乙方向甲方提供无瑕疵的技术服务，并对项目质量负责。</w:t>
      </w:r>
    </w:p>
    <w:p w14:paraId="43087495">
      <w:pPr>
        <w:snapToGrid w:val="0"/>
        <w:spacing w:line="360" w:lineRule="auto"/>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4.乙方应对提交的技术资料作出全面检查和整理，并列出清单，作为甲方验收和使用的技术条件依据，清单应交给甲方。</w:t>
      </w:r>
    </w:p>
    <w:p w14:paraId="592C4904">
      <w:pPr>
        <w:snapToGrid w:val="0"/>
        <w:spacing w:line="360" w:lineRule="auto"/>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5.乙方应按要求提交技术服务材料：</w:t>
      </w:r>
      <w:r>
        <w:rPr>
          <w:rFonts w:hint="eastAsia" w:ascii="宋体" w:hAnsi="宋体" w:cs="微软雅黑"/>
          <w:color w:val="auto"/>
          <w:szCs w:val="21"/>
          <w:highlight w:val="none"/>
          <w:u w:val="single"/>
        </w:rPr>
        <w:t>按《项目采购需求》要求及响应文件承诺提供</w:t>
      </w:r>
      <w:r>
        <w:rPr>
          <w:rFonts w:hint="eastAsia" w:ascii="宋体" w:hAnsi="宋体" w:cs="微软雅黑"/>
          <w:color w:val="auto"/>
          <w:szCs w:val="21"/>
          <w:highlight w:val="none"/>
        </w:rPr>
        <w:t>，如有缺失应及时补齐，否则视为逾期交付。</w:t>
      </w:r>
    </w:p>
    <w:p w14:paraId="60B01337">
      <w:pPr>
        <w:snapToGrid w:val="0"/>
        <w:spacing w:line="360" w:lineRule="auto"/>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6.验收合格后由甲乙双方签署验收单并加盖采购人公章，甲乙双方各执一份。</w:t>
      </w:r>
    </w:p>
    <w:p w14:paraId="595052E1">
      <w:pPr>
        <w:snapToGrid w:val="0"/>
        <w:spacing w:line="360" w:lineRule="auto"/>
        <w:ind w:firstLine="420" w:firstLineChars="200"/>
        <w:rPr>
          <w:rFonts w:ascii="宋体" w:hAnsi="宋体" w:cs="微软雅黑"/>
          <w:b w:val="0"/>
          <w:bCs w:val="0"/>
          <w:color w:val="auto"/>
          <w:szCs w:val="21"/>
          <w:highlight w:val="none"/>
        </w:rPr>
      </w:pPr>
      <w:r>
        <w:rPr>
          <w:rFonts w:hint="eastAsia" w:ascii="宋体" w:hAnsi="宋体" w:cs="微软雅黑"/>
          <w:color w:val="auto"/>
          <w:szCs w:val="21"/>
          <w:highlight w:val="none"/>
        </w:rPr>
        <w:t>7.甲方对验收有异议</w:t>
      </w:r>
      <w:r>
        <w:rPr>
          <w:rFonts w:hint="eastAsia" w:ascii="宋体" w:hAnsi="宋体" w:cs="微软雅黑"/>
          <w:b w:val="0"/>
          <w:bCs w:val="0"/>
          <w:color w:val="auto"/>
          <w:szCs w:val="21"/>
          <w:highlight w:val="none"/>
        </w:rPr>
        <w:t>的，在验收后五个工作日内以书面形式向乙方提出，乙方应自收到甲方书面异议后</w:t>
      </w:r>
      <w:r>
        <w:rPr>
          <w:rFonts w:hint="eastAsia" w:ascii="宋体" w:hAnsi="宋体" w:cs="微软雅黑"/>
          <w:b w:val="0"/>
          <w:bCs w:val="0"/>
          <w:color w:val="auto"/>
          <w:szCs w:val="21"/>
          <w:highlight w:val="none"/>
          <w:u w:val="single"/>
        </w:rPr>
        <w:t xml:space="preserve"> 5个工作 </w:t>
      </w:r>
      <w:r>
        <w:rPr>
          <w:rFonts w:hint="eastAsia" w:ascii="宋体" w:hAnsi="宋体" w:cs="微软雅黑"/>
          <w:b w:val="0"/>
          <w:bCs w:val="0"/>
          <w:color w:val="auto"/>
          <w:szCs w:val="21"/>
          <w:highlight w:val="none"/>
        </w:rPr>
        <w:t>日内予以解决。</w:t>
      </w:r>
    </w:p>
    <w:bookmarkEnd w:id="174"/>
    <w:bookmarkEnd w:id="175"/>
    <w:p w14:paraId="5DAB360E">
      <w:pPr>
        <w:snapToGrid w:val="0"/>
        <w:spacing w:line="420" w:lineRule="exact"/>
        <w:ind w:firstLine="420" w:firstLineChars="200"/>
        <w:rPr>
          <w:rFonts w:ascii="宋体" w:hAnsi="宋体" w:cs="微软雅黑"/>
          <w:b w:val="0"/>
          <w:bCs w:val="0"/>
          <w:color w:val="auto"/>
          <w:szCs w:val="21"/>
          <w:highlight w:val="none"/>
        </w:rPr>
      </w:pPr>
      <w:r>
        <w:rPr>
          <w:rFonts w:hint="eastAsia" w:ascii="宋体" w:hAnsi="宋体" w:cs="微软雅黑"/>
          <w:b w:val="0"/>
          <w:bCs w:val="0"/>
          <w:color w:val="auto"/>
          <w:szCs w:val="21"/>
          <w:highlight w:val="none"/>
        </w:rPr>
        <w:t>第五条　付款方式</w:t>
      </w:r>
    </w:p>
    <w:p w14:paraId="598F54C5">
      <w:pPr>
        <w:snapToGrid w:val="0"/>
        <w:spacing w:line="420" w:lineRule="exact"/>
        <w:ind w:firstLine="420" w:firstLineChars="200"/>
        <w:rPr>
          <w:rFonts w:ascii="宋体" w:hAnsi="宋体" w:cs="微软雅黑"/>
          <w:b w:val="0"/>
          <w:bCs w:val="0"/>
          <w:color w:val="auto"/>
          <w:szCs w:val="21"/>
          <w:highlight w:val="none"/>
          <w:u w:val="single"/>
        </w:rPr>
      </w:pPr>
      <w:r>
        <w:rPr>
          <w:rFonts w:hint="eastAsia" w:ascii="宋体" w:hAnsi="宋体" w:cs="微软雅黑"/>
          <w:b w:val="0"/>
          <w:bCs w:val="0"/>
          <w:color w:val="auto"/>
          <w:szCs w:val="21"/>
          <w:highlight w:val="none"/>
        </w:rPr>
        <w:t>1.资金性质：</w:t>
      </w:r>
      <w:r>
        <w:rPr>
          <w:rFonts w:hint="eastAsia" w:ascii="宋体" w:hAnsi="宋体" w:cs="微软雅黑"/>
          <w:b w:val="0"/>
          <w:bCs w:val="0"/>
          <w:color w:val="auto"/>
          <w:szCs w:val="21"/>
          <w:highlight w:val="none"/>
          <w:u w:val="single"/>
        </w:rPr>
        <w:t xml:space="preserve"> </w:t>
      </w:r>
      <w:r>
        <w:rPr>
          <w:rFonts w:hint="eastAsia" w:ascii="宋体" w:hAnsi="宋体" w:cs="微软雅黑"/>
          <w:b w:val="0"/>
          <w:bCs w:val="0"/>
          <w:color w:val="auto"/>
          <w:szCs w:val="21"/>
          <w:highlight w:val="none"/>
          <w:u w:val="single"/>
          <w:lang w:val="en-US" w:eastAsia="zh-CN"/>
        </w:rPr>
        <w:t>/</w:t>
      </w:r>
      <w:r>
        <w:rPr>
          <w:rFonts w:hint="eastAsia" w:ascii="宋体" w:hAnsi="宋体" w:cs="微软雅黑"/>
          <w:b w:val="0"/>
          <w:bCs w:val="0"/>
          <w:color w:val="auto"/>
          <w:szCs w:val="21"/>
          <w:highlight w:val="none"/>
          <w:u w:val="single"/>
        </w:rPr>
        <w:t xml:space="preserve"> </w:t>
      </w:r>
      <w:r>
        <w:rPr>
          <w:rFonts w:hint="eastAsia" w:ascii="宋体" w:hAnsi="宋体" w:cs="微软雅黑"/>
          <w:b w:val="0"/>
          <w:bCs w:val="0"/>
          <w:color w:val="auto"/>
          <w:szCs w:val="21"/>
          <w:highlight w:val="none"/>
        </w:rPr>
        <w:t>。</w:t>
      </w:r>
    </w:p>
    <w:p w14:paraId="4641E24C">
      <w:pPr>
        <w:snapToGrid w:val="0"/>
        <w:spacing w:line="420" w:lineRule="exact"/>
        <w:ind w:firstLine="420" w:firstLineChars="200"/>
        <w:rPr>
          <w:rFonts w:ascii="宋体" w:hAnsi="宋体" w:cs="微软雅黑"/>
          <w:b w:val="0"/>
          <w:bCs w:val="0"/>
          <w:color w:val="auto"/>
          <w:szCs w:val="21"/>
          <w:highlight w:val="none"/>
        </w:rPr>
      </w:pPr>
      <w:r>
        <w:rPr>
          <w:rFonts w:hint="eastAsia" w:ascii="宋体" w:hAnsi="宋体" w:cs="微软雅黑"/>
          <w:b w:val="0"/>
          <w:bCs w:val="0"/>
          <w:color w:val="auto"/>
          <w:szCs w:val="21"/>
          <w:highlight w:val="none"/>
        </w:rPr>
        <w:t>2.付款方式：</w:t>
      </w:r>
      <w:r>
        <w:rPr>
          <w:rFonts w:hint="eastAsia" w:ascii="宋体" w:hAnsi="宋体" w:cs="微软雅黑"/>
          <w:b w:val="0"/>
          <w:bCs w:val="0"/>
          <w:color w:val="auto"/>
          <w:szCs w:val="21"/>
          <w:highlight w:val="none"/>
          <w:u w:val="single"/>
          <w:lang w:val="en-US" w:eastAsia="zh-CN"/>
        </w:rPr>
        <w:t xml:space="preserve">                           </w:t>
      </w:r>
      <w:r>
        <w:rPr>
          <w:rFonts w:hint="eastAsia" w:ascii="宋体" w:hAnsi="宋体" w:cs="微软雅黑"/>
          <w:b w:val="0"/>
          <w:bCs w:val="0"/>
          <w:color w:val="auto"/>
          <w:szCs w:val="21"/>
          <w:highlight w:val="none"/>
        </w:rPr>
        <w:t>。</w:t>
      </w:r>
    </w:p>
    <w:p w14:paraId="73643E19">
      <w:pPr>
        <w:snapToGrid w:val="0"/>
        <w:spacing w:line="420" w:lineRule="exact"/>
        <w:ind w:firstLine="420" w:firstLineChars="200"/>
        <w:rPr>
          <w:rFonts w:ascii="宋体" w:hAnsi="宋体" w:cs="微软雅黑"/>
          <w:color w:val="auto"/>
          <w:szCs w:val="21"/>
          <w:highlight w:val="none"/>
        </w:rPr>
      </w:pPr>
    </w:p>
    <w:p w14:paraId="085AD082">
      <w:pPr>
        <w:spacing w:line="420" w:lineRule="exact"/>
        <w:ind w:firstLine="422" w:firstLineChars="200"/>
        <w:jc w:val="left"/>
        <w:rPr>
          <w:rFonts w:ascii="宋体" w:hAnsi="宋体" w:cs="微软雅黑"/>
          <w:b/>
          <w:strike/>
          <w:color w:val="auto"/>
          <w:szCs w:val="21"/>
          <w:highlight w:val="none"/>
        </w:rPr>
      </w:pPr>
      <w:r>
        <w:rPr>
          <w:rFonts w:hint="eastAsia" w:ascii="宋体" w:hAnsi="宋体" w:cs="微软雅黑"/>
          <w:b/>
          <w:color w:val="auto"/>
          <w:szCs w:val="21"/>
          <w:highlight w:val="none"/>
        </w:rPr>
        <w:t>第六条　履约保证金</w:t>
      </w:r>
    </w:p>
    <w:p w14:paraId="7CC1A151">
      <w:pPr>
        <w:snapToGrid w:val="0"/>
        <w:spacing w:line="420" w:lineRule="exact"/>
        <w:ind w:firstLine="420" w:firstLineChars="200"/>
        <w:rPr>
          <w:rFonts w:ascii="宋体" w:hAnsi="宋体" w:cs="微软雅黑"/>
          <w:color w:val="auto"/>
          <w:szCs w:val="21"/>
          <w:highlight w:val="none"/>
        </w:rPr>
      </w:pPr>
      <w:bookmarkStart w:id="177" w:name="_Toc68033995"/>
      <w:bookmarkStart w:id="178" w:name="_Toc510088916"/>
      <w:r>
        <w:rPr>
          <w:rFonts w:hint="eastAsia" w:ascii="宋体" w:hAnsi="宋体" w:cs="微软雅黑"/>
          <w:color w:val="auto"/>
          <w:szCs w:val="21"/>
          <w:highlight w:val="none"/>
        </w:rPr>
        <w:t>履约保证金金额：无。</w:t>
      </w:r>
    </w:p>
    <w:p w14:paraId="79D38ED9">
      <w:pPr>
        <w:snapToGrid w:val="0"/>
        <w:spacing w:line="420" w:lineRule="exact"/>
        <w:ind w:firstLine="422" w:firstLineChars="200"/>
        <w:rPr>
          <w:rFonts w:ascii="宋体" w:hAnsi="宋体" w:cs="微软雅黑"/>
          <w:b/>
          <w:bCs/>
          <w:color w:val="auto"/>
          <w:szCs w:val="21"/>
          <w:highlight w:val="none"/>
        </w:rPr>
      </w:pPr>
      <w:r>
        <w:rPr>
          <w:rFonts w:hint="eastAsia" w:ascii="宋体" w:hAnsi="宋体" w:cs="微软雅黑"/>
          <w:b/>
          <w:bCs/>
          <w:color w:val="auto"/>
          <w:szCs w:val="21"/>
          <w:highlight w:val="none"/>
        </w:rPr>
        <w:t>第七条  税费</w:t>
      </w:r>
    </w:p>
    <w:p w14:paraId="7A176CD2">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本合同执行中相关的一切税费均由</w:t>
      </w:r>
      <w:r>
        <w:rPr>
          <w:rFonts w:hint="eastAsia" w:ascii="宋体" w:hAnsi="宋体" w:cs="微软雅黑"/>
          <w:color w:val="auto"/>
          <w:szCs w:val="21"/>
          <w:highlight w:val="none"/>
          <w:u w:val="single"/>
          <w:lang w:val="en-US" w:eastAsia="zh-CN"/>
        </w:rPr>
        <w:t>乙方</w:t>
      </w:r>
      <w:r>
        <w:rPr>
          <w:rFonts w:hint="eastAsia" w:ascii="宋体" w:hAnsi="宋体" w:cs="微软雅黑"/>
          <w:color w:val="auto"/>
          <w:szCs w:val="21"/>
          <w:highlight w:val="none"/>
        </w:rPr>
        <w:t>负担。</w:t>
      </w:r>
      <w:bookmarkEnd w:id="177"/>
      <w:bookmarkEnd w:id="178"/>
    </w:p>
    <w:p w14:paraId="58EA1C4D">
      <w:pPr>
        <w:snapToGrid w:val="0"/>
        <w:spacing w:line="420" w:lineRule="exact"/>
        <w:ind w:firstLine="422" w:firstLineChars="200"/>
        <w:rPr>
          <w:rFonts w:ascii="宋体" w:hAnsi="宋体" w:cs="微软雅黑"/>
          <w:b/>
          <w:bCs/>
          <w:color w:val="auto"/>
          <w:szCs w:val="21"/>
          <w:highlight w:val="none"/>
        </w:rPr>
      </w:pPr>
      <w:bookmarkStart w:id="179" w:name="_Toc510088917"/>
      <w:bookmarkStart w:id="180" w:name="_Toc68033996"/>
      <w:r>
        <w:rPr>
          <w:rFonts w:hint="eastAsia" w:ascii="宋体" w:hAnsi="宋体" w:cs="微软雅黑"/>
          <w:b/>
          <w:bCs/>
          <w:color w:val="auto"/>
          <w:szCs w:val="21"/>
          <w:highlight w:val="none"/>
        </w:rPr>
        <w:t xml:space="preserve">第八条  </w:t>
      </w:r>
      <w:bookmarkEnd w:id="179"/>
      <w:bookmarkEnd w:id="180"/>
      <w:r>
        <w:rPr>
          <w:rFonts w:hint="eastAsia" w:ascii="宋体" w:hAnsi="宋体" w:cs="微软雅黑"/>
          <w:b/>
          <w:bCs/>
          <w:color w:val="auto"/>
          <w:szCs w:val="21"/>
          <w:highlight w:val="none"/>
        </w:rPr>
        <w:t>违约责任</w:t>
      </w:r>
    </w:p>
    <w:p w14:paraId="70EEBEAB">
      <w:pPr>
        <w:snapToGrid w:val="0"/>
        <w:spacing w:line="420" w:lineRule="exact"/>
        <w:ind w:firstLine="420" w:firstLineChars="200"/>
        <w:rPr>
          <w:rFonts w:ascii="宋体" w:hAnsi="宋体" w:cs="微软雅黑"/>
          <w:color w:val="auto"/>
          <w:szCs w:val="21"/>
          <w:highlight w:val="none"/>
        </w:rPr>
      </w:pPr>
      <w:bookmarkStart w:id="181" w:name="_Toc510088918"/>
      <w:bookmarkStart w:id="182" w:name="_Toc68033997"/>
      <w:r>
        <w:rPr>
          <w:rFonts w:hint="eastAsia" w:ascii="宋体" w:hAnsi="宋体" w:cs="微软雅黑"/>
          <w:color w:val="auto"/>
          <w:szCs w:val="21"/>
          <w:highlight w:val="none"/>
        </w:rPr>
        <w:t>1.乙方所提供的服务成果、数量、服务项目要求(技术参数需求)等质量不符合</w:t>
      </w:r>
      <w:r>
        <w:rPr>
          <w:rFonts w:hint="eastAsia" w:ascii="宋体" w:hAnsi="宋体" w:cs="微软雅黑"/>
          <w:color w:val="auto"/>
          <w:szCs w:val="21"/>
          <w:highlight w:val="none"/>
          <w:lang w:val="en-US" w:eastAsia="zh-CN"/>
        </w:rPr>
        <w:t>采购</w:t>
      </w:r>
      <w:r>
        <w:rPr>
          <w:rFonts w:hint="eastAsia" w:ascii="宋体" w:hAnsi="宋体" w:cs="微软雅黑"/>
          <w:color w:val="auto"/>
          <w:szCs w:val="21"/>
          <w:highlight w:val="none"/>
        </w:rPr>
        <w:t>文件及</w:t>
      </w:r>
      <w:r>
        <w:rPr>
          <w:rFonts w:hint="eastAsia" w:ascii="宋体" w:hAnsi="宋体" w:cs="微软雅黑"/>
          <w:color w:val="auto"/>
          <w:szCs w:val="21"/>
          <w:highlight w:val="none"/>
          <w:lang w:val="en-US" w:eastAsia="zh-CN"/>
        </w:rPr>
        <w:t>响应</w:t>
      </w:r>
      <w:r>
        <w:rPr>
          <w:rFonts w:hint="eastAsia" w:ascii="宋体" w:hAnsi="宋体" w:cs="微软雅黑"/>
          <w:color w:val="auto"/>
          <w:szCs w:val="21"/>
          <w:highlight w:val="none"/>
        </w:rPr>
        <w:t>文件、国家有关质量标准或本合同约定的，应及时调整，调整不及时的按本合同第八条第2款的约定按逾期提交成果处理；因特殊情况甲方同意接收不符合</w:t>
      </w:r>
      <w:r>
        <w:rPr>
          <w:rFonts w:hint="eastAsia" w:ascii="宋体" w:hAnsi="宋体" w:cs="微软雅黑"/>
          <w:color w:val="auto"/>
          <w:szCs w:val="21"/>
          <w:highlight w:val="none"/>
          <w:lang w:val="en-US" w:eastAsia="zh-CN"/>
        </w:rPr>
        <w:t>采购</w:t>
      </w:r>
      <w:r>
        <w:rPr>
          <w:rFonts w:hint="eastAsia" w:ascii="宋体" w:hAnsi="宋体" w:cs="微软雅黑"/>
          <w:color w:val="auto"/>
          <w:szCs w:val="21"/>
          <w:highlight w:val="none"/>
        </w:rPr>
        <w:t>文件及</w:t>
      </w:r>
      <w:r>
        <w:rPr>
          <w:rFonts w:hint="eastAsia" w:ascii="宋体" w:hAnsi="宋体" w:cs="微软雅黑"/>
          <w:color w:val="auto"/>
          <w:szCs w:val="21"/>
          <w:highlight w:val="none"/>
          <w:lang w:val="en-US" w:eastAsia="zh-CN"/>
        </w:rPr>
        <w:t>响应</w:t>
      </w:r>
      <w:r>
        <w:rPr>
          <w:rFonts w:hint="eastAsia" w:ascii="宋体" w:hAnsi="宋体" w:cs="微软雅黑"/>
          <w:color w:val="auto"/>
          <w:szCs w:val="21"/>
          <w:highlight w:val="none"/>
        </w:rPr>
        <w:t>文件、国家有关质量标准或本合同约定的服务或报告的，乙方除承担逾期违约责任外，还应向甲方支付合同总价5%违约金。因乙方无法提供质量符合</w:t>
      </w:r>
      <w:r>
        <w:rPr>
          <w:rFonts w:hint="eastAsia" w:ascii="宋体" w:hAnsi="宋体" w:cs="微软雅黑"/>
          <w:color w:val="auto"/>
          <w:szCs w:val="21"/>
          <w:highlight w:val="none"/>
          <w:lang w:val="en-US" w:eastAsia="zh-CN"/>
        </w:rPr>
        <w:t>采购</w:t>
      </w:r>
      <w:r>
        <w:rPr>
          <w:rFonts w:hint="eastAsia" w:ascii="宋体" w:hAnsi="宋体" w:cs="微软雅黑"/>
          <w:color w:val="auto"/>
          <w:szCs w:val="21"/>
          <w:highlight w:val="none"/>
        </w:rPr>
        <w:t>文件及</w:t>
      </w:r>
      <w:r>
        <w:rPr>
          <w:rFonts w:hint="eastAsia" w:ascii="宋体" w:hAnsi="宋体" w:cs="微软雅黑"/>
          <w:color w:val="auto"/>
          <w:szCs w:val="21"/>
          <w:highlight w:val="none"/>
          <w:lang w:val="en-US" w:eastAsia="zh-CN"/>
        </w:rPr>
        <w:t>响应</w:t>
      </w:r>
      <w:r>
        <w:rPr>
          <w:rFonts w:hint="eastAsia" w:ascii="宋体" w:hAnsi="宋体" w:cs="微软雅黑"/>
          <w:color w:val="auto"/>
          <w:szCs w:val="21"/>
          <w:highlight w:val="none"/>
        </w:rPr>
        <w:t>文件、国家有关质量标准或本合同约定的服务或报告的，甲方有权解除合同。</w:t>
      </w:r>
    </w:p>
    <w:p w14:paraId="1B4368F9">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 xml:space="preserve">2.甲方无故延期接收服务成果、乙方逾期提交服务成果的，每天向对方偿付合同总价3‰违约金，但违约金累计不得超过合同总价5%。乙方逾期超过20天甲方有权解除合同。 </w:t>
      </w:r>
    </w:p>
    <w:p w14:paraId="5C47CCE9">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3.乙方应当保证有权销售本合同的所有产品或技术服务，不会因此侵犯到第三人的所有权、知识产权等一切权利。属于第三人拥有知识产权的已经取得第三人合法授权，甲方有权不受限制的使用。若因违反本款约定引起的第三方任何纠纷或诉讼的均由乙方负责交涉解决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乙方须在接到甲方通知之日起5个工作日内向甲方偿还完毕，并赔偿甲方全部经济损失。</w:t>
      </w:r>
    </w:p>
    <w:p w14:paraId="0D0074C5">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4.由于甲方的原因造成合同不能如期履行的，双方可根据具体情况顺延合同的履行期，对乙方因此遭受的损失，甲方应予以补偿。</w:t>
      </w:r>
    </w:p>
    <w:p w14:paraId="69B0F916">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5.非甲方书面同意，不允许分包，如有违反，甲方有权解除合同，且乙方应向甲方一次性支付</w:t>
      </w:r>
      <w:r>
        <w:rPr>
          <w:rFonts w:hint="eastAsia" w:ascii="宋体" w:hAnsi="宋体" w:cs="微软雅黑"/>
          <w:color w:val="auto"/>
          <w:szCs w:val="21"/>
          <w:highlight w:val="none"/>
          <w:u w:val="single"/>
          <w:lang w:val="en-US" w:eastAsia="zh-CN"/>
        </w:rPr>
        <w:t xml:space="preserve">       </w:t>
      </w:r>
      <w:r>
        <w:rPr>
          <w:rFonts w:hint="eastAsia" w:ascii="宋体" w:hAnsi="宋体" w:cs="微软雅黑"/>
          <w:color w:val="auto"/>
          <w:szCs w:val="21"/>
          <w:highlight w:val="none"/>
        </w:rPr>
        <w:t>的违约金。</w:t>
      </w:r>
    </w:p>
    <w:p w14:paraId="5F8D1EAB">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6.乙方未按本合同和</w:t>
      </w:r>
      <w:r>
        <w:rPr>
          <w:rFonts w:hint="eastAsia" w:ascii="宋体" w:hAnsi="宋体" w:cs="微软雅黑"/>
          <w:color w:val="auto"/>
          <w:szCs w:val="21"/>
          <w:highlight w:val="none"/>
          <w:lang w:val="en-US" w:eastAsia="zh-CN"/>
        </w:rPr>
        <w:t>响应</w:t>
      </w:r>
      <w:r>
        <w:rPr>
          <w:rFonts w:hint="eastAsia" w:ascii="宋体" w:hAnsi="宋体" w:cs="微软雅黑"/>
          <w:color w:val="auto"/>
          <w:szCs w:val="21"/>
          <w:highlight w:val="none"/>
        </w:rPr>
        <w:t>文件中规定的服务承诺提供服务的，乙方应按</w:t>
      </w:r>
      <w:r>
        <w:rPr>
          <w:rFonts w:hint="eastAsia" w:ascii="宋体" w:hAnsi="宋体" w:cs="微软雅黑"/>
          <w:color w:val="auto"/>
          <w:szCs w:val="21"/>
          <w:highlight w:val="none"/>
          <w:u w:val="single"/>
          <w:lang w:val="en-US" w:eastAsia="zh-CN"/>
        </w:rPr>
        <w:t xml:space="preserve">              </w:t>
      </w:r>
      <w:r>
        <w:rPr>
          <w:rFonts w:hint="eastAsia" w:ascii="宋体" w:hAnsi="宋体" w:cs="微软雅黑"/>
          <w:color w:val="auto"/>
          <w:szCs w:val="21"/>
          <w:highlight w:val="none"/>
        </w:rPr>
        <w:t>向甲方支付违约金。</w:t>
      </w:r>
    </w:p>
    <w:p w14:paraId="242AD958">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7.乙方有其它违约行为的，每发生一次按合同总价5%收取违约金。</w:t>
      </w:r>
    </w:p>
    <w:p w14:paraId="54C0E9F5">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8.甲方根据本合同约定而解除合同的，有权不予支付任何款项给乙方，已经支付的，乙方应当自甲方要求返还之日起5日内予以返还，除合同有其他约定外，乙方还应支付合同总价5%的违约金给甲方并赔偿甲方经济损失。</w:t>
      </w:r>
    </w:p>
    <w:p w14:paraId="4D5CBE8D">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9.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等。</w:t>
      </w:r>
    </w:p>
    <w:p w14:paraId="711222D0">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10.乙方未按期限完成项目工作或者项目工作的完成不符合约定的，乙方应根据本合同约定，向甲方支付违约金并赔偿甲方因此造成的经济损失（包括但不限于诉讼费、保全费、律师费等）。</w:t>
      </w:r>
    </w:p>
    <w:p w14:paraId="0948F033">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11.本合同签订后，乙方要求提前解除合同的，应向甲方支付本合同总价款30%的违约金，退还甲方已支付的全部费用并赔偿由此给甲方造成的全部损失。</w:t>
      </w:r>
    </w:p>
    <w:p w14:paraId="75405C52">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12.乙方应当支付给甲方的违约金、赔偿金，甲方有权从未支付的合同款中扣除，违约金不足以赔偿给甲方造成损失的，甲方仍有权向乙方进行追偿。</w:t>
      </w:r>
    </w:p>
    <w:p w14:paraId="1B5DCA42">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13.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退还甲方支付的所有费用（如有），自费运回所交付的产品，付清违约金、赔偿金。</w:t>
      </w:r>
    </w:p>
    <w:p w14:paraId="7C220892">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14.乙方违反本合同约定或法律规定的，应当赔偿给甲方造成的全部损失，包括但不限于直接损失、预期利益损失、甲方向第三人支付的违约金、赔偿金及甲方为索赔或应对第三方索赔而支出的诉讼费、律师费、公证费、保全费、担保费、鉴定费、评估费等全部费用。</w:t>
      </w:r>
    </w:p>
    <w:p w14:paraId="057F9DFB">
      <w:pPr>
        <w:snapToGrid w:val="0"/>
        <w:spacing w:line="420" w:lineRule="exact"/>
        <w:ind w:firstLine="420" w:firstLineChars="200"/>
        <w:rPr>
          <w:rFonts w:hint="eastAsia"/>
          <w:color w:val="auto"/>
          <w:highlight w:val="none"/>
        </w:rPr>
      </w:pPr>
      <w:r>
        <w:rPr>
          <w:rFonts w:hint="eastAsia" w:ascii="宋体" w:hAnsi="宋体" w:cs="微软雅黑"/>
          <w:color w:val="auto"/>
          <w:szCs w:val="21"/>
          <w:highlight w:val="none"/>
        </w:rPr>
        <w:t>15.乙方未经甲方书面同意，不按</w:t>
      </w:r>
      <w:r>
        <w:rPr>
          <w:rFonts w:hint="eastAsia" w:ascii="宋体" w:hAnsi="宋体" w:cs="微软雅黑"/>
          <w:color w:val="auto"/>
          <w:szCs w:val="21"/>
          <w:highlight w:val="none"/>
          <w:lang w:val="en-US" w:eastAsia="zh-CN"/>
        </w:rPr>
        <w:t>响应</w:t>
      </w:r>
      <w:r>
        <w:rPr>
          <w:rFonts w:hint="eastAsia" w:ascii="宋体" w:hAnsi="宋体" w:cs="微软雅黑"/>
          <w:color w:val="auto"/>
          <w:szCs w:val="21"/>
          <w:highlight w:val="none"/>
        </w:rPr>
        <w:t>文件承诺提供服务团队成员的，每发生一次乙方须向甲方支付合同总价5%的违约金，且甲方有权单方解除合同，并不予退还乙方履约保证金，由此造成的所有损失由乙方承担。</w:t>
      </w:r>
    </w:p>
    <w:bookmarkEnd w:id="181"/>
    <w:bookmarkEnd w:id="182"/>
    <w:p w14:paraId="42EDF7A9">
      <w:pPr>
        <w:snapToGrid w:val="0"/>
        <w:spacing w:line="420" w:lineRule="exact"/>
        <w:ind w:firstLine="413" w:firstLineChars="196"/>
        <w:rPr>
          <w:rFonts w:ascii="宋体" w:hAnsi="宋体" w:cs="微软雅黑"/>
          <w:b/>
          <w:color w:val="auto"/>
          <w:highlight w:val="none"/>
        </w:rPr>
      </w:pPr>
      <w:bookmarkStart w:id="183" w:name="_Toc68034010"/>
      <w:bookmarkStart w:id="184" w:name="_Toc510088931"/>
      <w:r>
        <w:rPr>
          <w:rFonts w:hint="eastAsia" w:ascii="宋体" w:hAnsi="宋体" w:cs="微软雅黑"/>
          <w:b/>
          <w:color w:val="auto"/>
          <w:highlight w:val="none"/>
        </w:rPr>
        <w:t>第九条 不可抗力事件处理</w:t>
      </w:r>
      <w:bookmarkEnd w:id="183"/>
      <w:bookmarkEnd w:id="184"/>
    </w:p>
    <w:p w14:paraId="1E385D89">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1.在合同有效期内，任何一方因不可抗力事件导致不能履行合同，则合同履行期可延长，其延长期与不可抗力影响期相同。</w:t>
      </w:r>
    </w:p>
    <w:p w14:paraId="04A01032">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2.由于不可抗力事件不能全部或部分履行合同义务时，任一方可中止履行其在本合同项下的义务（在不可抗力事件发生前已发生的应履行但未履行义务除外）。</w:t>
      </w:r>
    </w:p>
    <w:p w14:paraId="6FBDC5C4">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68961F5F">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4.不可抗力事件延续一百二十天以上，双方应通过友好协商，确定是否继续履行合同。</w:t>
      </w:r>
    </w:p>
    <w:p w14:paraId="180D9DF2">
      <w:pPr>
        <w:snapToGrid w:val="0"/>
        <w:spacing w:line="420" w:lineRule="exact"/>
        <w:ind w:firstLine="422" w:firstLineChars="200"/>
        <w:rPr>
          <w:rFonts w:ascii="宋体" w:hAnsi="宋体" w:cs="微软雅黑"/>
          <w:color w:val="auto"/>
          <w:szCs w:val="21"/>
          <w:highlight w:val="none"/>
        </w:rPr>
      </w:pPr>
      <w:bookmarkStart w:id="185" w:name="_Toc510088932"/>
      <w:bookmarkStart w:id="186" w:name="_Toc68034011"/>
      <w:r>
        <w:rPr>
          <w:rFonts w:hint="eastAsia" w:ascii="宋体" w:hAnsi="宋体" w:cs="微软雅黑"/>
          <w:b/>
          <w:color w:val="auto"/>
          <w:szCs w:val="21"/>
          <w:highlight w:val="none"/>
        </w:rPr>
        <w:t>第十条  合同争议解决</w:t>
      </w:r>
      <w:bookmarkEnd w:id="185"/>
      <w:bookmarkEnd w:id="186"/>
    </w:p>
    <w:p w14:paraId="5811C8B5">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1.因服务成果质量问题发生争议的，应邀请国家认可的质量检测机构对服务成果质量进行鉴定。服务成果符合标准的，鉴定费由甲方承担；服务成果不符合标准的，鉴定费由乙方承担。</w:t>
      </w:r>
    </w:p>
    <w:p w14:paraId="27462FE8">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2.因履行本合同引起的或与本合同有关的争议，甲乙双方应首先通过友好协商解决，如果协商不能解决，向甲方所在地人民法院提起诉讼。</w:t>
      </w:r>
    </w:p>
    <w:p w14:paraId="3D51095D">
      <w:pPr>
        <w:snapToGrid w:val="0"/>
        <w:spacing w:line="420" w:lineRule="exact"/>
        <w:ind w:firstLine="420" w:firstLineChars="200"/>
        <w:rPr>
          <w:rFonts w:ascii="宋体" w:hAnsi="宋体" w:cs="微软雅黑"/>
          <w:color w:val="auto"/>
          <w:szCs w:val="21"/>
          <w:highlight w:val="none"/>
        </w:rPr>
      </w:pPr>
      <w:r>
        <w:rPr>
          <w:rFonts w:hint="eastAsia" w:ascii="宋体" w:hAnsi="宋体" w:cs="微软雅黑"/>
          <w:color w:val="auto"/>
          <w:szCs w:val="21"/>
          <w:highlight w:val="none"/>
        </w:rPr>
        <w:t>3.诉讼期间，本合同继续履行。</w:t>
      </w:r>
    </w:p>
    <w:p w14:paraId="7C4A1854">
      <w:pPr>
        <w:snapToGrid w:val="0"/>
        <w:spacing w:line="420" w:lineRule="exact"/>
        <w:ind w:firstLine="426"/>
        <w:rPr>
          <w:rFonts w:ascii="宋体" w:hAnsi="宋体" w:cs="微软雅黑"/>
          <w:b/>
          <w:color w:val="auto"/>
          <w:highlight w:val="none"/>
        </w:rPr>
      </w:pPr>
      <w:bookmarkStart w:id="187" w:name="_Toc68034013"/>
      <w:bookmarkStart w:id="188" w:name="_Toc510088934"/>
      <w:r>
        <w:rPr>
          <w:rFonts w:hint="eastAsia" w:ascii="宋体" w:hAnsi="宋体" w:cs="微软雅黑"/>
          <w:b/>
          <w:color w:val="auto"/>
          <w:highlight w:val="none"/>
        </w:rPr>
        <w:t>第十一条  合同的变更、终止与转让</w:t>
      </w:r>
    </w:p>
    <w:p w14:paraId="2CEC96FA">
      <w:pPr>
        <w:snapToGrid w:val="0"/>
        <w:spacing w:line="420" w:lineRule="exact"/>
        <w:ind w:firstLine="426"/>
        <w:rPr>
          <w:rFonts w:ascii="宋体" w:hAnsi="宋体" w:cs="微软雅黑"/>
          <w:bCs/>
          <w:color w:val="auto"/>
          <w:highlight w:val="none"/>
        </w:rPr>
      </w:pPr>
      <w:r>
        <w:rPr>
          <w:rFonts w:hint="eastAsia" w:ascii="宋体" w:hAnsi="宋体" w:cs="微软雅黑"/>
          <w:bCs/>
          <w:color w:val="auto"/>
          <w:highlight w:val="none"/>
        </w:rPr>
        <w:t>1.除《中华人民共和国政府采购法》第五十条规定的情形外，本合同一经签订，甲乙双方不得擅自变更、中止或终止。</w:t>
      </w:r>
    </w:p>
    <w:p w14:paraId="6E33EFAE">
      <w:pPr>
        <w:snapToGrid w:val="0"/>
        <w:spacing w:line="420" w:lineRule="exact"/>
        <w:ind w:firstLine="426"/>
        <w:rPr>
          <w:rFonts w:ascii="宋体" w:hAnsi="宋体" w:cs="微软雅黑"/>
          <w:bCs/>
          <w:color w:val="auto"/>
          <w:highlight w:val="none"/>
        </w:rPr>
      </w:pPr>
      <w:r>
        <w:rPr>
          <w:rFonts w:hint="eastAsia" w:ascii="宋体" w:hAnsi="宋体" w:cs="微软雅黑"/>
          <w:bCs/>
          <w:color w:val="auto"/>
          <w:highlight w:val="none"/>
        </w:rPr>
        <w:t>2.乙方不得擅自转让其应履行的合同义务。</w:t>
      </w:r>
    </w:p>
    <w:p w14:paraId="7289D51E">
      <w:pPr>
        <w:snapToGrid w:val="0"/>
        <w:spacing w:line="420" w:lineRule="exact"/>
        <w:ind w:firstLine="426"/>
        <w:rPr>
          <w:rFonts w:ascii="宋体" w:hAnsi="宋体" w:cs="微软雅黑"/>
          <w:b/>
          <w:color w:val="auto"/>
          <w:highlight w:val="none"/>
        </w:rPr>
      </w:pPr>
      <w:r>
        <w:rPr>
          <w:rFonts w:hint="eastAsia" w:ascii="宋体" w:hAnsi="宋体" w:cs="微软雅黑"/>
          <w:b/>
          <w:color w:val="auto"/>
          <w:highlight w:val="none"/>
        </w:rPr>
        <w:t>第十二条　合同组成及解释</w:t>
      </w:r>
    </w:p>
    <w:p w14:paraId="2F242CA2">
      <w:pPr>
        <w:snapToGrid w:val="0"/>
        <w:spacing w:line="420" w:lineRule="exact"/>
        <w:ind w:firstLine="426"/>
        <w:rPr>
          <w:rFonts w:ascii="宋体" w:hAnsi="宋体" w:cs="微软雅黑"/>
          <w:bCs/>
          <w:color w:val="auto"/>
          <w:highlight w:val="none"/>
        </w:rPr>
      </w:pPr>
      <w:r>
        <w:rPr>
          <w:rFonts w:hint="eastAsia" w:ascii="宋体" w:hAnsi="宋体" w:cs="微软雅黑"/>
          <w:bCs/>
          <w:color w:val="auto"/>
          <w:highlight w:val="none"/>
        </w:rPr>
        <w:t>1.本项目的采购文件（含采购答疑）、符合采购要求的</w:t>
      </w:r>
      <w:r>
        <w:rPr>
          <w:rFonts w:hint="eastAsia" w:ascii="宋体" w:hAnsi="宋体" w:cs="微软雅黑"/>
          <w:bCs/>
          <w:color w:val="auto"/>
          <w:highlight w:val="none"/>
          <w:lang w:val="en-US" w:eastAsia="zh-CN"/>
        </w:rPr>
        <w:t>响应</w:t>
      </w:r>
      <w:r>
        <w:rPr>
          <w:rFonts w:hint="eastAsia" w:ascii="宋体" w:hAnsi="宋体" w:cs="微软雅黑"/>
          <w:bCs/>
          <w:color w:val="auto"/>
          <w:highlight w:val="none"/>
        </w:rPr>
        <w:t>文件、甲方确认采购要求、本合同履行过程中双方签章确认的协议或其他文件均为本合同的组成部分，若合同组成文件之间发生矛盾的，以下排列顺序为合同组成文件之间的优先解释顺序：</w:t>
      </w:r>
    </w:p>
    <w:p w14:paraId="50719B8B">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（1）合同履行过程中双方签章确认的协议或其他文件；</w:t>
      </w:r>
    </w:p>
    <w:p w14:paraId="3F7B0D98">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（2）甲方确认的采购要求；</w:t>
      </w:r>
    </w:p>
    <w:p w14:paraId="64221CF2">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（3）合同附件；</w:t>
      </w:r>
    </w:p>
    <w:p w14:paraId="71A2923B">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（4）</w:t>
      </w:r>
      <w:r>
        <w:rPr>
          <w:rFonts w:hint="eastAsia" w:ascii="宋体" w:hAnsi="宋体" w:cs="微软雅黑"/>
          <w:bCs/>
          <w:color w:val="auto"/>
          <w:highlight w:val="none"/>
          <w:lang w:val="en-US" w:eastAsia="zh-CN"/>
        </w:rPr>
        <w:t>成交</w:t>
      </w:r>
      <w:r>
        <w:rPr>
          <w:rFonts w:hint="eastAsia" w:ascii="宋体" w:hAnsi="宋体" w:cs="微软雅黑"/>
          <w:bCs/>
          <w:color w:val="auto"/>
          <w:highlight w:val="none"/>
        </w:rPr>
        <w:t>通知书；</w:t>
      </w:r>
    </w:p>
    <w:p w14:paraId="2AD80D37">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（5）采购文件(含答疑)；</w:t>
      </w:r>
    </w:p>
    <w:p w14:paraId="4EF75664">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（6）符合采购要求的</w:t>
      </w:r>
      <w:r>
        <w:rPr>
          <w:rFonts w:hint="eastAsia" w:ascii="宋体" w:hAnsi="宋体" w:cs="微软雅黑"/>
          <w:bCs/>
          <w:color w:val="auto"/>
          <w:highlight w:val="none"/>
          <w:lang w:val="en-US" w:eastAsia="zh-CN"/>
        </w:rPr>
        <w:t>响应</w:t>
      </w:r>
      <w:r>
        <w:rPr>
          <w:rFonts w:hint="eastAsia" w:ascii="宋体" w:hAnsi="宋体" w:cs="微软雅黑"/>
          <w:bCs/>
          <w:color w:val="auto"/>
          <w:highlight w:val="none"/>
        </w:rPr>
        <w:t>文件；</w:t>
      </w:r>
    </w:p>
    <w:p w14:paraId="613A7EC6">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（7）标准、规范及有关技术文件；</w:t>
      </w:r>
    </w:p>
    <w:p w14:paraId="334E251D">
      <w:pPr>
        <w:snapToGrid w:val="0"/>
        <w:spacing w:line="400" w:lineRule="exact"/>
        <w:ind w:firstLine="425"/>
        <w:rPr>
          <w:rFonts w:ascii="宋体" w:hAnsi="宋体" w:cs="微软雅黑"/>
          <w:bCs/>
          <w:color w:val="auto"/>
          <w:highlight w:val="none"/>
        </w:rPr>
      </w:pPr>
      <w:r>
        <w:rPr>
          <w:rFonts w:hint="eastAsia" w:ascii="宋体" w:hAnsi="宋体" w:cs="微软雅黑"/>
          <w:bCs/>
          <w:color w:val="auto"/>
          <w:highlight w:val="none"/>
        </w:rPr>
        <w:t>（8）其他合同文件。</w:t>
      </w:r>
    </w:p>
    <w:p w14:paraId="2ACE3E94">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1561DF6C">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3.前述各项文件包括双方就该合同组成文件所作出的补充和修改，属于同一项文件的，应以最新签署的为准。</w:t>
      </w:r>
    </w:p>
    <w:p w14:paraId="6C0743EA">
      <w:pPr>
        <w:snapToGrid w:val="0"/>
        <w:spacing w:line="400" w:lineRule="exact"/>
        <w:ind w:firstLine="426"/>
        <w:rPr>
          <w:rFonts w:ascii="宋体" w:hAnsi="宋体" w:cs="微软雅黑"/>
          <w:b/>
          <w:color w:val="auto"/>
          <w:highlight w:val="none"/>
        </w:rPr>
      </w:pPr>
      <w:r>
        <w:rPr>
          <w:rFonts w:hint="eastAsia" w:ascii="宋体" w:hAnsi="宋体" w:cs="微软雅黑"/>
          <w:b/>
          <w:color w:val="auto"/>
          <w:highlight w:val="none"/>
        </w:rPr>
        <w:t>第十三条　通知与送达</w:t>
      </w:r>
    </w:p>
    <w:p w14:paraId="5438FC10">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0DD0CA70">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2.任何一方当事人向对/他方所发出的通知或请求送达时间：</w:t>
      </w:r>
    </w:p>
    <w:p w14:paraId="7D548F6F">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（1）如果是传真，则在发送当日视为送达；</w:t>
      </w:r>
    </w:p>
    <w:p w14:paraId="58D8B6F6">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（2）如果是短信/微信/电子邮件，自电子文件内容在发送方正确填写地址且未被系统退回的情况下，进入对方数据电文接收系统当日视为送达。</w:t>
      </w:r>
    </w:p>
    <w:p w14:paraId="5147AA07">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（3）如果是信函，在挂号信交邮后第三日视为送达；</w:t>
      </w:r>
    </w:p>
    <w:p w14:paraId="1EEBE486">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（4）如果是派人专程送达，则在收件人签收之日视为收到；</w:t>
      </w:r>
    </w:p>
    <w:p w14:paraId="4D402DE9">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（5）如果同时使用几种通知方式的，以其中较快到达接收方者为准。</w:t>
      </w:r>
    </w:p>
    <w:p w14:paraId="45F983A8">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（6）若送达日为非工作日，则视为在下一工作日送达。</w:t>
      </w:r>
    </w:p>
    <w:p w14:paraId="703E61DA">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7CF378DE">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7B6B5996">
      <w:pPr>
        <w:snapToGrid w:val="0"/>
        <w:spacing w:line="400" w:lineRule="exact"/>
        <w:ind w:firstLine="426"/>
        <w:rPr>
          <w:rFonts w:ascii="宋体" w:hAnsi="宋体" w:cs="微软雅黑"/>
          <w:b/>
          <w:color w:val="auto"/>
          <w:highlight w:val="none"/>
        </w:rPr>
      </w:pPr>
      <w:r>
        <w:rPr>
          <w:rFonts w:hint="eastAsia" w:ascii="宋体" w:hAnsi="宋体" w:cs="微软雅黑"/>
          <w:b/>
          <w:color w:val="auto"/>
          <w:highlight w:val="none"/>
        </w:rPr>
        <w:t>第十四条 合同生效及其它</w:t>
      </w:r>
      <w:bookmarkEnd w:id="187"/>
      <w:bookmarkEnd w:id="188"/>
    </w:p>
    <w:p w14:paraId="4216C582">
      <w:pPr>
        <w:snapToGrid w:val="0"/>
        <w:spacing w:line="400" w:lineRule="exact"/>
        <w:ind w:firstLine="426"/>
        <w:rPr>
          <w:rFonts w:ascii="宋体" w:hAnsi="宋体" w:cs="微软雅黑"/>
          <w:bCs/>
          <w:color w:val="auto"/>
          <w:highlight w:val="none"/>
        </w:rPr>
      </w:pPr>
      <w:r>
        <w:rPr>
          <w:rFonts w:hint="eastAsia" w:ascii="宋体" w:hAnsi="宋体" w:cs="微软雅黑"/>
          <w:bCs/>
          <w:color w:val="auto"/>
          <w:highlight w:val="none"/>
        </w:rPr>
        <w:t>1.合同经双方法定代表人或授权代表签字并加盖单位公章后生效。</w:t>
      </w:r>
    </w:p>
    <w:p w14:paraId="4F2EDA46">
      <w:pPr>
        <w:snapToGrid w:val="0"/>
        <w:spacing w:line="400" w:lineRule="exact"/>
        <w:ind w:firstLine="426"/>
        <w:rPr>
          <w:rFonts w:ascii="宋体" w:hAnsi="宋体" w:cs="微软雅黑"/>
          <w:b/>
          <w:color w:val="auto"/>
          <w:highlight w:val="none"/>
        </w:rPr>
      </w:pPr>
      <w:r>
        <w:rPr>
          <w:rFonts w:hint="eastAsia" w:ascii="宋体" w:hAnsi="宋体" w:cs="微软雅黑"/>
          <w:bCs/>
          <w:color w:val="auto"/>
          <w:highlight w:val="none"/>
          <w:lang w:val="en-US" w:eastAsia="zh-CN"/>
        </w:rPr>
        <w:t>2</w:t>
      </w:r>
      <w:r>
        <w:rPr>
          <w:rFonts w:hint="eastAsia" w:ascii="宋体" w:hAnsi="宋体" w:cs="微软雅黑"/>
          <w:bCs/>
          <w:color w:val="auto"/>
          <w:highlight w:val="none"/>
        </w:rPr>
        <w:t>.本合同未尽事宜，遵照《中华人民共和国民法典》有关条文执行。</w:t>
      </w:r>
    </w:p>
    <w:p w14:paraId="2A378EBE">
      <w:pPr>
        <w:snapToGrid w:val="0"/>
        <w:spacing w:line="400" w:lineRule="exact"/>
        <w:ind w:firstLine="420" w:firstLineChars="200"/>
        <w:rPr>
          <w:rFonts w:ascii="宋体" w:hAnsi="宋体" w:cs="微软雅黑"/>
          <w:color w:val="auto"/>
          <w:szCs w:val="21"/>
          <w:highlight w:val="none"/>
        </w:rPr>
      </w:pPr>
      <w:bookmarkStart w:id="189" w:name="_Toc68034016"/>
      <w:bookmarkStart w:id="190" w:name="_Toc510088937"/>
      <w:r>
        <w:rPr>
          <w:rFonts w:hint="eastAsia" w:ascii="宋体" w:hAnsi="宋体" w:cs="微软雅黑"/>
          <w:bCs/>
          <w:color w:val="auto"/>
          <w:szCs w:val="21"/>
          <w:highlight w:val="none"/>
          <w:lang w:val="en-US" w:eastAsia="zh-CN"/>
        </w:rPr>
        <w:t>3.</w:t>
      </w:r>
      <w:r>
        <w:rPr>
          <w:rFonts w:hint="eastAsia" w:ascii="宋体" w:hAnsi="宋体" w:cs="微软雅黑"/>
          <w:bCs/>
          <w:color w:val="auto"/>
          <w:szCs w:val="21"/>
          <w:highlight w:val="none"/>
        </w:rPr>
        <w:t>本合同一式</w:t>
      </w:r>
      <w:r>
        <w:rPr>
          <w:rFonts w:hint="eastAsia" w:ascii="宋体" w:hAnsi="宋体" w:cs="微软雅黑"/>
          <w:bCs/>
          <w:color w:val="auto"/>
          <w:szCs w:val="21"/>
          <w:highlight w:val="none"/>
          <w:lang w:val="en-US" w:eastAsia="zh-CN"/>
        </w:rPr>
        <w:t>柒</w:t>
      </w:r>
      <w:r>
        <w:rPr>
          <w:rFonts w:hint="eastAsia" w:ascii="宋体" w:hAnsi="宋体" w:cs="微软雅黑"/>
          <w:bCs/>
          <w:color w:val="auto"/>
          <w:szCs w:val="21"/>
          <w:highlight w:val="none"/>
        </w:rPr>
        <w:t>份，具有同等法律效力，甲方执</w:t>
      </w:r>
      <w:r>
        <w:rPr>
          <w:rFonts w:hint="eastAsia" w:ascii="宋体" w:hAnsi="宋体" w:cs="微软雅黑"/>
          <w:bCs/>
          <w:color w:val="auto"/>
          <w:szCs w:val="21"/>
          <w:highlight w:val="none"/>
          <w:lang w:val="en-US" w:eastAsia="zh-CN"/>
        </w:rPr>
        <w:t>肆</w:t>
      </w:r>
      <w:r>
        <w:rPr>
          <w:rFonts w:hint="eastAsia" w:ascii="宋体" w:hAnsi="宋体" w:cs="微软雅黑"/>
          <w:bCs/>
          <w:color w:val="auto"/>
          <w:szCs w:val="21"/>
          <w:highlight w:val="none"/>
        </w:rPr>
        <w:t>份，乙方</w:t>
      </w:r>
      <w:r>
        <w:rPr>
          <w:rFonts w:hint="eastAsia" w:ascii="宋体" w:hAnsi="宋体" w:cs="微软雅黑"/>
          <w:bCs/>
          <w:color w:val="auto"/>
          <w:szCs w:val="21"/>
          <w:highlight w:val="none"/>
          <w:lang w:val="en-US" w:eastAsia="zh-CN"/>
        </w:rPr>
        <w:t>壹</w:t>
      </w:r>
      <w:r>
        <w:rPr>
          <w:rFonts w:hint="eastAsia" w:ascii="宋体" w:hAnsi="宋体" w:cs="微软雅黑"/>
          <w:bCs/>
          <w:color w:val="auto"/>
          <w:szCs w:val="21"/>
          <w:highlight w:val="none"/>
        </w:rPr>
        <w:t>份，采购代理机构</w:t>
      </w:r>
      <w:r>
        <w:rPr>
          <w:rFonts w:hint="eastAsia" w:ascii="宋体" w:hAnsi="宋体" w:cs="微软雅黑"/>
          <w:bCs/>
          <w:color w:val="auto"/>
          <w:szCs w:val="21"/>
          <w:highlight w:val="none"/>
          <w:lang w:val="en-US" w:eastAsia="zh-CN"/>
        </w:rPr>
        <w:t>贰</w:t>
      </w:r>
      <w:r>
        <w:rPr>
          <w:rFonts w:hint="eastAsia" w:ascii="宋体" w:hAnsi="宋体" w:cs="微软雅黑"/>
          <w:bCs/>
          <w:color w:val="auto"/>
          <w:szCs w:val="21"/>
          <w:highlight w:val="none"/>
        </w:rPr>
        <w:t>份。</w:t>
      </w:r>
      <w:bookmarkEnd w:id="189"/>
      <w:bookmarkEnd w:id="19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4743"/>
      </w:tblGrid>
      <w:tr w14:paraId="5E4D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4893" w:type="dxa"/>
            <w:noWrap w:val="0"/>
            <w:vAlign w:val="center"/>
          </w:tcPr>
          <w:p w14:paraId="16E9D742">
            <w:pPr>
              <w:snapToGrid w:val="0"/>
              <w:rPr>
                <w:rFonts w:ascii="宋体" w:hAnsi="宋体" w:cs="微软雅黑"/>
                <w:color w:val="auto"/>
                <w:szCs w:val="21"/>
                <w:highlight w:val="none"/>
              </w:rPr>
            </w:pPr>
            <w:r>
              <w:rPr>
                <w:rFonts w:hint="eastAsia" w:ascii="宋体" w:hAnsi="宋体" w:cs="微软雅黑"/>
                <w:color w:val="auto"/>
                <w:szCs w:val="21"/>
                <w:highlight w:val="none"/>
              </w:rPr>
              <w:t xml:space="preserve">甲方（章）：    </w:t>
            </w:r>
          </w:p>
          <w:p w14:paraId="3683D409">
            <w:pPr>
              <w:snapToGrid w:val="0"/>
              <w:ind w:firstLine="945" w:firstLineChars="450"/>
              <w:jc w:val="right"/>
              <w:rPr>
                <w:rFonts w:ascii="宋体" w:hAnsi="宋体" w:cs="微软雅黑"/>
                <w:color w:val="auto"/>
                <w:szCs w:val="21"/>
                <w:highlight w:val="none"/>
              </w:rPr>
            </w:pPr>
          </w:p>
          <w:p w14:paraId="7D118ADF">
            <w:pPr>
              <w:rPr>
                <w:rFonts w:ascii="宋体" w:hAnsi="宋体"/>
                <w:color w:val="auto"/>
                <w:highlight w:val="none"/>
              </w:rPr>
            </w:pPr>
          </w:p>
          <w:p w14:paraId="15A35789">
            <w:pPr>
              <w:rPr>
                <w:rFonts w:hint="eastAsia" w:ascii="宋体" w:hAnsi="宋体"/>
                <w:color w:val="auto"/>
                <w:highlight w:val="none"/>
              </w:rPr>
            </w:pPr>
          </w:p>
          <w:p w14:paraId="3D6D0265">
            <w:pPr>
              <w:snapToGrid w:val="0"/>
              <w:ind w:firstLine="945" w:firstLineChars="450"/>
              <w:jc w:val="right"/>
              <w:rPr>
                <w:rFonts w:ascii="宋体" w:hAnsi="宋体" w:cs="微软雅黑"/>
                <w:color w:val="auto"/>
                <w:szCs w:val="21"/>
                <w:highlight w:val="none"/>
              </w:rPr>
            </w:pPr>
          </w:p>
          <w:p w14:paraId="2BB4BF9D">
            <w:pPr>
              <w:snapToGrid w:val="0"/>
              <w:ind w:firstLine="945" w:firstLineChars="450"/>
              <w:jc w:val="right"/>
              <w:rPr>
                <w:rFonts w:ascii="宋体" w:hAnsi="宋体" w:cs="微软雅黑"/>
                <w:color w:val="auto"/>
                <w:szCs w:val="21"/>
                <w:highlight w:val="none"/>
              </w:rPr>
            </w:pPr>
            <w:r>
              <w:rPr>
                <w:rFonts w:hint="eastAsia" w:ascii="宋体" w:hAnsi="宋体" w:cs="微软雅黑"/>
                <w:color w:val="auto"/>
                <w:szCs w:val="21"/>
                <w:highlight w:val="none"/>
              </w:rPr>
              <w:t>年   月   日</w:t>
            </w:r>
          </w:p>
        </w:tc>
        <w:tc>
          <w:tcPr>
            <w:tcW w:w="4743" w:type="dxa"/>
            <w:noWrap w:val="0"/>
            <w:vAlign w:val="center"/>
          </w:tcPr>
          <w:p w14:paraId="4AB93276">
            <w:pPr>
              <w:snapToGrid w:val="0"/>
              <w:rPr>
                <w:rFonts w:ascii="宋体" w:hAnsi="宋体" w:cs="微软雅黑"/>
                <w:color w:val="auto"/>
                <w:szCs w:val="21"/>
                <w:highlight w:val="none"/>
              </w:rPr>
            </w:pPr>
            <w:r>
              <w:rPr>
                <w:rFonts w:hint="eastAsia" w:ascii="宋体" w:hAnsi="宋体" w:cs="微软雅黑"/>
                <w:color w:val="auto"/>
                <w:szCs w:val="21"/>
                <w:highlight w:val="none"/>
              </w:rPr>
              <w:t xml:space="preserve">乙方（章）：            </w:t>
            </w:r>
          </w:p>
          <w:p w14:paraId="4EA46923">
            <w:pPr>
              <w:pStyle w:val="12"/>
              <w:rPr>
                <w:rFonts w:ascii="宋体" w:hAnsi="宋体"/>
                <w:color w:val="auto"/>
                <w:highlight w:val="none"/>
              </w:rPr>
            </w:pPr>
          </w:p>
          <w:p w14:paraId="01106F41">
            <w:pPr>
              <w:tabs>
                <w:tab w:val="center" w:pos="4153"/>
                <w:tab w:val="right" w:pos="8306"/>
              </w:tabs>
              <w:snapToGrid w:val="0"/>
              <w:jc w:val="left"/>
              <w:rPr>
                <w:rFonts w:ascii="宋体" w:hAnsi="宋体" w:cs="微软雅黑"/>
                <w:color w:val="auto"/>
                <w:sz w:val="18"/>
                <w:szCs w:val="21"/>
                <w:highlight w:val="none"/>
              </w:rPr>
            </w:pPr>
          </w:p>
          <w:p w14:paraId="62763D70">
            <w:pPr>
              <w:snapToGrid w:val="0"/>
              <w:jc w:val="right"/>
              <w:rPr>
                <w:rFonts w:hint="eastAsia" w:ascii="宋体" w:hAnsi="宋体" w:cs="微软雅黑"/>
                <w:color w:val="auto"/>
                <w:szCs w:val="21"/>
                <w:highlight w:val="none"/>
              </w:rPr>
            </w:pPr>
            <w:r>
              <w:rPr>
                <w:rFonts w:hint="eastAsia" w:ascii="宋体" w:hAnsi="宋体" w:cs="微软雅黑"/>
                <w:color w:val="auto"/>
                <w:szCs w:val="21"/>
                <w:highlight w:val="none"/>
              </w:rPr>
              <w:t xml:space="preserve"> </w:t>
            </w:r>
          </w:p>
          <w:p w14:paraId="302F2238">
            <w:pPr>
              <w:snapToGrid w:val="0"/>
              <w:jc w:val="right"/>
              <w:rPr>
                <w:rFonts w:hint="eastAsia" w:ascii="宋体" w:hAnsi="宋体" w:cs="微软雅黑"/>
                <w:color w:val="auto"/>
                <w:szCs w:val="21"/>
                <w:highlight w:val="none"/>
              </w:rPr>
            </w:pPr>
          </w:p>
          <w:p w14:paraId="71866FA0">
            <w:pPr>
              <w:snapToGrid w:val="0"/>
              <w:jc w:val="right"/>
              <w:rPr>
                <w:rFonts w:ascii="宋体" w:hAnsi="宋体" w:cs="微软雅黑"/>
                <w:color w:val="auto"/>
                <w:szCs w:val="21"/>
                <w:highlight w:val="none"/>
              </w:rPr>
            </w:pPr>
            <w:r>
              <w:rPr>
                <w:rFonts w:hint="eastAsia" w:ascii="宋体" w:hAnsi="宋体" w:cs="微软雅黑"/>
                <w:color w:val="auto"/>
                <w:szCs w:val="21"/>
                <w:highlight w:val="none"/>
              </w:rPr>
              <w:t>年   月   日</w:t>
            </w:r>
          </w:p>
        </w:tc>
      </w:tr>
      <w:tr w14:paraId="6986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009C3398">
            <w:pPr>
              <w:snapToGrid w:val="0"/>
              <w:rPr>
                <w:rFonts w:ascii="宋体" w:hAnsi="宋体" w:cs="微软雅黑"/>
                <w:color w:val="auto"/>
                <w:szCs w:val="21"/>
                <w:highlight w:val="none"/>
              </w:rPr>
            </w:pPr>
            <w:r>
              <w:rPr>
                <w:rFonts w:hint="eastAsia" w:ascii="宋体" w:hAnsi="宋体" w:cs="微软雅黑"/>
                <w:color w:val="auto"/>
                <w:szCs w:val="21"/>
                <w:highlight w:val="none"/>
              </w:rPr>
              <w:t>单位地址：</w:t>
            </w:r>
            <w:r>
              <w:rPr>
                <w:rFonts w:ascii="宋体" w:hAnsi="宋体" w:cs="微软雅黑"/>
                <w:color w:val="auto"/>
                <w:szCs w:val="21"/>
                <w:highlight w:val="none"/>
              </w:rPr>
              <w:t xml:space="preserve"> </w:t>
            </w:r>
          </w:p>
        </w:tc>
        <w:tc>
          <w:tcPr>
            <w:tcW w:w="4743" w:type="dxa"/>
            <w:noWrap w:val="0"/>
            <w:vAlign w:val="center"/>
          </w:tcPr>
          <w:p w14:paraId="58B10B5E">
            <w:pPr>
              <w:snapToGrid w:val="0"/>
              <w:ind w:left="1050" w:hanging="1050" w:hangingChars="500"/>
              <w:rPr>
                <w:rFonts w:ascii="宋体" w:hAnsi="宋体" w:cs="微软雅黑"/>
                <w:color w:val="auto"/>
                <w:szCs w:val="21"/>
                <w:highlight w:val="none"/>
              </w:rPr>
            </w:pPr>
            <w:r>
              <w:rPr>
                <w:rFonts w:hint="eastAsia" w:ascii="宋体" w:hAnsi="宋体" w:cs="微软雅黑"/>
                <w:color w:val="auto"/>
                <w:szCs w:val="21"/>
                <w:highlight w:val="none"/>
              </w:rPr>
              <w:t>单位地址：</w:t>
            </w:r>
            <w:r>
              <w:rPr>
                <w:rFonts w:ascii="宋体" w:hAnsi="宋体" w:cs="微软雅黑"/>
                <w:color w:val="auto"/>
                <w:szCs w:val="21"/>
                <w:highlight w:val="none"/>
              </w:rPr>
              <w:t xml:space="preserve"> </w:t>
            </w:r>
          </w:p>
        </w:tc>
      </w:tr>
      <w:tr w14:paraId="6ABF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tcBorders>
              <w:bottom w:val="nil"/>
              <w:right w:val="single" w:color="auto" w:sz="4" w:space="0"/>
            </w:tcBorders>
            <w:noWrap w:val="0"/>
            <w:vAlign w:val="center"/>
          </w:tcPr>
          <w:p w14:paraId="71262229">
            <w:pPr>
              <w:snapToGrid w:val="0"/>
              <w:rPr>
                <w:rFonts w:ascii="宋体" w:hAnsi="宋体" w:cs="微软雅黑"/>
                <w:color w:val="auto"/>
                <w:szCs w:val="21"/>
                <w:highlight w:val="none"/>
              </w:rPr>
            </w:pPr>
            <w:r>
              <w:rPr>
                <w:rFonts w:hint="eastAsia" w:ascii="宋体" w:hAnsi="宋体" w:cs="微软雅黑"/>
                <w:color w:val="auto"/>
                <w:szCs w:val="21"/>
                <w:highlight w:val="none"/>
              </w:rPr>
              <w:t>法定代表人：</w:t>
            </w:r>
          </w:p>
        </w:tc>
        <w:tc>
          <w:tcPr>
            <w:tcW w:w="4743" w:type="dxa"/>
            <w:tcBorders>
              <w:left w:val="single" w:color="auto" w:sz="4" w:space="0"/>
              <w:bottom w:val="nil"/>
            </w:tcBorders>
            <w:noWrap w:val="0"/>
            <w:vAlign w:val="center"/>
          </w:tcPr>
          <w:p w14:paraId="54711BB0">
            <w:pPr>
              <w:snapToGrid w:val="0"/>
              <w:rPr>
                <w:rFonts w:ascii="宋体" w:hAnsi="宋体" w:cs="微软雅黑"/>
                <w:color w:val="auto"/>
                <w:szCs w:val="21"/>
                <w:highlight w:val="none"/>
              </w:rPr>
            </w:pPr>
            <w:r>
              <w:rPr>
                <w:rFonts w:hint="eastAsia" w:ascii="宋体" w:hAnsi="宋体" w:cs="微软雅黑"/>
                <w:color w:val="auto"/>
                <w:szCs w:val="21"/>
                <w:highlight w:val="none"/>
              </w:rPr>
              <w:t>法定代表人：</w:t>
            </w:r>
          </w:p>
        </w:tc>
      </w:tr>
      <w:tr w14:paraId="7E08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tcBorders>
              <w:top w:val="nil"/>
              <w:right w:val="single" w:color="auto" w:sz="4" w:space="0"/>
            </w:tcBorders>
            <w:noWrap w:val="0"/>
            <w:vAlign w:val="center"/>
          </w:tcPr>
          <w:p w14:paraId="3A97AF65">
            <w:pPr>
              <w:snapToGrid w:val="0"/>
              <w:rPr>
                <w:rFonts w:ascii="宋体" w:hAnsi="宋体" w:cs="微软雅黑"/>
                <w:color w:val="auto"/>
                <w:szCs w:val="21"/>
                <w:highlight w:val="none"/>
              </w:rPr>
            </w:pPr>
            <w:r>
              <w:rPr>
                <w:rFonts w:hint="eastAsia" w:ascii="宋体" w:hAnsi="宋体" w:cs="微软雅黑"/>
                <w:color w:val="auto"/>
                <w:szCs w:val="21"/>
                <w:highlight w:val="none"/>
              </w:rPr>
              <w:t>或委托代理人：</w:t>
            </w:r>
          </w:p>
        </w:tc>
        <w:tc>
          <w:tcPr>
            <w:tcW w:w="4743" w:type="dxa"/>
            <w:tcBorders>
              <w:top w:val="nil"/>
              <w:left w:val="single" w:color="auto" w:sz="4" w:space="0"/>
            </w:tcBorders>
            <w:noWrap w:val="0"/>
            <w:vAlign w:val="center"/>
          </w:tcPr>
          <w:p w14:paraId="756D7CC0">
            <w:pPr>
              <w:snapToGrid w:val="0"/>
              <w:rPr>
                <w:rFonts w:ascii="宋体" w:hAnsi="宋体" w:cs="微软雅黑"/>
                <w:color w:val="auto"/>
                <w:szCs w:val="21"/>
                <w:highlight w:val="none"/>
              </w:rPr>
            </w:pPr>
            <w:r>
              <w:rPr>
                <w:rFonts w:hint="eastAsia" w:ascii="宋体" w:hAnsi="宋体" w:cs="微软雅黑"/>
                <w:color w:val="auto"/>
                <w:szCs w:val="21"/>
                <w:highlight w:val="none"/>
              </w:rPr>
              <w:t>或委托代理人：</w:t>
            </w:r>
          </w:p>
        </w:tc>
      </w:tr>
      <w:tr w14:paraId="35BC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73141C2E">
            <w:pPr>
              <w:snapToGrid w:val="0"/>
              <w:rPr>
                <w:rFonts w:ascii="宋体" w:hAnsi="宋体" w:cs="微软雅黑"/>
                <w:color w:val="auto"/>
                <w:szCs w:val="21"/>
                <w:highlight w:val="none"/>
              </w:rPr>
            </w:pPr>
            <w:r>
              <w:rPr>
                <w:rFonts w:hint="eastAsia" w:ascii="宋体" w:hAnsi="宋体" w:cs="微软雅黑"/>
                <w:color w:val="auto"/>
                <w:szCs w:val="21"/>
                <w:highlight w:val="none"/>
              </w:rPr>
              <w:t>电话：</w:t>
            </w:r>
          </w:p>
        </w:tc>
        <w:tc>
          <w:tcPr>
            <w:tcW w:w="4743" w:type="dxa"/>
            <w:noWrap w:val="0"/>
            <w:vAlign w:val="center"/>
          </w:tcPr>
          <w:p w14:paraId="740B52C7">
            <w:pPr>
              <w:snapToGrid w:val="0"/>
              <w:rPr>
                <w:rFonts w:ascii="宋体" w:hAnsi="宋体" w:cs="微软雅黑"/>
                <w:color w:val="auto"/>
                <w:szCs w:val="21"/>
                <w:highlight w:val="none"/>
              </w:rPr>
            </w:pPr>
            <w:r>
              <w:rPr>
                <w:rFonts w:hint="eastAsia" w:ascii="宋体" w:hAnsi="宋体" w:cs="微软雅黑"/>
                <w:color w:val="auto"/>
                <w:szCs w:val="21"/>
                <w:highlight w:val="none"/>
              </w:rPr>
              <w:t>电话：</w:t>
            </w:r>
          </w:p>
        </w:tc>
      </w:tr>
      <w:tr w14:paraId="5B49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735EF1FD">
            <w:pPr>
              <w:snapToGrid w:val="0"/>
              <w:rPr>
                <w:rFonts w:ascii="宋体" w:hAnsi="宋体" w:cs="微软雅黑"/>
                <w:color w:val="auto"/>
                <w:szCs w:val="21"/>
                <w:highlight w:val="none"/>
              </w:rPr>
            </w:pPr>
            <w:r>
              <w:rPr>
                <w:rFonts w:hint="eastAsia" w:ascii="宋体" w:hAnsi="宋体" w:cs="微软雅黑"/>
                <w:color w:val="auto"/>
                <w:szCs w:val="21"/>
                <w:highlight w:val="none"/>
              </w:rPr>
              <w:t>电子邮箱：</w:t>
            </w:r>
          </w:p>
        </w:tc>
        <w:tc>
          <w:tcPr>
            <w:tcW w:w="4743" w:type="dxa"/>
            <w:noWrap w:val="0"/>
            <w:vAlign w:val="center"/>
          </w:tcPr>
          <w:p w14:paraId="1F8829E4">
            <w:pPr>
              <w:snapToGrid w:val="0"/>
              <w:rPr>
                <w:rFonts w:ascii="宋体" w:hAnsi="宋体" w:cs="微软雅黑"/>
                <w:color w:val="auto"/>
                <w:szCs w:val="21"/>
                <w:highlight w:val="none"/>
              </w:rPr>
            </w:pPr>
            <w:r>
              <w:rPr>
                <w:rFonts w:hint="eastAsia" w:ascii="宋体" w:hAnsi="宋体" w:cs="微软雅黑"/>
                <w:color w:val="auto"/>
                <w:szCs w:val="21"/>
                <w:highlight w:val="none"/>
              </w:rPr>
              <w:t>电子邮箱：</w:t>
            </w:r>
          </w:p>
        </w:tc>
      </w:tr>
      <w:tr w14:paraId="1A8F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760D804A">
            <w:pPr>
              <w:snapToGrid w:val="0"/>
              <w:rPr>
                <w:rFonts w:ascii="宋体" w:hAnsi="宋体" w:cs="微软雅黑"/>
                <w:color w:val="auto"/>
                <w:szCs w:val="21"/>
                <w:highlight w:val="none"/>
              </w:rPr>
            </w:pPr>
            <w:r>
              <w:rPr>
                <w:rFonts w:hint="eastAsia" w:ascii="宋体" w:hAnsi="宋体" w:cs="微软雅黑"/>
                <w:color w:val="auto"/>
                <w:szCs w:val="21"/>
                <w:highlight w:val="none"/>
              </w:rPr>
              <w:t>开户银行：</w:t>
            </w:r>
            <w:r>
              <w:rPr>
                <w:rFonts w:ascii="宋体" w:hAnsi="宋体" w:cs="微软雅黑"/>
                <w:color w:val="auto"/>
                <w:szCs w:val="21"/>
                <w:highlight w:val="none"/>
              </w:rPr>
              <w:t xml:space="preserve"> </w:t>
            </w:r>
          </w:p>
        </w:tc>
        <w:tc>
          <w:tcPr>
            <w:tcW w:w="4743" w:type="dxa"/>
            <w:noWrap w:val="0"/>
            <w:vAlign w:val="center"/>
          </w:tcPr>
          <w:p w14:paraId="70BDBF3F">
            <w:pPr>
              <w:snapToGrid w:val="0"/>
              <w:ind w:left="1050" w:hanging="1050" w:hangingChars="500"/>
              <w:rPr>
                <w:rFonts w:ascii="宋体" w:hAnsi="宋体" w:cs="微软雅黑"/>
                <w:color w:val="auto"/>
                <w:szCs w:val="21"/>
                <w:highlight w:val="none"/>
              </w:rPr>
            </w:pPr>
            <w:r>
              <w:rPr>
                <w:rFonts w:hint="eastAsia" w:ascii="宋体" w:hAnsi="宋体" w:cs="微软雅黑"/>
                <w:color w:val="auto"/>
                <w:szCs w:val="21"/>
                <w:highlight w:val="none"/>
              </w:rPr>
              <w:t>开户银行：</w:t>
            </w:r>
            <w:r>
              <w:rPr>
                <w:rFonts w:ascii="宋体" w:hAnsi="宋体" w:cs="微软雅黑"/>
                <w:color w:val="auto"/>
                <w:szCs w:val="21"/>
                <w:highlight w:val="none"/>
              </w:rPr>
              <w:t xml:space="preserve"> </w:t>
            </w:r>
          </w:p>
        </w:tc>
      </w:tr>
      <w:tr w14:paraId="24DD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51682635">
            <w:pPr>
              <w:snapToGrid w:val="0"/>
              <w:rPr>
                <w:rFonts w:ascii="宋体" w:hAnsi="宋体" w:cs="微软雅黑"/>
                <w:color w:val="auto"/>
                <w:szCs w:val="21"/>
                <w:highlight w:val="none"/>
              </w:rPr>
            </w:pPr>
            <w:r>
              <w:rPr>
                <w:rFonts w:hint="eastAsia" w:ascii="宋体" w:hAnsi="宋体" w:cs="微软雅黑"/>
                <w:color w:val="auto"/>
                <w:szCs w:val="21"/>
                <w:highlight w:val="none"/>
              </w:rPr>
              <w:t>账号：</w:t>
            </w:r>
          </w:p>
        </w:tc>
        <w:tc>
          <w:tcPr>
            <w:tcW w:w="4743" w:type="dxa"/>
            <w:noWrap w:val="0"/>
            <w:vAlign w:val="center"/>
          </w:tcPr>
          <w:p w14:paraId="49D98E22">
            <w:pPr>
              <w:snapToGrid w:val="0"/>
              <w:rPr>
                <w:rFonts w:ascii="宋体" w:hAnsi="宋体" w:cs="微软雅黑"/>
                <w:color w:val="auto"/>
                <w:szCs w:val="21"/>
                <w:highlight w:val="none"/>
              </w:rPr>
            </w:pPr>
            <w:r>
              <w:rPr>
                <w:rFonts w:hint="eastAsia" w:ascii="宋体" w:hAnsi="宋体" w:cs="微软雅黑"/>
                <w:color w:val="auto"/>
                <w:szCs w:val="21"/>
                <w:highlight w:val="none"/>
              </w:rPr>
              <w:t>账号：</w:t>
            </w:r>
          </w:p>
        </w:tc>
      </w:tr>
      <w:tr w14:paraId="7521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7FED085D">
            <w:pPr>
              <w:snapToGrid w:val="0"/>
              <w:rPr>
                <w:rFonts w:ascii="宋体" w:hAnsi="宋体" w:cs="微软雅黑"/>
                <w:color w:val="auto"/>
                <w:szCs w:val="21"/>
                <w:highlight w:val="none"/>
              </w:rPr>
            </w:pPr>
            <w:r>
              <w:rPr>
                <w:rFonts w:hint="eastAsia" w:ascii="宋体" w:hAnsi="宋体" w:cs="微软雅黑"/>
                <w:color w:val="auto"/>
                <w:szCs w:val="21"/>
                <w:highlight w:val="none"/>
              </w:rPr>
              <w:t>邮政编码：</w:t>
            </w:r>
          </w:p>
        </w:tc>
        <w:tc>
          <w:tcPr>
            <w:tcW w:w="4743" w:type="dxa"/>
            <w:noWrap w:val="0"/>
            <w:vAlign w:val="center"/>
          </w:tcPr>
          <w:p w14:paraId="3898208E">
            <w:pPr>
              <w:snapToGrid w:val="0"/>
              <w:rPr>
                <w:rFonts w:ascii="宋体" w:hAnsi="宋体" w:cs="微软雅黑"/>
                <w:color w:val="auto"/>
                <w:szCs w:val="21"/>
                <w:highlight w:val="none"/>
              </w:rPr>
            </w:pPr>
            <w:r>
              <w:rPr>
                <w:rFonts w:hint="eastAsia" w:ascii="宋体" w:hAnsi="宋体" w:cs="微软雅黑"/>
                <w:color w:val="auto"/>
                <w:szCs w:val="21"/>
                <w:highlight w:val="none"/>
              </w:rPr>
              <w:t>邮政编码：</w:t>
            </w:r>
          </w:p>
        </w:tc>
      </w:tr>
      <w:tr w14:paraId="35E4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625E2FBA">
            <w:pPr>
              <w:snapToGrid w:val="0"/>
              <w:rPr>
                <w:rFonts w:hint="eastAsia"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经办人：</w:t>
            </w:r>
          </w:p>
        </w:tc>
        <w:tc>
          <w:tcPr>
            <w:tcW w:w="4743" w:type="dxa"/>
            <w:noWrap w:val="0"/>
            <w:vAlign w:val="center"/>
          </w:tcPr>
          <w:p w14:paraId="08565E79">
            <w:pPr>
              <w:snapToGrid w:val="0"/>
              <w:rPr>
                <w:rFonts w:hint="eastAsia" w:ascii="宋体" w:hAnsi="宋体" w:cs="微软雅黑"/>
                <w:color w:val="auto"/>
                <w:szCs w:val="21"/>
                <w:highlight w:val="none"/>
              </w:rPr>
            </w:pPr>
            <w:r>
              <w:rPr>
                <w:rFonts w:hint="eastAsia" w:ascii="宋体" w:hAnsi="宋体" w:cs="微软雅黑"/>
                <w:color w:val="auto"/>
                <w:szCs w:val="21"/>
                <w:highlight w:val="none"/>
                <w:lang w:val="en-US" w:eastAsia="zh-CN"/>
              </w:rPr>
              <w:t>经办人：</w:t>
            </w:r>
          </w:p>
        </w:tc>
      </w:tr>
      <w:tr w14:paraId="2669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4893" w:type="dxa"/>
            <w:noWrap w:val="0"/>
            <w:vAlign w:val="center"/>
          </w:tcPr>
          <w:p w14:paraId="0BB72A09">
            <w:pPr>
              <w:snapToGrid w:val="0"/>
              <w:rPr>
                <w:rFonts w:hint="eastAsia"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联系方式：</w:t>
            </w:r>
          </w:p>
        </w:tc>
        <w:tc>
          <w:tcPr>
            <w:tcW w:w="4743" w:type="dxa"/>
            <w:noWrap w:val="0"/>
            <w:vAlign w:val="center"/>
          </w:tcPr>
          <w:p w14:paraId="04C15619">
            <w:pPr>
              <w:snapToGrid w:val="0"/>
              <w:rPr>
                <w:rFonts w:hint="eastAsia" w:ascii="宋体" w:hAnsi="宋体" w:cs="微软雅黑"/>
                <w:color w:val="auto"/>
                <w:szCs w:val="21"/>
                <w:highlight w:val="none"/>
              </w:rPr>
            </w:pPr>
            <w:r>
              <w:rPr>
                <w:rFonts w:hint="eastAsia" w:ascii="宋体" w:hAnsi="宋体" w:cs="微软雅黑"/>
                <w:color w:val="auto"/>
                <w:szCs w:val="21"/>
                <w:highlight w:val="none"/>
                <w:lang w:val="en-US" w:eastAsia="zh-CN"/>
              </w:rPr>
              <w:t>联系方式：</w:t>
            </w:r>
          </w:p>
        </w:tc>
      </w:tr>
    </w:tbl>
    <w:p w14:paraId="35587AF0">
      <w:pPr>
        <w:rPr>
          <w:rFonts w:hint="eastAsia" w:ascii="宋体" w:hAnsi="宋体"/>
          <w:color w:val="auto"/>
          <w:highlight w:val="none"/>
        </w:rPr>
      </w:pPr>
    </w:p>
    <w:sectPr>
      <w:footerReference r:id="rId6" w:type="first"/>
      <w:headerReference r:id="rId4" w:type="default"/>
      <w:footerReference r:id="rId5"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65D4E6-BE00-4A7C-81DF-E7A09770C9F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A247E911-7DD4-4F83-B0F7-FA9A0BF2FDE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E5A4A95-032B-46CD-A7C6-61A6A894F214}"/>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31C175ED-114F-4329-81BF-091E35A4B8A6}"/>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5" w:fontKey="{5689FD8C-9468-4EA7-B7CF-CC4783BA824F}"/>
  </w:font>
  <w:font w:name="Segoe UI Symbol">
    <w:panose1 w:val="020B0502040204020203"/>
    <w:charset w:val="00"/>
    <w:family w:val="swiss"/>
    <w:pitch w:val="default"/>
    <w:sig w:usb0="800001E3" w:usb1="1200FFEF" w:usb2="00040000" w:usb3="04000000" w:csb0="00000001" w:csb1="40000000"/>
    <w:embedRegular r:id="rId6" w:fontKey="{D7572BAD-5885-4072-8C03-698207075D1D}"/>
  </w:font>
  <w:font w:name="微软雅黑">
    <w:panose1 w:val="020B0503020204020204"/>
    <w:charset w:val="86"/>
    <w:family w:val="swiss"/>
    <w:pitch w:val="default"/>
    <w:sig w:usb0="80000287" w:usb1="2ACF3C50" w:usb2="00000016" w:usb3="00000000" w:csb0="0004001F" w:csb1="00000000"/>
    <w:embedRegular r:id="rId7" w:fontKey="{DF81BAF8-BBDC-4182-B8D8-C90751BB63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F052E">
    <w:pPr>
      <w:pStyle w:val="18"/>
      <w:ind w:firstLine="210"/>
      <w:jc w:val="center"/>
    </w:pPr>
    <w:r>
      <w:fldChar w:fldCharType="begin"/>
    </w:r>
    <w:r>
      <w:instrText xml:space="preserve">PAGE   \* MERGEFORMAT</w:instrText>
    </w:r>
    <w:r>
      <w:fldChar w:fldCharType="separate"/>
    </w:r>
    <w:r>
      <w:rPr>
        <w:lang w:val="zh-CN"/>
      </w:rPr>
      <w:t>24</w:t>
    </w:r>
    <w:r>
      <w:fldChar w:fldCharType="end"/>
    </w:r>
  </w:p>
  <w:p w14:paraId="1C9043B6">
    <w:pPr>
      <w:pStyle w:val="1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8CC4">
    <w:pPr>
      <w:pStyle w:val="18"/>
      <w:ind w:firstLine="210"/>
      <w:jc w:val="center"/>
    </w:pPr>
    <w:r>
      <w:fldChar w:fldCharType="begin"/>
    </w:r>
    <w:r>
      <w:instrText xml:space="preserve">PAGE   \* MERGEFORMAT</w:instrText>
    </w:r>
    <w:r>
      <w:fldChar w:fldCharType="separate"/>
    </w:r>
    <w:r>
      <w:rPr>
        <w:lang w:val="zh-CN"/>
      </w:rPr>
      <w:t>1</w:t>
    </w:r>
    <w:r>
      <w:fldChar w:fldCharType="end"/>
    </w:r>
  </w:p>
  <w:p w14:paraId="231AE7C6">
    <w:pPr>
      <w:pStyle w:val="18"/>
      <w:tabs>
        <w:tab w:val="left" w:pos="4973"/>
        <w:tab w:val="clear" w:pos="4153"/>
        <w:tab w:val="clear" w:pos="8306"/>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961D">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16C79">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MDY4NDc3M2VlMDU4ZGIwZjhiNWRiMTJiNWRhNDYifQ=="/>
  </w:docVars>
  <w:rsids>
    <w:rsidRoot w:val="00F34B14"/>
    <w:rsid w:val="00000672"/>
    <w:rsid w:val="00001013"/>
    <w:rsid w:val="00001799"/>
    <w:rsid w:val="00001AF2"/>
    <w:rsid w:val="00001ECA"/>
    <w:rsid w:val="00002D29"/>
    <w:rsid w:val="000034FD"/>
    <w:rsid w:val="00003B93"/>
    <w:rsid w:val="000045A2"/>
    <w:rsid w:val="0000474D"/>
    <w:rsid w:val="0000599E"/>
    <w:rsid w:val="00005FDF"/>
    <w:rsid w:val="000070B3"/>
    <w:rsid w:val="000076B8"/>
    <w:rsid w:val="000109DC"/>
    <w:rsid w:val="00010D39"/>
    <w:rsid w:val="0001172C"/>
    <w:rsid w:val="00012854"/>
    <w:rsid w:val="00012EA6"/>
    <w:rsid w:val="000139CF"/>
    <w:rsid w:val="00013AA4"/>
    <w:rsid w:val="00013DFE"/>
    <w:rsid w:val="000141EA"/>
    <w:rsid w:val="000165BB"/>
    <w:rsid w:val="00016ABC"/>
    <w:rsid w:val="000177DB"/>
    <w:rsid w:val="000179C9"/>
    <w:rsid w:val="00017CCC"/>
    <w:rsid w:val="00020227"/>
    <w:rsid w:val="00020455"/>
    <w:rsid w:val="00020813"/>
    <w:rsid w:val="000220B2"/>
    <w:rsid w:val="0002264C"/>
    <w:rsid w:val="00022731"/>
    <w:rsid w:val="00022792"/>
    <w:rsid w:val="00024463"/>
    <w:rsid w:val="00025461"/>
    <w:rsid w:val="00025636"/>
    <w:rsid w:val="00025E36"/>
    <w:rsid w:val="00026855"/>
    <w:rsid w:val="00026886"/>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657C"/>
    <w:rsid w:val="00056896"/>
    <w:rsid w:val="00057CD6"/>
    <w:rsid w:val="00060DCE"/>
    <w:rsid w:val="000610E3"/>
    <w:rsid w:val="000614F3"/>
    <w:rsid w:val="00061B22"/>
    <w:rsid w:val="000623B4"/>
    <w:rsid w:val="00062405"/>
    <w:rsid w:val="000634A7"/>
    <w:rsid w:val="00063B0B"/>
    <w:rsid w:val="00063F81"/>
    <w:rsid w:val="00064847"/>
    <w:rsid w:val="00065E08"/>
    <w:rsid w:val="000673E2"/>
    <w:rsid w:val="00070036"/>
    <w:rsid w:val="0007063F"/>
    <w:rsid w:val="000707FD"/>
    <w:rsid w:val="00070949"/>
    <w:rsid w:val="000711E4"/>
    <w:rsid w:val="00072AED"/>
    <w:rsid w:val="00073F47"/>
    <w:rsid w:val="0007492F"/>
    <w:rsid w:val="00074ED8"/>
    <w:rsid w:val="00075B7E"/>
    <w:rsid w:val="00077ACA"/>
    <w:rsid w:val="00077C70"/>
    <w:rsid w:val="000813B5"/>
    <w:rsid w:val="00081BA3"/>
    <w:rsid w:val="00081D2E"/>
    <w:rsid w:val="00081DF2"/>
    <w:rsid w:val="00081F89"/>
    <w:rsid w:val="00082619"/>
    <w:rsid w:val="00082D02"/>
    <w:rsid w:val="00083871"/>
    <w:rsid w:val="00083B91"/>
    <w:rsid w:val="0008473C"/>
    <w:rsid w:val="0008520B"/>
    <w:rsid w:val="000860BD"/>
    <w:rsid w:val="000871B8"/>
    <w:rsid w:val="000916DA"/>
    <w:rsid w:val="00092442"/>
    <w:rsid w:val="000929EF"/>
    <w:rsid w:val="0009560F"/>
    <w:rsid w:val="0009588E"/>
    <w:rsid w:val="000959EE"/>
    <w:rsid w:val="00097183"/>
    <w:rsid w:val="000972CB"/>
    <w:rsid w:val="00097608"/>
    <w:rsid w:val="000A13F3"/>
    <w:rsid w:val="000A23B1"/>
    <w:rsid w:val="000A2B0E"/>
    <w:rsid w:val="000A3270"/>
    <w:rsid w:val="000A398F"/>
    <w:rsid w:val="000A448C"/>
    <w:rsid w:val="000A509C"/>
    <w:rsid w:val="000A6007"/>
    <w:rsid w:val="000A65A6"/>
    <w:rsid w:val="000A6BC1"/>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EE3"/>
    <w:rsid w:val="000C26F6"/>
    <w:rsid w:val="000C3AE7"/>
    <w:rsid w:val="000C3CC9"/>
    <w:rsid w:val="000C6DE4"/>
    <w:rsid w:val="000C7202"/>
    <w:rsid w:val="000D0A89"/>
    <w:rsid w:val="000D1389"/>
    <w:rsid w:val="000D1798"/>
    <w:rsid w:val="000D2626"/>
    <w:rsid w:val="000D3EF8"/>
    <w:rsid w:val="000D411D"/>
    <w:rsid w:val="000D4589"/>
    <w:rsid w:val="000D73DD"/>
    <w:rsid w:val="000E1C51"/>
    <w:rsid w:val="000E28AB"/>
    <w:rsid w:val="000E2E3E"/>
    <w:rsid w:val="000E3583"/>
    <w:rsid w:val="000E3AF0"/>
    <w:rsid w:val="000E4E04"/>
    <w:rsid w:val="000E6EC9"/>
    <w:rsid w:val="000E70B4"/>
    <w:rsid w:val="000E7B62"/>
    <w:rsid w:val="000F0E1E"/>
    <w:rsid w:val="000F1A1B"/>
    <w:rsid w:val="000F2A95"/>
    <w:rsid w:val="000F3281"/>
    <w:rsid w:val="000F32FD"/>
    <w:rsid w:val="000F3733"/>
    <w:rsid w:val="000F576E"/>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0B21"/>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6020"/>
    <w:rsid w:val="00136445"/>
    <w:rsid w:val="00140132"/>
    <w:rsid w:val="00141C9C"/>
    <w:rsid w:val="0014277F"/>
    <w:rsid w:val="001434BE"/>
    <w:rsid w:val="00144050"/>
    <w:rsid w:val="0014479F"/>
    <w:rsid w:val="001452B4"/>
    <w:rsid w:val="00145320"/>
    <w:rsid w:val="001469E6"/>
    <w:rsid w:val="001476D3"/>
    <w:rsid w:val="001509CF"/>
    <w:rsid w:val="00150D1D"/>
    <w:rsid w:val="001525AA"/>
    <w:rsid w:val="00152A87"/>
    <w:rsid w:val="00153BB5"/>
    <w:rsid w:val="00154518"/>
    <w:rsid w:val="00155C3B"/>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1006"/>
    <w:rsid w:val="00173256"/>
    <w:rsid w:val="00173B0E"/>
    <w:rsid w:val="00173E03"/>
    <w:rsid w:val="0017512C"/>
    <w:rsid w:val="0017586A"/>
    <w:rsid w:val="00175BA6"/>
    <w:rsid w:val="0017627D"/>
    <w:rsid w:val="00176CA7"/>
    <w:rsid w:val="00176F8E"/>
    <w:rsid w:val="001778C5"/>
    <w:rsid w:val="00177E56"/>
    <w:rsid w:val="00177F0A"/>
    <w:rsid w:val="00180DA0"/>
    <w:rsid w:val="00181EAD"/>
    <w:rsid w:val="00182862"/>
    <w:rsid w:val="00184F57"/>
    <w:rsid w:val="00185544"/>
    <w:rsid w:val="00185617"/>
    <w:rsid w:val="00187A14"/>
    <w:rsid w:val="0019171E"/>
    <w:rsid w:val="00192368"/>
    <w:rsid w:val="001923A0"/>
    <w:rsid w:val="001928B1"/>
    <w:rsid w:val="00193537"/>
    <w:rsid w:val="00193846"/>
    <w:rsid w:val="0019534F"/>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7DF"/>
    <w:rsid w:val="001A793A"/>
    <w:rsid w:val="001B125A"/>
    <w:rsid w:val="001B1EBA"/>
    <w:rsid w:val="001B2142"/>
    <w:rsid w:val="001B2F2B"/>
    <w:rsid w:val="001B327A"/>
    <w:rsid w:val="001B35DE"/>
    <w:rsid w:val="001B3A13"/>
    <w:rsid w:val="001B59FF"/>
    <w:rsid w:val="001B6512"/>
    <w:rsid w:val="001B65D7"/>
    <w:rsid w:val="001B6752"/>
    <w:rsid w:val="001B6768"/>
    <w:rsid w:val="001B6F1F"/>
    <w:rsid w:val="001B7ECC"/>
    <w:rsid w:val="001C025B"/>
    <w:rsid w:val="001C115F"/>
    <w:rsid w:val="001C25A7"/>
    <w:rsid w:val="001C318C"/>
    <w:rsid w:val="001C35C4"/>
    <w:rsid w:val="001C4287"/>
    <w:rsid w:val="001C4479"/>
    <w:rsid w:val="001C5190"/>
    <w:rsid w:val="001C6081"/>
    <w:rsid w:val="001C7B48"/>
    <w:rsid w:val="001D0CFB"/>
    <w:rsid w:val="001D1A0D"/>
    <w:rsid w:val="001D20F8"/>
    <w:rsid w:val="001D343C"/>
    <w:rsid w:val="001D3EB6"/>
    <w:rsid w:val="001D58A1"/>
    <w:rsid w:val="001D58C2"/>
    <w:rsid w:val="001D5A8A"/>
    <w:rsid w:val="001D735E"/>
    <w:rsid w:val="001D73C8"/>
    <w:rsid w:val="001D7BC6"/>
    <w:rsid w:val="001E129E"/>
    <w:rsid w:val="001E175C"/>
    <w:rsid w:val="001E1B0E"/>
    <w:rsid w:val="001E2C1E"/>
    <w:rsid w:val="001E3015"/>
    <w:rsid w:val="001E5A94"/>
    <w:rsid w:val="001F2A2E"/>
    <w:rsid w:val="001F3356"/>
    <w:rsid w:val="001F3C63"/>
    <w:rsid w:val="001F4460"/>
    <w:rsid w:val="001F711A"/>
    <w:rsid w:val="001F75B0"/>
    <w:rsid w:val="001F7DC9"/>
    <w:rsid w:val="00200CE5"/>
    <w:rsid w:val="00200F7C"/>
    <w:rsid w:val="002014DB"/>
    <w:rsid w:val="00201E12"/>
    <w:rsid w:val="002033B5"/>
    <w:rsid w:val="0020382C"/>
    <w:rsid w:val="0020437A"/>
    <w:rsid w:val="0020454C"/>
    <w:rsid w:val="0020521F"/>
    <w:rsid w:val="0020532C"/>
    <w:rsid w:val="00207FE7"/>
    <w:rsid w:val="002114C7"/>
    <w:rsid w:val="00211BBB"/>
    <w:rsid w:val="0021302C"/>
    <w:rsid w:val="00213B1C"/>
    <w:rsid w:val="00214202"/>
    <w:rsid w:val="00214393"/>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5B56"/>
    <w:rsid w:val="00236578"/>
    <w:rsid w:val="0023692F"/>
    <w:rsid w:val="00236DE9"/>
    <w:rsid w:val="00236FB6"/>
    <w:rsid w:val="00237342"/>
    <w:rsid w:val="00237D5A"/>
    <w:rsid w:val="002415AE"/>
    <w:rsid w:val="00241D3C"/>
    <w:rsid w:val="00242109"/>
    <w:rsid w:val="00243189"/>
    <w:rsid w:val="002439AB"/>
    <w:rsid w:val="00243C19"/>
    <w:rsid w:val="00244AE8"/>
    <w:rsid w:val="00245587"/>
    <w:rsid w:val="00245F2B"/>
    <w:rsid w:val="00247F3A"/>
    <w:rsid w:val="00250122"/>
    <w:rsid w:val="00250755"/>
    <w:rsid w:val="00251043"/>
    <w:rsid w:val="00251C4A"/>
    <w:rsid w:val="0025271C"/>
    <w:rsid w:val="002533CD"/>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975"/>
    <w:rsid w:val="00273C2A"/>
    <w:rsid w:val="00273CBE"/>
    <w:rsid w:val="002746B1"/>
    <w:rsid w:val="00282D56"/>
    <w:rsid w:val="002835B0"/>
    <w:rsid w:val="00283C74"/>
    <w:rsid w:val="0028407E"/>
    <w:rsid w:val="0028410F"/>
    <w:rsid w:val="00284572"/>
    <w:rsid w:val="00285221"/>
    <w:rsid w:val="00286FB5"/>
    <w:rsid w:val="00287763"/>
    <w:rsid w:val="00287B30"/>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55B4"/>
    <w:rsid w:val="002B69CC"/>
    <w:rsid w:val="002B6D71"/>
    <w:rsid w:val="002C0C1C"/>
    <w:rsid w:val="002C48C0"/>
    <w:rsid w:val="002C54C2"/>
    <w:rsid w:val="002C5D34"/>
    <w:rsid w:val="002C60BB"/>
    <w:rsid w:val="002C661A"/>
    <w:rsid w:val="002D01E3"/>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E6C"/>
    <w:rsid w:val="002F0522"/>
    <w:rsid w:val="002F16DD"/>
    <w:rsid w:val="002F199D"/>
    <w:rsid w:val="002F213C"/>
    <w:rsid w:val="002F2453"/>
    <w:rsid w:val="002F352D"/>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3CC4"/>
    <w:rsid w:val="00334415"/>
    <w:rsid w:val="00335EA1"/>
    <w:rsid w:val="0033691E"/>
    <w:rsid w:val="00336A6A"/>
    <w:rsid w:val="00336CCB"/>
    <w:rsid w:val="003411D1"/>
    <w:rsid w:val="003416BA"/>
    <w:rsid w:val="00342148"/>
    <w:rsid w:val="00342F99"/>
    <w:rsid w:val="0034575A"/>
    <w:rsid w:val="00345F57"/>
    <w:rsid w:val="00350E6C"/>
    <w:rsid w:val="003518A6"/>
    <w:rsid w:val="00351E7F"/>
    <w:rsid w:val="00352953"/>
    <w:rsid w:val="00354062"/>
    <w:rsid w:val="0035459E"/>
    <w:rsid w:val="00355C0D"/>
    <w:rsid w:val="003566A9"/>
    <w:rsid w:val="00356988"/>
    <w:rsid w:val="00356CE9"/>
    <w:rsid w:val="003570BB"/>
    <w:rsid w:val="00357128"/>
    <w:rsid w:val="0035755E"/>
    <w:rsid w:val="00357A80"/>
    <w:rsid w:val="00361441"/>
    <w:rsid w:val="00361B8B"/>
    <w:rsid w:val="00363F39"/>
    <w:rsid w:val="0036445C"/>
    <w:rsid w:val="00364627"/>
    <w:rsid w:val="00364AB0"/>
    <w:rsid w:val="003667B0"/>
    <w:rsid w:val="003667DD"/>
    <w:rsid w:val="00366B48"/>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61F0"/>
    <w:rsid w:val="00387051"/>
    <w:rsid w:val="00387ECF"/>
    <w:rsid w:val="0039021B"/>
    <w:rsid w:val="00390429"/>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1513"/>
    <w:rsid w:val="003B1DCF"/>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7B0"/>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271B"/>
    <w:rsid w:val="003F3865"/>
    <w:rsid w:val="003F3D55"/>
    <w:rsid w:val="003F44E2"/>
    <w:rsid w:val="003F4632"/>
    <w:rsid w:val="003F47BA"/>
    <w:rsid w:val="003F4FE6"/>
    <w:rsid w:val="003F6617"/>
    <w:rsid w:val="00402332"/>
    <w:rsid w:val="004025C2"/>
    <w:rsid w:val="004030FD"/>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140"/>
    <w:rsid w:val="004263A3"/>
    <w:rsid w:val="0042665D"/>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3789"/>
    <w:rsid w:val="0045444D"/>
    <w:rsid w:val="0045463A"/>
    <w:rsid w:val="00454AC9"/>
    <w:rsid w:val="00455050"/>
    <w:rsid w:val="004554A3"/>
    <w:rsid w:val="00455A6E"/>
    <w:rsid w:val="00455EAD"/>
    <w:rsid w:val="004578EB"/>
    <w:rsid w:val="004604D5"/>
    <w:rsid w:val="00460697"/>
    <w:rsid w:val="0046117B"/>
    <w:rsid w:val="00464AB7"/>
    <w:rsid w:val="00467A7A"/>
    <w:rsid w:val="00467EF8"/>
    <w:rsid w:val="00472429"/>
    <w:rsid w:val="004725E5"/>
    <w:rsid w:val="00472751"/>
    <w:rsid w:val="00473128"/>
    <w:rsid w:val="00474C7F"/>
    <w:rsid w:val="00475078"/>
    <w:rsid w:val="00475767"/>
    <w:rsid w:val="004758E1"/>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4EA"/>
    <w:rsid w:val="00492A25"/>
    <w:rsid w:val="004938A3"/>
    <w:rsid w:val="00493DF4"/>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039"/>
    <w:rsid w:val="004B29AC"/>
    <w:rsid w:val="004B35DF"/>
    <w:rsid w:val="004B3627"/>
    <w:rsid w:val="004B4922"/>
    <w:rsid w:val="004B57DF"/>
    <w:rsid w:val="004B5976"/>
    <w:rsid w:val="004B722E"/>
    <w:rsid w:val="004B72E8"/>
    <w:rsid w:val="004B7C1D"/>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68"/>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6AF"/>
    <w:rsid w:val="005100B7"/>
    <w:rsid w:val="005113C9"/>
    <w:rsid w:val="00512050"/>
    <w:rsid w:val="00512055"/>
    <w:rsid w:val="0051280C"/>
    <w:rsid w:val="00512842"/>
    <w:rsid w:val="005128BE"/>
    <w:rsid w:val="0051356F"/>
    <w:rsid w:val="00513E7C"/>
    <w:rsid w:val="005140BB"/>
    <w:rsid w:val="00514FBE"/>
    <w:rsid w:val="00514FD9"/>
    <w:rsid w:val="005152E8"/>
    <w:rsid w:val="0051550A"/>
    <w:rsid w:val="0051608F"/>
    <w:rsid w:val="00520EF8"/>
    <w:rsid w:val="005210F7"/>
    <w:rsid w:val="00521753"/>
    <w:rsid w:val="005224EE"/>
    <w:rsid w:val="00522879"/>
    <w:rsid w:val="00523BB1"/>
    <w:rsid w:val="0052570E"/>
    <w:rsid w:val="005260CD"/>
    <w:rsid w:val="00526265"/>
    <w:rsid w:val="0052655D"/>
    <w:rsid w:val="005265E0"/>
    <w:rsid w:val="00526BC3"/>
    <w:rsid w:val="00527D68"/>
    <w:rsid w:val="0053041C"/>
    <w:rsid w:val="00531761"/>
    <w:rsid w:val="0053248F"/>
    <w:rsid w:val="0053332A"/>
    <w:rsid w:val="0053358A"/>
    <w:rsid w:val="00534668"/>
    <w:rsid w:val="00534DDD"/>
    <w:rsid w:val="00535291"/>
    <w:rsid w:val="00535A94"/>
    <w:rsid w:val="00537874"/>
    <w:rsid w:val="0053795F"/>
    <w:rsid w:val="00540190"/>
    <w:rsid w:val="00540511"/>
    <w:rsid w:val="00540578"/>
    <w:rsid w:val="00540808"/>
    <w:rsid w:val="0054080E"/>
    <w:rsid w:val="00540EA1"/>
    <w:rsid w:val="0054358E"/>
    <w:rsid w:val="00543AF4"/>
    <w:rsid w:val="00544191"/>
    <w:rsid w:val="0054440C"/>
    <w:rsid w:val="005448C2"/>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32E4"/>
    <w:rsid w:val="005641CC"/>
    <w:rsid w:val="00567B5D"/>
    <w:rsid w:val="00570757"/>
    <w:rsid w:val="00573733"/>
    <w:rsid w:val="00573F8B"/>
    <w:rsid w:val="00574554"/>
    <w:rsid w:val="00574E06"/>
    <w:rsid w:val="00575049"/>
    <w:rsid w:val="005751BB"/>
    <w:rsid w:val="00576089"/>
    <w:rsid w:val="005764B1"/>
    <w:rsid w:val="00576852"/>
    <w:rsid w:val="00576D06"/>
    <w:rsid w:val="005779E4"/>
    <w:rsid w:val="0058289C"/>
    <w:rsid w:val="005836C7"/>
    <w:rsid w:val="0058408E"/>
    <w:rsid w:val="00585374"/>
    <w:rsid w:val="005854CA"/>
    <w:rsid w:val="00585FAB"/>
    <w:rsid w:val="00590B77"/>
    <w:rsid w:val="00590D9A"/>
    <w:rsid w:val="005913A3"/>
    <w:rsid w:val="00592AF9"/>
    <w:rsid w:val="005940D4"/>
    <w:rsid w:val="00594A7B"/>
    <w:rsid w:val="0059580E"/>
    <w:rsid w:val="00595D90"/>
    <w:rsid w:val="00596A6F"/>
    <w:rsid w:val="00596FCE"/>
    <w:rsid w:val="005A08F6"/>
    <w:rsid w:val="005A11BC"/>
    <w:rsid w:val="005A1525"/>
    <w:rsid w:val="005A1A7D"/>
    <w:rsid w:val="005A1E17"/>
    <w:rsid w:val="005A252B"/>
    <w:rsid w:val="005A2A8F"/>
    <w:rsid w:val="005A3204"/>
    <w:rsid w:val="005A3341"/>
    <w:rsid w:val="005A3C3D"/>
    <w:rsid w:val="005A46EC"/>
    <w:rsid w:val="005A5EAE"/>
    <w:rsid w:val="005A6407"/>
    <w:rsid w:val="005B07EC"/>
    <w:rsid w:val="005B2B11"/>
    <w:rsid w:val="005B32A4"/>
    <w:rsid w:val="005B338D"/>
    <w:rsid w:val="005B3BAF"/>
    <w:rsid w:val="005B4DA3"/>
    <w:rsid w:val="005B5BEE"/>
    <w:rsid w:val="005B77D2"/>
    <w:rsid w:val="005C019B"/>
    <w:rsid w:val="005C1AED"/>
    <w:rsid w:val="005C269A"/>
    <w:rsid w:val="005C30F5"/>
    <w:rsid w:val="005C51A5"/>
    <w:rsid w:val="005C557A"/>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2BFB"/>
    <w:rsid w:val="005E3111"/>
    <w:rsid w:val="005E3F85"/>
    <w:rsid w:val="005E4A5F"/>
    <w:rsid w:val="005E57B0"/>
    <w:rsid w:val="005E5B01"/>
    <w:rsid w:val="005E6D3B"/>
    <w:rsid w:val="005E7118"/>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FB6"/>
    <w:rsid w:val="00605387"/>
    <w:rsid w:val="00606302"/>
    <w:rsid w:val="006076FD"/>
    <w:rsid w:val="0061143F"/>
    <w:rsid w:val="006114D8"/>
    <w:rsid w:val="00612598"/>
    <w:rsid w:val="00613553"/>
    <w:rsid w:val="00613601"/>
    <w:rsid w:val="00613791"/>
    <w:rsid w:val="006150D6"/>
    <w:rsid w:val="00615245"/>
    <w:rsid w:val="0061590D"/>
    <w:rsid w:val="00617EEE"/>
    <w:rsid w:val="00620A1F"/>
    <w:rsid w:val="0062169D"/>
    <w:rsid w:val="0062181E"/>
    <w:rsid w:val="00622A2E"/>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77F0"/>
    <w:rsid w:val="006478E4"/>
    <w:rsid w:val="0065171A"/>
    <w:rsid w:val="00652680"/>
    <w:rsid w:val="00653CDE"/>
    <w:rsid w:val="00654585"/>
    <w:rsid w:val="00655AB6"/>
    <w:rsid w:val="00656281"/>
    <w:rsid w:val="0065636A"/>
    <w:rsid w:val="00657003"/>
    <w:rsid w:val="0065752F"/>
    <w:rsid w:val="00660238"/>
    <w:rsid w:val="006602EF"/>
    <w:rsid w:val="00661277"/>
    <w:rsid w:val="006619E0"/>
    <w:rsid w:val="0066349F"/>
    <w:rsid w:val="00663FEA"/>
    <w:rsid w:val="00664803"/>
    <w:rsid w:val="00665451"/>
    <w:rsid w:val="00665654"/>
    <w:rsid w:val="006657C5"/>
    <w:rsid w:val="006661A4"/>
    <w:rsid w:val="00666AC0"/>
    <w:rsid w:val="006670E0"/>
    <w:rsid w:val="006671B8"/>
    <w:rsid w:val="00667275"/>
    <w:rsid w:val="00667532"/>
    <w:rsid w:val="0066783E"/>
    <w:rsid w:val="00667E53"/>
    <w:rsid w:val="006713AB"/>
    <w:rsid w:val="00672CA5"/>
    <w:rsid w:val="00673711"/>
    <w:rsid w:val="00673D07"/>
    <w:rsid w:val="00673F82"/>
    <w:rsid w:val="00674F74"/>
    <w:rsid w:val="0067508F"/>
    <w:rsid w:val="00677576"/>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421"/>
    <w:rsid w:val="00697BD3"/>
    <w:rsid w:val="00697DFA"/>
    <w:rsid w:val="006A16D5"/>
    <w:rsid w:val="006A1772"/>
    <w:rsid w:val="006A1780"/>
    <w:rsid w:val="006A21DD"/>
    <w:rsid w:val="006A26C6"/>
    <w:rsid w:val="006A3B28"/>
    <w:rsid w:val="006A4765"/>
    <w:rsid w:val="006A4FEE"/>
    <w:rsid w:val="006A703E"/>
    <w:rsid w:val="006A7BE3"/>
    <w:rsid w:val="006A7D32"/>
    <w:rsid w:val="006B01D1"/>
    <w:rsid w:val="006B16EA"/>
    <w:rsid w:val="006B1780"/>
    <w:rsid w:val="006B224E"/>
    <w:rsid w:val="006B376E"/>
    <w:rsid w:val="006B4589"/>
    <w:rsid w:val="006B516D"/>
    <w:rsid w:val="006B610E"/>
    <w:rsid w:val="006B6805"/>
    <w:rsid w:val="006B6DE0"/>
    <w:rsid w:val="006C16C3"/>
    <w:rsid w:val="006C2187"/>
    <w:rsid w:val="006C2679"/>
    <w:rsid w:val="006C2B1E"/>
    <w:rsid w:val="006C32F4"/>
    <w:rsid w:val="006C3C54"/>
    <w:rsid w:val="006C4B6B"/>
    <w:rsid w:val="006C4F9F"/>
    <w:rsid w:val="006C71A2"/>
    <w:rsid w:val="006C73EC"/>
    <w:rsid w:val="006D0C1D"/>
    <w:rsid w:val="006D2E9D"/>
    <w:rsid w:val="006D4A4E"/>
    <w:rsid w:val="006D4C42"/>
    <w:rsid w:val="006D5809"/>
    <w:rsid w:val="006D58F6"/>
    <w:rsid w:val="006D607E"/>
    <w:rsid w:val="006D6E12"/>
    <w:rsid w:val="006D70CB"/>
    <w:rsid w:val="006D715C"/>
    <w:rsid w:val="006D7363"/>
    <w:rsid w:val="006D774E"/>
    <w:rsid w:val="006D7FC5"/>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381B"/>
    <w:rsid w:val="0070796C"/>
    <w:rsid w:val="00710EBF"/>
    <w:rsid w:val="007110B8"/>
    <w:rsid w:val="0071209F"/>
    <w:rsid w:val="007125A2"/>
    <w:rsid w:val="00713331"/>
    <w:rsid w:val="00713F79"/>
    <w:rsid w:val="007148A8"/>
    <w:rsid w:val="00716AC8"/>
    <w:rsid w:val="00716E54"/>
    <w:rsid w:val="0072033C"/>
    <w:rsid w:val="00720A9A"/>
    <w:rsid w:val="00720B1B"/>
    <w:rsid w:val="00721062"/>
    <w:rsid w:val="00721E5D"/>
    <w:rsid w:val="007229D4"/>
    <w:rsid w:val="007230F8"/>
    <w:rsid w:val="007233F4"/>
    <w:rsid w:val="00724044"/>
    <w:rsid w:val="007248D3"/>
    <w:rsid w:val="00725137"/>
    <w:rsid w:val="00725378"/>
    <w:rsid w:val="00727A43"/>
    <w:rsid w:val="00727FF2"/>
    <w:rsid w:val="00730550"/>
    <w:rsid w:val="00731434"/>
    <w:rsid w:val="00731E59"/>
    <w:rsid w:val="007323E0"/>
    <w:rsid w:val="00732911"/>
    <w:rsid w:val="00733721"/>
    <w:rsid w:val="00733DE2"/>
    <w:rsid w:val="007352EA"/>
    <w:rsid w:val="00736650"/>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B32"/>
    <w:rsid w:val="0078051E"/>
    <w:rsid w:val="00781089"/>
    <w:rsid w:val="007838F3"/>
    <w:rsid w:val="00783D3B"/>
    <w:rsid w:val="007856FE"/>
    <w:rsid w:val="00785F46"/>
    <w:rsid w:val="007865F4"/>
    <w:rsid w:val="00786D5C"/>
    <w:rsid w:val="00786E96"/>
    <w:rsid w:val="00787DFF"/>
    <w:rsid w:val="00787F93"/>
    <w:rsid w:val="00791E6D"/>
    <w:rsid w:val="00791EB5"/>
    <w:rsid w:val="00793696"/>
    <w:rsid w:val="007944EF"/>
    <w:rsid w:val="00795658"/>
    <w:rsid w:val="00795F7B"/>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4913"/>
    <w:rsid w:val="007C6218"/>
    <w:rsid w:val="007C6484"/>
    <w:rsid w:val="007C67C6"/>
    <w:rsid w:val="007C78BE"/>
    <w:rsid w:val="007C7E59"/>
    <w:rsid w:val="007D0476"/>
    <w:rsid w:val="007D0B91"/>
    <w:rsid w:val="007D1452"/>
    <w:rsid w:val="007D1C50"/>
    <w:rsid w:val="007D3DCB"/>
    <w:rsid w:val="007D460C"/>
    <w:rsid w:val="007D4996"/>
    <w:rsid w:val="007D4AD3"/>
    <w:rsid w:val="007D5D19"/>
    <w:rsid w:val="007D5FDC"/>
    <w:rsid w:val="007D6176"/>
    <w:rsid w:val="007D6AC3"/>
    <w:rsid w:val="007D6D68"/>
    <w:rsid w:val="007E32DA"/>
    <w:rsid w:val="007E4998"/>
    <w:rsid w:val="007E4A9C"/>
    <w:rsid w:val="007E6914"/>
    <w:rsid w:val="007E7F78"/>
    <w:rsid w:val="007F0179"/>
    <w:rsid w:val="007F07D8"/>
    <w:rsid w:val="007F2C13"/>
    <w:rsid w:val="007F2CEC"/>
    <w:rsid w:val="007F3435"/>
    <w:rsid w:val="007F55DE"/>
    <w:rsid w:val="007F762D"/>
    <w:rsid w:val="007F78F0"/>
    <w:rsid w:val="007F78FF"/>
    <w:rsid w:val="008001C5"/>
    <w:rsid w:val="00800F6C"/>
    <w:rsid w:val="00801065"/>
    <w:rsid w:val="00802C0B"/>
    <w:rsid w:val="00803D24"/>
    <w:rsid w:val="008051FC"/>
    <w:rsid w:val="008055A9"/>
    <w:rsid w:val="008056C4"/>
    <w:rsid w:val="008057FD"/>
    <w:rsid w:val="00805D8B"/>
    <w:rsid w:val="00810E8E"/>
    <w:rsid w:val="00812C44"/>
    <w:rsid w:val="008135E1"/>
    <w:rsid w:val="00813779"/>
    <w:rsid w:val="00813E26"/>
    <w:rsid w:val="0081481D"/>
    <w:rsid w:val="00814BE8"/>
    <w:rsid w:val="00814F6E"/>
    <w:rsid w:val="00815B84"/>
    <w:rsid w:val="00816BE9"/>
    <w:rsid w:val="00822518"/>
    <w:rsid w:val="008226F5"/>
    <w:rsid w:val="008234EF"/>
    <w:rsid w:val="00823FC6"/>
    <w:rsid w:val="00824306"/>
    <w:rsid w:val="00825013"/>
    <w:rsid w:val="00825C74"/>
    <w:rsid w:val="00825CFA"/>
    <w:rsid w:val="00826AB9"/>
    <w:rsid w:val="00826E0E"/>
    <w:rsid w:val="00827D11"/>
    <w:rsid w:val="00827E0F"/>
    <w:rsid w:val="00827F6E"/>
    <w:rsid w:val="00831758"/>
    <w:rsid w:val="008317D9"/>
    <w:rsid w:val="0083279F"/>
    <w:rsid w:val="008334DB"/>
    <w:rsid w:val="00833B7F"/>
    <w:rsid w:val="00834906"/>
    <w:rsid w:val="00836075"/>
    <w:rsid w:val="00836417"/>
    <w:rsid w:val="00837526"/>
    <w:rsid w:val="008407A7"/>
    <w:rsid w:val="00841729"/>
    <w:rsid w:val="0084322B"/>
    <w:rsid w:val="00843F81"/>
    <w:rsid w:val="00844087"/>
    <w:rsid w:val="008448F1"/>
    <w:rsid w:val="0084519E"/>
    <w:rsid w:val="00845CAE"/>
    <w:rsid w:val="00846370"/>
    <w:rsid w:val="008471FD"/>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85E"/>
    <w:rsid w:val="0086661F"/>
    <w:rsid w:val="00866A0D"/>
    <w:rsid w:val="00866DB5"/>
    <w:rsid w:val="0086701D"/>
    <w:rsid w:val="0086702B"/>
    <w:rsid w:val="008672E2"/>
    <w:rsid w:val="0086784E"/>
    <w:rsid w:val="008708CD"/>
    <w:rsid w:val="0087121C"/>
    <w:rsid w:val="00872084"/>
    <w:rsid w:val="00872827"/>
    <w:rsid w:val="00872A32"/>
    <w:rsid w:val="00874911"/>
    <w:rsid w:val="008754E4"/>
    <w:rsid w:val="008768C5"/>
    <w:rsid w:val="00876EAE"/>
    <w:rsid w:val="00880106"/>
    <w:rsid w:val="00880F95"/>
    <w:rsid w:val="00882B44"/>
    <w:rsid w:val="008838AD"/>
    <w:rsid w:val="0088396A"/>
    <w:rsid w:val="008864B3"/>
    <w:rsid w:val="008865E5"/>
    <w:rsid w:val="008871B0"/>
    <w:rsid w:val="00890B57"/>
    <w:rsid w:val="008916BA"/>
    <w:rsid w:val="00891959"/>
    <w:rsid w:val="0089217C"/>
    <w:rsid w:val="00892790"/>
    <w:rsid w:val="00893671"/>
    <w:rsid w:val="00895838"/>
    <w:rsid w:val="00895A1E"/>
    <w:rsid w:val="00895A72"/>
    <w:rsid w:val="00895CDF"/>
    <w:rsid w:val="00896679"/>
    <w:rsid w:val="00896837"/>
    <w:rsid w:val="00896D8C"/>
    <w:rsid w:val="008A0FC9"/>
    <w:rsid w:val="008A1956"/>
    <w:rsid w:val="008A1A7C"/>
    <w:rsid w:val="008A2CE2"/>
    <w:rsid w:val="008A40D3"/>
    <w:rsid w:val="008A469C"/>
    <w:rsid w:val="008A51D1"/>
    <w:rsid w:val="008A5DCE"/>
    <w:rsid w:val="008A75D3"/>
    <w:rsid w:val="008B05DD"/>
    <w:rsid w:val="008B17E8"/>
    <w:rsid w:val="008B2E7C"/>
    <w:rsid w:val="008B45F0"/>
    <w:rsid w:val="008B4A70"/>
    <w:rsid w:val="008B502F"/>
    <w:rsid w:val="008B6DFC"/>
    <w:rsid w:val="008B7227"/>
    <w:rsid w:val="008C04E0"/>
    <w:rsid w:val="008C191C"/>
    <w:rsid w:val="008C1DA4"/>
    <w:rsid w:val="008C29B0"/>
    <w:rsid w:val="008C2CD5"/>
    <w:rsid w:val="008C3618"/>
    <w:rsid w:val="008C43AD"/>
    <w:rsid w:val="008C6118"/>
    <w:rsid w:val="008C6341"/>
    <w:rsid w:val="008C731F"/>
    <w:rsid w:val="008C74D9"/>
    <w:rsid w:val="008D3B2D"/>
    <w:rsid w:val="008D58D9"/>
    <w:rsid w:val="008D5AD4"/>
    <w:rsid w:val="008D6DD5"/>
    <w:rsid w:val="008D6E59"/>
    <w:rsid w:val="008D7155"/>
    <w:rsid w:val="008E0B29"/>
    <w:rsid w:val="008E141A"/>
    <w:rsid w:val="008E1A44"/>
    <w:rsid w:val="008E2558"/>
    <w:rsid w:val="008E28E6"/>
    <w:rsid w:val="008E3232"/>
    <w:rsid w:val="008E3674"/>
    <w:rsid w:val="008E3B6C"/>
    <w:rsid w:val="008E562C"/>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531"/>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9A6"/>
    <w:rsid w:val="00954032"/>
    <w:rsid w:val="00955FBB"/>
    <w:rsid w:val="0095694B"/>
    <w:rsid w:val="00956BD5"/>
    <w:rsid w:val="00956D84"/>
    <w:rsid w:val="009577B5"/>
    <w:rsid w:val="009608E6"/>
    <w:rsid w:val="00960F57"/>
    <w:rsid w:val="00961C90"/>
    <w:rsid w:val="00965443"/>
    <w:rsid w:val="00965954"/>
    <w:rsid w:val="00965E55"/>
    <w:rsid w:val="0096608E"/>
    <w:rsid w:val="00966522"/>
    <w:rsid w:val="00966C33"/>
    <w:rsid w:val="00970F18"/>
    <w:rsid w:val="00971CF1"/>
    <w:rsid w:val="00971F5D"/>
    <w:rsid w:val="009721E9"/>
    <w:rsid w:val="00973772"/>
    <w:rsid w:val="0097560A"/>
    <w:rsid w:val="00975DB4"/>
    <w:rsid w:val="00975E1E"/>
    <w:rsid w:val="00975E70"/>
    <w:rsid w:val="009761DE"/>
    <w:rsid w:val="009766FA"/>
    <w:rsid w:val="00977CD6"/>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37ED"/>
    <w:rsid w:val="009A40C3"/>
    <w:rsid w:val="009A40D5"/>
    <w:rsid w:val="009A57D0"/>
    <w:rsid w:val="009A6559"/>
    <w:rsid w:val="009A68FC"/>
    <w:rsid w:val="009A6CE4"/>
    <w:rsid w:val="009A7514"/>
    <w:rsid w:val="009A7E7A"/>
    <w:rsid w:val="009B1584"/>
    <w:rsid w:val="009B18F0"/>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F0494"/>
    <w:rsid w:val="009F0CD9"/>
    <w:rsid w:val="009F1A79"/>
    <w:rsid w:val="009F1F57"/>
    <w:rsid w:val="009F2DDD"/>
    <w:rsid w:val="009F3447"/>
    <w:rsid w:val="009F65F4"/>
    <w:rsid w:val="009F676B"/>
    <w:rsid w:val="009F6D2D"/>
    <w:rsid w:val="009F6D54"/>
    <w:rsid w:val="009F73D9"/>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4B13"/>
    <w:rsid w:val="00A15655"/>
    <w:rsid w:val="00A1740C"/>
    <w:rsid w:val="00A20069"/>
    <w:rsid w:val="00A2244D"/>
    <w:rsid w:val="00A2253D"/>
    <w:rsid w:val="00A247B8"/>
    <w:rsid w:val="00A2495A"/>
    <w:rsid w:val="00A24C7A"/>
    <w:rsid w:val="00A24D8F"/>
    <w:rsid w:val="00A25B8B"/>
    <w:rsid w:val="00A2689F"/>
    <w:rsid w:val="00A26ECA"/>
    <w:rsid w:val="00A27461"/>
    <w:rsid w:val="00A27D67"/>
    <w:rsid w:val="00A30ABC"/>
    <w:rsid w:val="00A33B74"/>
    <w:rsid w:val="00A3467F"/>
    <w:rsid w:val="00A34B4C"/>
    <w:rsid w:val="00A34EF1"/>
    <w:rsid w:val="00A35030"/>
    <w:rsid w:val="00A3551A"/>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7ECC"/>
    <w:rsid w:val="00A50171"/>
    <w:rsid w:val="00A504FA"/>
    <w:rsid w:val="00A5102E"/>
    <w:rsid w:val="00A512E7"/>
    <w:rsid w:val="00A5132E"/>
    <w:rsid w:val="00A51375"/>
    <w:rsid w:val="00A51533"/>
    <w:rsid w:val="00A531D4"/>
    <w:rsid w:val="00A5396F"/>
    <w:rsid w:val="00A54572"/>
    <w:rsid w:val="00A575B8"/>
    <w:rsid w:val="00A61C60"/>
    <w:rsid w:val="00A61ECB"/>
    <w:rsid w:val="00A6410C"/>
    <w:rsid w:val="00A647B1"/>
    <w:rsid w:val="00A64DEF"/>
    <w:rsid w:val="00A654D2"/>
    <w:rsid w:val="00A657E1"/>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3FBB"/>
    <w:rsid w:val="00A84C5F"/>
    <w:rsid w:val="00A85930"/>
    <w:rsid w:val="00A863F7"/>
    <w:rsid w:val="00A86604"/>
    <w:rsid w:val="00A87519"/>
    <w:rsid w:val="00A9246D"/>
    <w:rsid w:val="00A93BD0"/>
    <w:rsid w:val="00A93CC2"/>
    <w:rsid w:val="00A974CC"/>
    <w:rsid w:val="00AA0E29"/>
    <w:rsid w:val="00AA1BCD"/>
    <w:rsid w:val="00AA2001"/>
    <w:rsid w:val="00AA2B5C"/>
    <w:rsid w:val="00AA32D2"/>
    <w:rsid w:val="00AA4016"/>
    <w:rsid w:val="00AA42B5"/>
    <w:rsid w:val="00AA4C1F"/>
    <w:rsid w:val="00AA5328"/>
    <w:rsid w:val="00AA5393"/>
    <w:rsid w:val="00AA63D4"/>
    <w:rsid w:val="00AA75C9"/>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4C2F"/>
    <w:rsid w:val="00AC531F"/>
    <w:rsid w:val="00AC5B36"/>
    <w:rsid w:val="00AC6377"/>
    <w:rsid w:val="00AC66A4"/>
    <w:rsid w:val="00AC6CB1"/>
    <w:rsid w:val="00AC7D6D"/>
    <w:rsid w:val="00AD0091"/>
    <w:rsid w:val="00AD0713"/>
    <w:rsid w:val="00AD23EF"/>
    <w:rsid w:val="00AD2662"/>
    <w:rsid w:val="00AD307B"/>
    <w:rsid w:val="00AD4014"/>
    <w:rsid w:val="00AD41B3"/>
    <w:rsid w:val="00AD69F0"/>
    <w:rsid w:val="00AD7127"/>
    <w:rsid w:val="00AD730C"/>
    <w:rsid w:val="00AE123A"/>
    <w:rsid w:val="00AE1539"/>
    <w:rsid w:val="00AE28A7"/>
    <w:rsid w:val="00AE2A98"/>
    <w:rsid w:val="00AE2CF2"/>
    <w:rsid w:val="00AE3012"/>
    <w:rsid w:val="00AE33A6"/>
    <w:rsid w:val="00AE3729"/>
    <w:rsid w:val="00AE4CCE"/>
    <w:rsid w:val="00AE5C6A"/>
    <w:rsid w:val="00AE683F"/>
    <w:rsid w:val="00AE7280"/>
    <w:rsid w:val="00AE7590"/>
    <w:rsid w:val="00AF033A"/>
    <w:rsid w:val="00AF0A5D"/>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FC6"/>
    <w:rsid w:val="00B074C9"/>
    <w:rsid w:val="00B07D9D"/>
    <w:rsid w:val="00B10D94"/>
    <w:rsid w:val="00B11AE5"/>
    <w:rsid w:val="00B11B2E"/>
    <w:rsid w:val="00B12FE6"/>
    <w:rsid w:val="00B1303F"/>
    <w:rsid w:val="00B1364A"/>
    <w:rsid w:val="00B13859"/>
    <w:rsid w:val="00B14319"/>
    <w:rsid w:val="00B14A06"/>
    <w:rsid w:val="00B158E1"/>
    <w:rsid w:val="00B16715"/>
    <w:rsid w:val="00B1768E"/>
    <w:rsid w:val="00B17910"/>
    <w:rsid w:val="00B20F18"/>
    <w:rsid w:val="00B21516"/>
    <w:rsid w:val="00B21A37"/>
    <w:rsid w:val="00B21F62"/>
    <w:rsid w:val="00B22AFB"/>
    <w:rsid w:val="00B22CE0"/>
    <w:rsid w:val="00B23738"/>
    <w:rsid w:val="00B23BEF"/>
    <w:rsid w:val="00B247BB"/>
    <w:rsid w:val="00B2504A"/>
    <w:rsid w:val="00B25EE6"/>
    <w:rsid w:val="00B3115A"/>
    <w:rsid w:val="00B31825"/>
    <w:rsid w:val="00B31A5C"/>
    <w:rsid w:val="00B33B06"/>
    <w:rsid w:val="00B33C19"/>
    <w:rsid w:val="00B35A15"/>
    <w:rsid w:val="00B36A99"/>
    <w:rsid w:val="00B42264"/>
    <w:rsid w:val="00B434B2"/>
    <w:rsid w:val="00B43D45"/>
    <w:rsid w:val="00B468F2"/>
    <w:rsid w:val="00B469DE"/>
    <w:rsid w:val="00B46A13"/>
    <w:rsid w:val="00B46BE1"/>
    <w:rsid w:val="00B47286"/>
    <w:rsid w:val="00B50234"/>
    <w:rsid w:val="00B51BF4"/>
    <w:rsid w:val="00B52025"/>
    <w:rsid w:val="00B52C68"/>
    <w:rsid w:val="00B53008"/>
    <w:rsid w:val="00B5372B"/>
    <w:rsid w:val="00B53F14"/>
    <w:rsid w:val="00B542FE"/>
    <w:rsid w:val="00B55A1B"/>
    <w:rsid w:val="00B561DB"/>
    <w:rsid w:val="00B56DF9"/>
    <w:rsid w:val="00B600BD"/>
    <w:rsid w:val="00B61274"/>
    <w:rsid w:val="00B61DCE"/>
    <w:rsid w:val="00B62188"/>
    <w:rsid w:val="00B62F79"/>
    <w:rsid w:val="00B62F82"/>
    <w:rsid w:val="00B6306A"/>
    <w:rsid w:val="00B635E3"/>
    <w:rsid w:val="00B6597B"/>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426"/>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AAD"/>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4DC2"/>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AFB"/>
    <w:rsid w:val="00BF7C61"/>
    <w:rsid w:val="00C01427"/>
    <w:rsid w:val="00C014C7"/>
    <w:rsid w:val="00C047AB"/>
    <w:rsid w:val="00C058AF"/>
    <w:rsid w:val="00C11B36"/>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3522"/>
    <w:rsid w:val="00C240C1"/>
    <w:rsid w:val="00C24AED"/>
    <w:rsid w:val="00C250D0"/>
    <w:rsid w:val="00C252AC"/>
    <w:rsid w:val="00C25C0F"/>
    <w:rsid w:val="00C26567"/>
    <w:rsid w:val="00C26923"/>
    <w:rsid w:val="00C26D17"/>
    <w:rsid w:val="00C27214"/>
    <w:rsid w:val="00C27597"/>
    <w:rsid w:val="00C27E5E"/>
    <w:rsid w:val="00C30382"/>
    <w:rsid w:val="00C30772"/>
    <w:rsid w:val="00C30D6F"/>
    <w:rsid w:val="00C31063"/>
    <w:rsid w:val="00C31456"/>
    <w:rsid w:val="00C31B7E"/>
    <w:rsid w:val="00C322D1"/>
    <w:rsid w:val="00C3242A"/>
    <w:rsid w:val="00C33201"/>
    <w:rsid w:val="00C337E3"/>
    <w:rsid w:val="00C33A39"/>
    <w:rsid w:val="00C35D01"/>
    <w:rsid w:val="00C360B3"/>
    <w:rsid w:val="00C37027"/>
    <w:rsid w:val="00C374FA"/>
    <w:rsid w:val="00C37B19"/>
    <w:rsid w:val="00C413CB"/>
    <w:rsid w:val="00C42752"/>
    <w:rsid w:val="00C42973"/>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67C5E"/>
    <w:rsid w:val="00C707B8"/>
    <w:rsid w:val="00C712AC"/>
    <w:rsid w:val="00C71C15"/>
    <w:rsid w:val="00C71F3D"/>
    <w:rsid w:val="00C72F53"/>
    <w:rsid w:val="00C74035"/>
    <w:rsid w:val="00C748EA"/>
    <w:rsid w:val="00C77818"/>
    <w:rsid w:val="00C8063F"/>
    <w:rsid w:val="00C81282"/>
    <w:rsid w:val="00C83214"/>
    <w:rsid w:val="00C8329F"/>
    <w:rsid w:val="00C84ACE"/>
    <w:rsid w:val="00C84F8A"/>
    <w:rsid w:val="00C85BA4"/>
    <w:rsid w:val="00C8618F"/>
    <w:rsid w:val="00C8625D"/>
    <w:rsid w:val="00C90372"/>
    <w:rsid w:val="00C9041F"/>
    <w:rsid w:val="00C9166B"/>
    <w:rsid w:val="00C91A45"/>
    <w:rsid w:val="00C91D1C"/>
    <w:rsid w:val="00C91FB4"/>
    <w:rsid w:val="00C92150"/>
    <w:rsid w:val="00C92328"/>
    <w:rsid w:val="00C92D42"/>
    <w:rsid w:val="00C938C2"/>
    <w:rsid w:val="00C93F8A"/>
    <w:rsid w:val="00C94EA1"/>
    <w:rsid w:val="00C95745"/>
    <w:rsid w:val="00C95902"/>
    <w:rsid w:val="00C962E3"/>
    <w:rsid w:val="00C978E2"/>
    <w:rsid w:val="00C97997"/>
    <w:rsid w:val="00CA10A2"/>
    <w:rsid w:val="00CA1398"/>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348"/>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17"/>
    <w:rsid w:val="00CD79A7"/>
    <w:rsid w:val="00CE0789"/>
    <w:rsid w:val="00CE0E8D"/>
    <w:rsid w:val="00CE19FA"/>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CF76CB"/>
    <w:rsid w:val="00D01CF9"/>
    <w:rsid w:val="00D0334D"/>
    <w:rsid w:val="00D0374D"/>
    <w:rsid w:val="00D03A5D"/>
    <w:rsid w:val="00D06D7B"/>
    <w:rsid w:val="00D06DA5"/>
    <w:rsid w:val="00D07191"/>
    <w:rsid w:val="00D07F1D"/>
    <w:rsid w:val="00D10558"/>
    <w:rsid w:val="00D11D4D"/>
    <w:rsid w:val="00D126DC"/>
    <w:rsid w:val="00D12B03"/>
    <w:rsid w:val="00D13E70"/>
    <w:rsid w:val="00D16C58"/>
    <w:rsid w:val="00D17019"/>
    <w:rsid w:val="00D17FC8"/>
    <w:rsid w:val="00D20B44"/>
    <w:rsid w:val="00D21168"/>
    <w:rsid w:val="00D2438C"/>
    <w:rsid w:val="00D26C3F"/>
    <w:rsid w:val="00D27185"/>
    <w:rsid w:val="00D33AB3"/>
    <w:rsid w:val="00D33F24"/>
    <w:rsid w:val="00D34160"/>
    <w:rsid w:val="00D346B8"/>
    <w:rsid w:val="00D34DCA"/>
    <w:rsid w:val="00D35AC8"/>
    <w:rsid w:val="00D36F87"/>
    <w:rsid w:val="00D37E4E"/>
    <w:rsid w:val="00D406D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728"/>
    <w:rsid w:val="00D54A6A"/>
    <w:rsid w:val="00D54B8F"/>
    <w:rsid w:val="00D55951"/>
    <w:rsid w:val="00D57EB6"/>
    <w:rsid w:val="00D608C0"/>
    <w:rsid w:val="00D60D6D"/>
    <w:rsid w:val="00D60FB8"/>
    <w:rsid w:val="00D66D8B"/>
    <w:rsid w:val="00D70849"/>
    <w:rsid w:val="00D72297"/>
    <w:rsid w:val="00D72A1C"/>
    <w:rsid w:val="00D7308F"/>
    <w:rsid w:val="00D7313E"/>
    <w:rsid w:val="00D73580"/>
    <w:rsid w:val="00D73802"/>
    <w:rsid w:val="00D73C2C"/>
    <w:rsid w:val="00D73D52"/>
    <w:rsid w:val="00D745E7"/>
    <w:rsid w:val="00D774ED"/>
    <w:rsid w:val="00D777C3"/>
    <w:rsid w:val="00D77C44"/>
    <w:rsid w:val="00D77F88"/>
    <w:rsid w:val="00D81AFA"/>
    <w:rsid w:val="00D81EAA"/>
    <w:rsid w:val="00D81FE2"/>
    <w:rsid w:val="00D8259F"/>
    <w:rsid w:val="00D825F2"/>
    <w:rsid w:val="00D8285C"/>
    <w:rsid w:val="00D828B1"/>
    <w:rsid w:val="00D83D49"/>
    <w:rsid w:val="00D84181"/>
    <w:rsid w:val="00D84754"/>
    <w:rsid w:val="00D84F27"/>
    <w:rsid w:val="00D853F0"/>
    <w:rsid w:val="00D86D47"/>
    <w:rsid w:val="00D8710C"/>
    <w:rsid w:val="00D873C6"/>
    <w:rsid w:val="00D9074A"/>
    <w:rsid w:val="00D9099E"/>
    <w:rsid w:val="00D9193A"/>
    <w:rsid w:val="00D923B2"/>
    <w:rsid w:val="00D93E64"/>
    <w:rsid w:val="00D93F64"/>
    <w:rsid w:val="00D94CA4"/>
    <w:rsid w:val="00D957D7"/>
    <w:rsid w:val="00D95E99"/>
    <w:rsid w:val="00D965D5"/>
    <w:rsid w:val="00D97DA2"/>
    <w:rsid w:val="00DA1A3A"/>
    <w:rsid w:val="00DA2351"/>
    <w:rsid w:val="00DA249E"/>
    <w:rsid w:val="00DA2D3D"/>
    <w:rsid w:val="00DA4C30"/>
    <w:rsid w:val="00DB0AEC"/>
    <w:rsid w:val="00DB145E"/>
    <w:rsid w:val="00DB1A94"/>
    <w:rsid w:val="00DB1D52"/>
    <w:rsid w:val="00DB1F62"/>
    <w:rsid w:val="00DB21E7"/>
    <w:rsid w:val="00DB2E03"/>
    <w:rsid w:val="00DB3742"/>
    <w:rsid w:val="00DB3E9B"/>
    <w:rsid w:val="00DB3F4B"/>
    <w:rsid w:val="00DB5375"/>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926"/>
    <w:rsid w:val="00DE3D2C"/>
    <w:rsid w:val="00DE5E82"/>
    <w:rsid w:val="00DE5FA6"/>
    <w:rsid w:val="00DE6792"/>
    <w:rsid w:val="00DE6AA1"/>
    <w:rsid w:val="00DE7EF7"/>
    <w:rsid w:val="00DF015B"/>
    <w:rsid w:val="00DF02EC"/>
    <w:rsid w:val="00DF0996"/>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1F1"/>
    <w:rsid w:val="00E0219D"/>
    <w:rsid w:val="00E04C0F"/>
    <w:rsid w:val="00E0570B"/>
    <w:rsid w:val="00E1059A"/>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4440"/>
    <w:rsid w:val="00E46013"/>
    <w:rsid w:val="00E47099"/>
    <w:rsid w:val="00E47284"/>
    <w:rsid w:val="00E477C3"/>
    <w:rsid w:val="00E51E16"/>
    <w:rsid w:val="00E53730"/>
    <w:rsid w:val="00E5438D"/>
    <w:rsid w:val="00E54511"/>
    <w:rsid w:val="00E54E50"/>
    <w:rsid w:val="00E55288"/>
    <w:rsid w:val="00E55459"/>
    <w:rsid w:val="00E57577"/>
    <w:rsid w:val="00E62043"/>
    <w:rsid w:val="00E626B9"/>
    <w:rsid w:val="00E627C9"/>
    <w:rsid w:val="00E630F3"/>
    <w:rsid w:val="00E6332F"/>
    <w:rsid w:val="00E637C9"/>
    <w:rsid w:val="00E6402D"/>
    <w:rsid w:val="00E65791"/>
    <w:rsid w:val="00E6680A"/>
    <w:rsid w:val="00E66F0D"/>
    <w:rsid w:val="00E70615"/>
    <w:rsid w:val="00E7161E"/>
    <w:rsid w:val="00E7207B"/>
    <w:rsid w:val="00E7347A"/>
    <w:rsid w:val="00E75A47"/>
    <w:rsid w:val="00E75BB6"/>
    <w:rsid w:val="00E75D8C"/>
    <w:rsid w:val="00E777F2"/>
    <w:rsid w:val="00E802C9"/>
    <w:rsid w:val="00E80F0A"/>
    <w:rsid w:val="00E81477"/>
    <w:rsid w:val="00E815D4"/>
    <w:rsid w:val="00E821AE"/>
    <w:rsid w:val="00E8291B"/>
    <w:rsid w:val="00E82E70"/>
    <w:rsid w:val="00E82F92"/>
    <w:rsid w:val="00E8395F"/>
    <w:rsid w:val="00E8410F"/>
    <w:rsid w:val="00E849D7"/>
    <w:rsid w:val="00E85E41"/>
    <w:rsid w:val="00E85EA1"/>
    <w:rsid w:val="00E86703"/>
    <w:rsid w:val="00E91044"/>
    <w:rsid w:val="00E910D3"/>
    <w:rsid w:val="00E91804"/>
    <w:rsid w:val="00E92154"/>
    <w:rsid w:val="00E923CF"/>
    <w:rsid w:val="00E93685"/>
    <w:rsid w:val="00E93B65"/>
    <w:rsid w:val="00E93C8C"/>
    <w:rsid w:val="00E95111"/>
    <w:rsid w:val="00E95FDF"/>
    <w:rsid w:val="00EA14C8"/>
    <w:rsid w:val="00EA2110"/>
    <w:rsid w:val="00EA283A"/>
    <w:rsid w:val="00EA2C90"/>
    <w:rsid w:val="00EA2E07"/>
    <w:rsid w:val="00EA48F3"/>
    <w:rsid w:val="00EA60BF"/>
    <w:rsid w:val="00EA7365"/>
    <w:rsid w:val="00EA763F"/>
    <w:rsid w:val="00EA77E9"/>
    <w:rsid w:val="00EB05D0"/>
    <w:rsid w:val="00EB1151"/>
    <w:rsid w:val="00EB1D49"/>
    <w:rsid w:val="00EB23D9"/>
    <w:rsid w:val="00EB3862"/>
    <w:rsid w:val="00EB39A0"/>
    <w:rsid w:val="00EB559F"/>
    <w:rsid w:val="00EB566C"/>
    <w:rsid w:val="00EB5F3D"/>
    <w:rsid w:val="00EC1CEB"/>
    <w:rsid w:val="00EC1DC0"/>
    <w:rsid w:val="00EC1DC2"/>
    <w:rsid w:val="00EC21EC"/>
    <w:rsid w:val="00EC24B3"/>
    <w:rsid w:val="00EC24B8"/>
    <w:rsid w:val="00EC268C"/>
    <w:rsid w:val="00EC3753"/>
    <w:rsid w:val="00EC4E71"/>
    <w:rsid w:val="00EC5F1C"/>
    <w:rsid w:val="00EC6B32"/>
    <w:rsid w:val="00ED0365"/>
    <w:rsid w:val="00ED0865"/>
    <w:rsid w:val="00ED1C60"/>
    <w:rsid w:val="00ED2EB9"/>
    <w:rsid w:val="00ED3A31"/>
    <w:rsid w:val="00ED4469"/>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1C8F"/>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202C2"/>
    <w:rsid w:val="00F212F6"/>
    <w:rsid w:val="00F21F09"/>
    <w:rsid w:val="00F22756"/>
    <w:rsid w:val="00F23890"/>
    <w:rsid w:val="00F2504D"/>
    <w:rsid w:val="00F252CF"/>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739"/>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24E"/>
    <w:rsid w:val="00F5687F"/>
    <w:rsid w:val="00F575C7"/>
    <w:rsid w:val="00F57FD0"/>
    <w:rsid w:val="00F60305"/>
    <w:rsid w:val="00F61B12"/>
    <w:rsid w:val="00F63264"/>
    <w:rsid w:val="00F634E4"/>
    <w:rsid w:val="00F6379E"/>
    <w:rsid w:val="00F65171"/>
    <w:rsid w:val="00F6560D"/>
    <w:rsid w:val="00F67844"/>
    <w:rsid w:val="00F70799"/>
    <w:rsid w:val="00F70A8B"/>
    <w:rsid w:val="00F70B8D"/>
    <w:rsid w:val="00F724FB"/>
    <w:rsid w:val="00F726B8"/>
    <w:rsid w:val="00F72A26"/>
    <w:rsid w:val="00F733C3"/>
    <w:rsid w:val="00F746A1"/>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0F6E"/>
    <w:rsid w:val="00FC1483"/>
    <w:rsid w:val="00FC1C47"/>
    <w:rsid w:val="00FC3102"/>
    <w:rsid w:val="00FC39ED"/>
    <w:rsid w:val="00FC4419"/>
    <w:rsid w:val="00FC47E2"/>
    <w:rsid w:val="00FC4AA5"/>
    <w:rsid w:val="00FC4B88"/>
    <w:rsid w:val="00FC4BB8"/>
    <w:rsid w:val="00FC4BBD"/>
    <w:rsid w:val="00FC5148"/>
    <w:rsid w:val="00FC6524"/>
    <w:rsid w:val="00FC75AC"/>
    <w:rsid w:val="00FD01BF"/>
    <w:rsid w:val="00FD0525"/>
    <w:rsid w:val="00FD0AB7"/>
    <w:rsid w:val="00FD297D"/>
    <w:rsid w:val="00FD2D13"/>
    <w:rsid w:val="00FD374D"/>
    <w:rsid w:val="00FD6071"/>
    <w:rsid w:val="00FD633B"/>
    <w:rsid w:val="00FE0794"/>
    <w:rsid w:val="00FE102A"/>
    <w:rsid w:val="00FE1041"/>
    <w:rsid w:val="00FE1445"/>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325A8F"/>
    <w:rsid w:val="0137655F"/>
    <w:rsid w:val="01AF3D99"/>
    <w:rsid w:val="02511F9D"/>
    <w:rsid w:val="02766859"/>
    <w:rsid w:val="027A149C"/>
    <w:rsid w:val="02C21A88"/>
    <w:rsid w:val="03767EB5"/>
    <w:rsid w:val="03A314B8"/>
    <w:rsid w:val="03D82B98"/>
    <w:rsid w:val="03F83E8B"/>
    <w:rsid w:val="05373674"/>
    <w:rsid w:val="05571F68"/>
    <w:rsid w:val="05C56868"/>
    <w:rsid w:val="05F81055"/>
    <w:rsid w:val="064F1CCC"/>
    <w:rsid w:val="065116AD"/>
    <w:rsid w:val="06ED0F6A"/>
    <w:rsid w:val="06F1239F"/>
    <w:rsid w:val="06F53946"/>
    <w:rsid w:val="07374A85"/>
    <w:rsid w:val="07AF3996"/>
    <w:rsid w:val="07B72767"/>
    <w:rsid w:val="07BA233A"/>
    <w:rsid w:val="07CD3508"/>
    <w:rsid w:val="08077E72"/>
    <w:rsid w:val="08882DD0"/>
    <w:rsid w:val="089112ED"/>
    <w:rsid w:val="09442803"/>
    <w:rsid w:val="095F3CC2"/>
    <w:rsid w:val="099F5C8C"/>
    <w:rsid w:val="09CC2AAC"/>
    <w:rsid w:val="0A12645E"/>
    <w:rsid w:val="0A513F5C"/>
    <w:rsid w:val="0A652D3E"/>
    <w:rsid w:val="0AA03507"/>
    <w:rsid w:val="0AB063A2"/>
    <w:rsid w:val="0AF0679F"/>
    <w:rsid w:val="0AFF69E2"/>
    <w:rsid w:val="0B326F2A"/>
    <w:rsid w:val="0C0F534B"/>
    <w:rsid w:val="0C1E2888"/>
    <w:rsid w:val="0C200AD5"/>
    <w:rsid w:val="0C350433"/>
    <w:rsid w:val="0C3A766C"/>
    <w:rsid w:val="0C6D709F"/>
    <w:rsid w:val="0C92213C"/>
    <w:rsid w:val="0CF54C8C"/>
    <w:rsid w:val="0D5A0296"/>
    <w:rsid w:val="0D5B011C"/>
    <w:rsid w:val="0D84032B"/>
    <w:rsid w:val="0E372937"/>
    <w:rsid w:val="0EA1755E"/>
    <w:rsid w:val="0F2A74C4"/>
    <w:rsid w:val="101B1FCB"/>
    <w:rsid w:val="10740BA3"/>
    <w:rsid w:val="10A27F31"/>
    <w:rsid w:val="10AB4F16"/>
    <w:rsid w:val="11927058"/>
    <w:rsid w:val="128F4AEF"/>
    <w:rsid w:val="13750011"/>
    <w:rsid w:val="13AF4F03"/>
    <w:rsid w:val="13F84916"/>
    <w:rsid w:val="146E4BD8"/>
    <w:rsid w:val="14736E66"/>
    <w:rsid w:val="147F458F"/>
    <w:rsid w:val="149F2FE4"/>
    <w:rsid w:val="1534169A"/>
    <w:rsid w:val="153656F6"/>
    <w:rsid w:val="1545218F"/>
    <w:rsid w:val="15C03E03"/>
    <w:rsid w:val="15C2342E"/>
    <w:rsid w:val="15CB129D"/>
    <w:rsid w:val="162A25EB"/>
    <w:rsid w:val="16FD2A55"/>
    <w:rsid w:val="17067C1A"/>
    <w:rsid w:val="171C091C"/>
    <w:rsid w:val="17366761"/>
    <w:rsid w:val="17784836"/>
    <w:rsid w:val="177C01F0"/>
    <w:rsid w:val="17905E96"/>
    <w:rsid w:val="17CE6630"/>
    <w:rsid w:val="17DD57D3"/>
    <w:rsid w:val="183D0B4A"/>
    <w:rsid w:val="1876405C"/>
    <w:rsid w:val="18C748B7"/>
    <w:rsid w:val="19D13C3F"/>
    <w:rsid w:val="19E760BB"/>
    <w:rsid w:val="1A02204B"/>
    <w:rsid w:val="1A1009C1"/>
    <w:rsid w:val="1A4B1C44"/>
    <w:rsid w:val="1A9C424D"/>
    <w:rsid w:val="1ADC5D69"/>
    <w:rsid w:val="1AEA7102"/>
    <w:rsid w:val="1AFF0AFE"/>
    <w:rsid w:val="1B491DB8"/>
    <w:rsid w:val="1B4F19F8"/>
    <w:rsid w:val="1B601DBC"/>
    <w:rsid w:val="1B9A62B3"/>
    <w:rsid w:val="1B9B3DDE"/>
    <w:rsid w:val="1C3109C5"/>
    <w:rsid w:val="1C341BDE"/>
    <w:rsid w:val="1CAB69CA"/>
    <w:rsid w:val="1CE877E7"/>
    <w:rsid w:val="1D3F5364"/>
    <w:rsid w:val="1D5726AE"/>
    <w:rsid w:val="1DD51824"/>
    <w:rsid w:val="1E0D0FBE"/>
    <w:rsid w:val="1E326C77"/>
    <w:rsid w:val="1E9E4E9D"/>
    <w:rsid w:val="1EBD4792"/>
    <w:rsid w:val="1ECC44FA"/>
    <w:rsid w:val="1EDD3086"/>
    <w:rsid w:val="1EFD7285"/>
    <w:rsid w:val="1F063325"/>
    <w:rsid w:val="1F1545CE"/>
    <w:rsid w:val="1F2667DB"/>
    <w:rsid w:val="1F6D7D7A"/>
    <w:rsid w:val="1FBC5DF5"/>
    <w:rsid w:val="201605FE"/>
    <w:rsid w:val="207B4905"/>
    <w:rsid w:val="20A51982"/>
    <w:rsid w:val="20C3623F"/>
    <w:rsid w:val="21781212"/>
    <w:rsid w:val="21B83F86"/>
    <w:rsid w:val="21ED1832"/>
    <w:rsid w:val="221178A8"/>
    <w:rsid w:val="221213CF"/>
    <w:rsid w:val="221E379A"/>
    <w:rsid w:val="22327A92"/>
    <w:rsid w:val="22EE13BE"/>
    <w:rsid w:val="231D53A2"/>
    <w:rsid w:val="236C38D5"/>
    <w:rsid w:val="236D5383"/>
    <w:rsid w:val="238910E7"/>
    <w:rsid w:val="23B7504C"/>
    <w:rsid w:val="24571307"/>
    <w:rsid w:val="25110A2A"/>
    <w:rsid w:val="256C0944"/>
    <w:rsid w:val="25F969F8"/>
    <w:rsid w:val="260B2EC3"/>
    <w:rsid w:val="262A4E03"/>
    <w:rsid w:val="26446DE3"/>
    <w:rsid w:val="269669E7"/>
    <w:rsid w:val="269F0C21"/>
    <w:rsid w:val="26D7699F"/>
    <w:rsid w:val="27016DC1"/>
    <w:rsid w:val="274F1685"/>
    <w:rsid w:val="27992436"/>
    <w:rsid w:val="27A603A0"/>
    <w:rsid w:val="27AB5319"/>
    <w:rsid w:val="28023C7D"/>
    <w:rsid w:val="28153891"/>
    <w:rsid w:val="28382752"/>
    <w:rsid w:val="297839E2"/>
    <w:rsid w:val="2A2263F9"/>
    <w:rsid w:val="2A426494"/>
    <w:rsid w:val="2B4104F9"/>
    <w:rsid w:val="2B774624"/>
    <w:rsid w:val="2BA54671"/>
    <w:rsid w:val="2BAA2542"/>
    <w:rsid w:val="2C7A72BE"/>
    <w:rsid w:val="2C7C5C8D"/>
    <w:rsid w:val="2C9A7D75"/>
    <w:rsid w:val="2D597D7C"/>
    <w:rsid w:val="2DCC49F2"/>
    <w:rsid w:val="2E1168A9"/>
    <w:rsid w:val="2E450300"/>
    <w:rsid w:val="2E9976CE"/>
    <w:rsid w:val="2F401D3C"/>
    <w:rsid w:val="2F5B24E1"/>
    <w:rsid w:val="2F6C26DC"/>
    <w:rsid w:val="2F725125"/>
    <w:rsid w:val="2F974B8C"/>
    <w:rsid w:val="2FA95C88"/>
    <w:rsid w:val="2FF46EA8"/>
    <w:rsid w:val="3041370F"/>
    <w:rsid w:val="30733F6B"/>
    <w:rsid w:val="310444A3"/>
    <w:rsid w:val="312B50A3"/>
    <w:rsid w:val="31515138"/>
    <w:rsid w:val="316A69FC"/>
    <w:rsid w:val="31A336A4"/>
    <w:rsid w:val="32453A27"/>
    <w:rsid w:val="3263064A"/>
    <w:rsid w:val="32A43132"/>
    <w:rsid w:val="32AC0C06"/>
    <w:rsid w:val="33344EF5"/>
    <w:rsid w:val="33EB21DC"/>
    <w:rsid w:val="33F97BC3"/>
    <w:rsid w:val="34030A42"/>
    <w:rsid w:val="34142C4F"/>
    <w:rsid w:val="347436ED"/>
    <w:rsid w:val="34F64A9C"/>
    <w:rsid w:val="3537750C"/>
    <w:rsid w:val="3537798C"/>
    <w:rsid w:val="35C13FC9"/>
    <w:rsid w:val="364257B6"/>
    <w:rsid w:val="36CD5C7C"/>
    <w:rsid w:val="36CE1E65"/>
    <w:rsid w:val="36E27034"/>
    <w:rsid w:val="37A14949"/>
    <w:rsid w:val="37D03331"/>
    <w:rsid w:val="37EA5922"/>
    <w:rsid w:val="38276B93"/>
    <w:rsid w:val="38376F0C"/>
    <w:rsid w:val="38740160"/>
    <w:rsid w:val="38AC3431"/>
    <w:rsid w:val="38F9733D"/>
    <w:rsid w:val="391E1E7A"/>
    <w:rsid w:val="39203E44"/>
    <w:rsid w:val="392C4597"/>
    <w:rsid w:val="392F2E16"/>
    <w:rsid w:val="39E00529"/>
    <w:rsid w:val="39F41558"/>
    <w:rsid w:val="3A0B64A7"/>
    <w:rsid w:val="3A574DDA"/>
    <w:rsid w:val="3AD3075A"/>
    <w:rsid w:val="3AD47A0D"/>
    <w:rsid w:val="3AF74C02"/>
    <w:rsid w:val="3C0059A5"/>
    <w:rsid w:val="3C134E78"/>
    <w:rsid w:val="3C3E5F72"/>
    <w:rsid w:val="3D233F03"/>
    <w:rsid w:val="3D361E88"/>
    <w:rsid w:val="3D45031D"/>
    <w:rsid w:val="3DF6345D"/>
    <w:rsid w:val="3E2C5AE2"/>
    <w:rsid w:val="3E4D4F28"/>
    <w:rsid w:val="3EB2553E"/>
    <w:rsid w:val="3EE13701"/>
    <w:rsid w:val="3F0E1549"/>
    <w:rsid w:val="3F1A4BB3"/>
    <w:rsid w:val="3FC624B8"/>
    <w:rsid w:val="40192BA6"/>
    <w:rsid w:val="41720F7A"/>
    <w:rsid w:val="42550A18"/>
    <w:rsid w:val="42984A4B"/>
    <w:rsid w:val="429D496A"/>
    <w:rsid w:val="42A87384"/>
    <w:rsid w:val="42F473A1"/>
    <w:rsid w:val="42FA54AD"/>
    <w:rsid w:val="43BC5ADB"/>
    <w:rsid w:val="441E62C0"/>
    <w:rsid w:val="4473751E"/>
    <w:rsid w:val="44AE0455"/>
    <w:rsid w:val="44CD4E80"/>
    <w:rsid w:val="44E365D0"/>
    <w:rsid w:val="45325D14"/>
    <w:rsid w:val="45811C7C"/>
    <w:rsid w:val="45F11042"/>
    <w:rsid w:val="46875502"/>
    <w:rsid w:val="468B3EFB"/>
    <w:rsid w:val="46955E71"/>
    <w:rsid w:val="470A6193"/>
    <w:rsid w:val="47385210"/>
    <w:rsid w:val="47413903"/>
    <w:rsid w:val="47AF2F63"/>
    <w:rsid w:val="47D97FDF"/>
    <w:rsid w:val="47DC4F5C"/>
    <w:rsid w:val="48540B65"/>
    <w:rsid w:val="48775D60"/>
    <w:rsid w:val="48B40671"/>
    <w:rsid w:val="499B5738"/>
    <w:rsid w:val="499F244D"/>
    <w:rsid w:val="4A3C18C5"/>
    <w:rsid w:val="4A973F3F"/>
    <w:rsid w:val="4AF96BC7"/>
    <w:rsid w:val="4B117A90"/>
    <w:rsid w:val="4B862A85"/>
    <w:rsid w:val="4BBF74EC"/>
    <w:rsid w:val="4BE34F89"/>
    <w:rsid w:val="4C3103EA"/>
    <w:rsid w:val="4C4B0D80"/>
    <w:rsid w:val="4CEF36E2"/>
    <w:rsid w:val="4CEF4DC5"/>
    <w:rsid w:val="4D265A75"/>
    <w:rsid w:val="4D64659D"/>
    <w:rsid w:val="4DBE5CAD"/>
    <w:rsid w:val="4E257655"/>
    <w:rsid w:val="4E2F2707"/>
    <w:rsid w:val="4E451F2B"/>
    <w:rsid w:val="4E760D0B"/>
    <w:rsid w:val="4F372380"/>
    <w:rsid w:val="4F372FFB"/>
    <w:rsid w:val="4F5D32A4"/>
    <w:rsid w:val="51DE5DAB"/>
    <w:rsid w:val="52395ECD"/>
    <w:rsid w:val="52992845"/>
    <w:rsid w:val="52B70F1D"/>
    <w:rsid w:val="52C10D75"/>
    <w:rsid w:val="52EE281C"/>
    <w:rsid w:val="53C27FF8"/>
    <w:rsid w:val="5495703C"/>
    <w:rsid w:val="549E1A80"/>
    <w:rsid w:val="54C658F4"/>
    <w:rsid w:val="550C4BD7"/>
    <w:rsid w:val="554C1D56"/>
    <w:rsid w:val="55572986"/>
    <w:rsid w:val="562D396F"/>
    <w:rsid w:val="565340FA"/>
    <w:rsid w:val="5675273C"/>
    <w:rsid w:val="56A15FD6"/>
    <w:rsid w:val="578F0AD3"/>
    <w:rsid w:val="57D9582D"/>
    <w:rsid w:val="586F35C4"/>
    <w:rsid w:val="593908DE"/>
    <w:rsid w:val="59545718"/>
    <w:rsid w:val="59FA0437"/>
    <w:rsid w:val="5A0A1068"/>
    <w:rsid w:val="5A2F2CC8"/>
    <w:rsid w:val="5A3B1327"/>
    <w:rsid w:val="5A4F5EDF"/>
    <w:rsid w:val="5A9A6053"/>
    <w:rsid w:val="5AD76600"/>
    <w:rsid w:val="5B160674"/>
    <w:rsid w:val="5B733FC3"/>
    <w:rsid w:val="5C10702D"/>
    <w:rsid w:val="5C152601"/>
    <w:rsid w:val="5C473312"/>
    <w:rsid w:val="5C837F16"/>
    <w:rsid w:val="5C8A1B2F"/>
    <w:rsid w:val="5C9A1FA1"/>
    <w:rsid w:val="5CE60D7D"/>
    <w:rsid w:val="5DA402F0"/>
    <w:rsid w:val="5DCA5FA9"/>
    <w:rsid w:val="5E641D2B"/>
    <w:rsid w:val="5E7142F1"/>
    <w:rsid w:val="5EA902B4"/>
    <w:rsid w:val="5F735110"/>
    <w:rsid w:val="5F97635E"/>
    <w:rsid w:val="5F9C0102"/>
    <w:rsid w:val="5FCF774E"/>
    <w:rsid w:val="5FF7504F"/>
    <w:rsid w:val="606007BB"/>
    <w:rsid w:val="609011DB"/>
    <w:rsid w:val="60A67584"/>
    <w:rsid w:val="60AC7F66"/>
    <w:rsid w:val="616E1341"/>
    <w:rsid w:val="6186668A"/>
    <w:rsid w:val="61A42ECF"/>
    <w:rsid w:val="61BF10D9"/>
    <w:rsid w:val="62AC22DC"/>
    <w:rsid w:val="64091E2A"/>
    <w:rsid w:val="64202DC6"/>
    <w:rsid w:val="645F1C53"/>
    <w:rsid w:val="64D56112"/>
    <w:rsid w:val="64E45EF7"/>
    <w:rsid w:val="64FD143E"/>
    <w:rsid w:val="65006754"/>
    <w:rsid w:val="6511270F"/>
    <w:rsid w:val="65876E75"/>
    <w:rsid w:val="659707B8"/>
    <w:rsid w:val="65C71020"/>
    <w:rsid w:val="660109D5"/>
    <w:rsid w:val="663F7786"/>
    <w:rsid w:val="6691014E"/>
    <w:rsid w:val="674C0829"/>
    <w:rsid w:val="675B4115"/>
    <w:rsid w:val="677435B2"/>
    <w:rsid w:val="67EF75F1"/>
    <w:rsid w:val="6809754C"/>
    <w:rsid w:val="68732EF1"/>
    <w:rsid w:val="68C43ED2"/>
    <w:rsid w:val="69124F16"/>
    <w:rsid w:val="69C53AC8"/>
    <w:rsid w:val="69CD5C14"/>
    <w:rsid w:val="69CF0D33"/>
    <w:rsid w:val="6A0E48FB"/>
    <w:rsid w:val="6A1F61CB"/>
    <w:rsid w:val="6A267496"/>
    <w:rsid w:val="6AE32A35"/>
    <w:rsid w:val="6AF40B09"/>
    <w:rsid w:val="6B9946B3"/>
    <w:rsid w:val="6BBB5183"/>
    <w:rsid w:val="6C553829"/>
    <w:rsid w:val="6C7007C7"/>
    <w:rsid w:val="6C757A27"/>
    <w:rsid w:val="6CAB51F7"/>
    <w:rsid w:val="6D064B23"/>
    <w:rsid w:val="6D24003B"/>
    <w:rsid w:val="6DE76850"/>
    <w:rsid w:val="6E9543B1"/>
    <w:rsid w:val="6ED24CBD"/>
    <w:rsid w:val="6F1E38F5"/>
    <w:rsid w:val="6F36206E"/>
    <w:rsid w:val="6F4E3FA0"/>
    <w:rsid w:val="6FB20BD4"/>
    <w:rsid w:val="6FBA59BE"/>
    <w:rsid w:val="6FC81E1B"/>
    <w:rsid w:val="70296B3E"/>
    <w:rsid w:val="70611204"/>
    <w:rsid w:val="70AB771F"/>
    <w:rsid w:val="71096990"/>
    <w:rsid w:val="71C50B09"/>
    <w:rsid w:val="720535FB"/>
    <w:rsid w:val="72EC5737"/>
    <w:rsid w:val="72EF0137"/>
    <w:rsid w:val="73187ECA"/>
    <w:rsid w:val="73550FE1"/>
    <w:rsid w:val="73593BFF"/>
    <w:rsid w:val="740718AD"/>
    <w:rsid w:val="740A2B28"/>
    <w:rsid w:val="743E4BA3"/>
    <w:rsid w:val="74406B6D"/>
    <w:rsid w:val="74730CF0"/>
    <w:rsid w:val="74FA2C30"/>
    <w:rsid w:val="7504486B"/>
    <w:rsid w:val="754D5C4B"/>
    <w:rsid w:val="76C240A7"/>
    <w:rsid w:val="76EC6B38"/>
    <w:rsid w:val="76F123A0"/>
    <w:rsid w:val="775246B7"/>
    <w:rsid w:val="77713445"/>
    <w:rsid w:val="77C83101"/>
    <w:rsid w:val="77D777E8"/>
    <w:rsid w:val="781E69D1"/>
    <w:rsid w:val="78927D71"/>
    <w:rsid w:val="78A551F0"/>
    <w:rsid w:val="78D24BEF"/>
    <w:rsid w:val="797632E5"/>
    <w:rsid w:val="797F3C93"/>
    <w:rsid w:val="7A263B6B"/>
    <w:rsid w:val="7AF46346"/>
    <w:rsid w:val="7B005E1C"/>
    <w:rsid w:val="7B0F5EBF"/>
    <w:rsid w:val="7B130FB9"/>
    <w:rsid w:val="7B182932"/>
    <w:rsid w:val="7B6B0973"/>
    <w:rsid w:val="7BD55DED"/>
    <w:rsid w:val="7BF64EDE"/>
    <w:rsid w:val="7C400C1E"/>
    <w:rsid w:val="7D060228"/>
    <w:rsid w:val="7D16490F"/>
    <w:rsid w:val="7DD11708"/>
    <w:rsid w:val="7DEB7B49"/>
    <w:rsid w:val="7E3809FF"/>
    <w:rsid w:val="7E927FC5"/>
    <w:rsid w:val="7EC167BD"/>
    <w:rsid w:val="7F272D9E"/>
    <w:rsid w:val="7F3C3B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5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宋体" w:hAnsi="Arial" w:eastAsia="黑体"/>
      <w:b/>
      <w:sz w:val="24"/>
      <w:szCs w:val="20"/>
    </w:rPr>
  </w:style>
  <w:style w:type="paragraph" w:styleId="6">
    <w:name w:val="heading 5"/>
    <w:basedOn w:val="1"/>
    <w:next w:val="7"/>
    <w:link w:val="34"/>
    <w:qFormat/>
    <w:uiPriority w:val="9"/>
    <w:pPr>
      <w:keepNext/>
      <w:keepLines/>
      <w:spacing w:before="280" w:after="290" w:line="376" w:lineRule="auto"/>
      <w:outlineLvl w:val="4"/>
    </w:pPr>
    <w:rPr>
      <w:b/>
      <w:bCs/>
      <w:sz w:val="28"/>
      <w:szCs w:val="28"/>
    </w:rPr>
  </w:style>
  <w:style w:type="paragraph" w:styleId="8">
    <w:name w:val="heading 8"/>
    <w:basedOn w:val="1"/>
    <w:next w:val="1"/>
    <w:link w:val="53"/>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Normal Indent"/>
    <w:basedOn w:val="1"/>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39"/>
    <w:qFormat/>
    <w:uiPriority w:val="0"/>
    <w:pPr>
      <w:jc w:val="left"/>
    </w:pPr>
  </w:style>
  <w:style w:type="paragraph" w:styleId="11">
    <w:name w:val="Body Text 3"/>
    <w:basedOn w:val="1"/>
    <w:link w:val="51"/>
    <w:unhideWhenUsed/>
    <w:uiPriority w:val="99"/>
    <w:pPr>
      <w:spacing w:after="120"/>
    </w:pPr>
    <w:rPr>
      <w:sz w:val="16"/>
      <w:szCs w:val="16"/>
    </w:rPr>
  </w:style>
  <w:style w:type="paragraph" w:styleId="12">
    <w:name w:val="Body Text"/>
    <w:basedOn w:val="1"/>
    <w:next w:val="1"/>
    <w:link w:val="46"/>
    <w:unhideWhenUsed/>
    <w:qFormat/>
    <w:uiPriority w:val="0"/>
    <w:pPr>
      <w:spacing w:after="120"/>
    </w:pPr>
  </w:style>
  <w:style w:type="paragraph" w:styleId="13">
    <w:name w:val="Body Text Indent"/>
    <w:basedOn w:val="1"/>
    <w:link w:val="47"/>
    <w:qFormat/>
    <w:uiPriority w:val="0"/>
    <w:pPr>
      <w:ind w:firstLine="830" w:firstLineChars="352"/>
    </w:pPr>
    <w:rPr>
      <w:rFonts w:ascii="仿宋_GB2312" w:eastAsia="仿宋_GB2312"/>
      <w:kern w:val="0"/>
      <w:sz w:val="32"/>
      <w:szCs w:val="20"/>
    </w:rPr>
  </w:style>
  <w:style w:type="paragraph" w:styleId="14">
    <w:name w:val="List 2"/>
    <w:basedOn w:val="1"/>
    <w:unhideWhenUsed/>
    <w:uiPriority w:val="99"/>
    <w:pPr>
      <w:ind w:left="100" w:leftChars="200" w:hanging="200" w:hangingChars="200"/>
      <w:contextualSpacing/>
    </w:pPr>
  </w:style>
  <w:style w:type="paragraph" w:styleId="15">
    <w:name w:val="Plain Text"/>
    <w:basedOn w:val="1"/>
    <w:link w:val="38"/>
    <w:qFormat/>
    <w:uiPriority w:val="0"/>
    <w:rPr>
      <w:rFonts w:ascii="宋体" w:hAnsi="Courier New"/>
      <w:kern w:val="0"/>
      <w:sz w:val="20"/>
      <w:szCs w:val="21"/>
    </w:rPr>
  </w:style>
  <w:style w:type="paragraph" w:styleId="16">
    <w:name w:val="Date"/>
    <w:basedOn w:val="1"/>
    <w:next w:val="1"/>
    <w:link w:val="55"/>
    <w:unhideWhenUsed/>
    <w:qFormat/>
    <w:uiPriority w:val="99"/>
    <w:pPr>
      <w:ind w:left="100" w:leftChars="2500"/>
    </w:pPr>
  </w:style>
  <w:style w:type="paragraph" w:styleId="17">
    <w:name w:val="Balloon Text"/>
    <w:basedOn w:val="1"/>
    <w:semiHidden/>
    <w:qFormat/>
    <w:uiPriority w:val="0"/>
    <w:rPr>
      <w:sz w:val="18"/>
      <w:szCs w:val="18"/>
    </w:rPr>
  </w:style>
  <w:style w:type="paragraph" w:styleId="18">
    <w:name w:val="footer"/>
    <w:basedOn w:val="1"/>
    <w:link w:val="35"/>
    <w:unhideWhenUsed/>
    <w:qFormat/>
    <w:uiPriority w:val="99"/>
    <w:pPr>
      <w:tabs>
        <w:tab w:val="center" w:pos="4153"/>
        <w:tab w:val="right" w:pos="8306"/>
      </w:tabs>
      <w:snapToGrid w:val="0"/>
      <w:jc w:val="left"/>
    </w:pPr>
    <w:rPr>
      <w:kern w:val="0"/>
      <w:sz w:val="18"/>
      <w:szCs w:val="18"/>
    </w:rPr>
  </w:style>
  <w:style w:type="paragraph" w:styleId="19">
    <w:name w:val="header"/>
    <w:basedOn w:val="1"/>
    <w:link w:val="43"/>
    <w:unhideWhenUsed/>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uiPriority w:val="39"/>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3">
    <w:name w:val="Title"/>
    <w:basedOn w:val="1"/>
    <w:next w:val="1"/>
    <w:qFormat/>
    <w:uiPriority w:val="0"/>
    <w:pPr>
      <w:spacing w:before="240" w:after="60"/>
      <w:jc w:val="center"/>
      <w:outlineLvl w:val="0"/>
    </w:pPr>
    <w:rPr>
      <w:rFonts w:ascii="Arial" w:hAnsi="Arial"/>
      <w:b/>
      <w:bCs/>
      <w:sz w:val="32"/>
      <w:szCs w:val="32"/>
    </w:rPr>
  </w:style>
  <w:style w:type="paragraph" w:styleId="24">
    <w:name w:val="annotation subject"/>
    <w:basedOn w:val="10"/>
    <w:next w:val="10"/>
    <w:link w:val="44"/>
    <w:qFormat/>
    <w:uiPriority w:val="99"/>
    <w:rPr>
      <w:b/>
      <w:bCs/>
    </w:rPr>
  </w:style>
  <w:style w:type="paragraph" w:styleId="25">
    <w:name w:val="Body Text First Indent"/>
    <w:basedOn w:val="12"/>
    <w:qFormat/>
    <w:uiPriority w:val="0"/>
    <w:pPr>
      <w:ind w:firstLine="420" w:firstLineChars="100"/>
    </w:pPr>
  </w:style>
  <w:style w:type="paragraph" w:styleId="26">
    <w:name w:val="Body Text First Indent 2"/>
    <w:basedOn w:val="1"/>
    <w:next w:val="25"/>
    <w:qFormat/>
    <w:uiPriority w:val="0"/>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rPr>
  </w:style>
  <w:style w:type="character" w:styleId="31">
    <w:name w:val="endnote reference"/>
    <w:unhideWhenUsed/>
    <w:uiPriority w:val="99"/>
    <w:rPr>
      <w:vertAlign w:val="superscript"/>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标题 5 字符"/>
    <w:link w:val="6"/>
    <w:semiHidden/>
    <w:qFormat/>
    <w:uiPriority w:val="9"/>
    <w:rPr>
      <w:rFonts w:ascii="Times New Roman" w:hAnsi="Times New Roman"/>
      <w:b/>
      <w:bCs/>
      <w:kern w:val="2"/>
      <w:sz w:val="28"/>
      <w:szCs w:val="28"/>
    </w:rPr>
  </w:style>
  <w:style w:type="character" w:customStyle="1" w:styleId="35">
    <w:name w:val="页脚 字符"/>
    <w:link w:val="18"/>
    <w:qFormat/>
    <w:uiPriority w:val="99"/>
    <w:rPr>
      <w:sz w:val="18"/>
      <w:szCs w:val="18"/>
    </w:rPr>
  </w:style>
  <w:style w:type="character" w:customStyle="1" w:styleId="36">
    <w:name w:val="textcontents"/>
    <w:qFormat/>
    <w:uiPriority w:val="0"/>
  </w:style>
  <w:style w:type="character" w:customStyle="1" w:styleId="37">
    <w:name w:val="正文文本 Char"/>
    <w:qFormat/>
    <w:uiPriority w:val="0"/>
    <w:rPr>
      <w:rFonts w:ascii="Times New Roman" w:hAnsi="Times New Roman"/>
      <w:kern w:val="2"/>
      <w:sz w:val="21"/>
      <w:szCs w:val="24"/>
    </w:rPr>
  </w:style>
  <w:style w:type="character" w:customStyle="1" w:styleId="38">
    <w:name w:val="纯文本 字符"/>
    <w:link w:val="15"/>
    <w:qFormat/>
    <w:uiPriority w:val="0"/>
    <w:rPr>
      <w:rFonts w:ascii="宋体" w:hAnsi="Courier New" w:eastAsia="宋体" w:cs="Courier New"/>
      <w:szCs w:val="21"/>
    </w:rPr>
  </w:style>
  <w:style w:type="character" w:customStyle="1" w:styleId="39">
    <w:name w:val="批注文字 字符"/>
    <w:link w:val="10"/>
    <w:qFormat/>
    <w:uiPriority w:val="0"/>
    <w:rPr>
      <w:rFonts w:ascii="Times New Roman" w:hAnsi="Times New Roman"/>
      <w:kern w:val="2"/>
      <w:sz w:val="21"/>
      <w:szCs w:val="24"/>
    </w:rPr>
  </w:style>
  <w:style w:type="character" w:customStyle="1" w:styleId="4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1">
    <w:name w:val="NormalCharacter"/>
    <w:qFormat/>
    <w:uiPriority w:val="0"/>
    <w:rPr>
      <w:rFonts w:hint="default" w:ascii="Calibri" w:hAnsi="Calibri" w:eastAsia="宋体" w:cs="Times New Roman"/>
      <w:kern w:val="2"/>
      <w:sz w:val="21"/>
      <w:szCs w:val="24"/>
      <w:lang w:val="en-US" w:eastAsia="zh-CN" w:bidi="ar-SA"/>
    </w:rPr>
  </w:style>
  <w:style w:type="character" w:customStyle="1" w:styleId="42">
    <w:name w:val="纯文本 字符2"/>
    <w:qFormat/>
    <w:uiPriority w:val="0"/>
    <w:rPr>
      <w:rFonts w:ascii="宋体" w:hAnsi="Courier New" w:eastAsia="宋体" w:cs="Courier New"/>
      <w:szCs w:val="21"/>
    </w:rPr>
  </w:style>
  <w:style w:type="character" w:customStyle="1" w:styleId="43">
    <w:name w:val="页眉 字符"/>
    <w:link w:val="19"/>
    <w:uiPriority w:val="99"/>
    <w:rPr>
      <w:sz w:val="18"/>
      <w:szCs w:val="18"/>
    </w:rPr>
  </w:style>
  <w:style w:type="character" w:customStyle="1" w:styleId="44">
    <w:name w:val="批注主题 字符"/>
    <w:link w:val="24"/>
    <w:uiPriority w:val="99"/>
    <w:rPr>
      <w:rFonts w:ascii="Times New Roman" w:hAnsi="Times New Roman"/>
      <w:b/>
      <w:bCs/>
      <w:kern w:val="2"/>
      <w:sz w:val="21"/>
      <w:szCs w:val="24"/>
    </w:rPr>
  </w:style>
  <w:style w:type="character" w:customStyle="1" w:styleId="45">
    <w:name w:val="批注文字 Char"/>
    <w:uiPriority w:val="0"/>
    <w:rPr>
      <w:rFonts w:ascii="Times New Roman" w:hAnsi="Times New Roman"/>
      <w:kern w:val="2"/>
      <w:sz w:val="21"/>
      <w:szCs w:val="24"/>
    </w:rPr>
  </w:style>
  <w:style w:type="character" w:customStyle="1" w:styleId="46">
    <w:name w:val="正文文本 字符"/>
    <w:link w:val="12"/>
    <w:uiPriority w:val="0"/>
    <w:rPr>
      <w:rFonts w:ascii="Times New Roman" w:hAnsi="Times New Roman"/>
      <w:kern w:val="2"/>
      <w:sz w:val="21"/>
      <w:szCs w:val="24"/>
    </w:rPr>
  </w:style>
  <w:style w:type="character" w:customStyle="1" w:styleId="47">
    <w:name w:val="正文文本缩进 字符"/>
    <w:link w:val="13"/>
    <w:uiPriority w:val="0"/>
    <w:rPr>
      <w:rFonts w:ascii="仿宋_GB2312" w:hAnsi="Times New Roman" w:eastAsia="仿宋_GB2312" w:cs="Times New Roman"/>
      <w:sz w:val="32"/>
      <w:szCs w:val="20"/>
    </w:rPr>
  </w:style>
  <w:style w:type="character" w:customStyle="1" w:styleId="48">
    <w:name w:val="批注文字 字符1"/>
    <w:uiPriority w:val="0"/>
    <w:rPr>
      <w:rFonts w:ascii="Times New Roman" w:hAnsi="Times New Roman"/>
      <w:kern w:val="2"/>
      <w:sz w:val="21"/>
      <w:szCs w:val="24"/>
    </w:rPr>
  </w:style>
  <w:style w:type="character" w:customStyle="1" w:styleId="49">
    <w:name w:val="纯文本 Char"/>
    <w:qFormat/>
    <w:uiPriority w:val="0"/>
    <w:rPr>
      <w:rFonts w:ascii="宋体" w:hAnsi="Courier New" w:eastAsia="宋体" w:cs="Courier New"/>
      <w:szCs w:val="21"/>
    </w:rPr>
  </w:style>
  <w:style w:type="character" w:customStyle="1" w:styleId="50">
    <w:name w:val="apple-style-span"/>
    <w:qFormat/>
    <w:uiPriority w:val="0"/>
  </w:style>
  <w:style w:type="character" w:customStyle="1" w:styleId="51">
    <w:name w:val="正文文本 3 字符"/>
    <w:link w:val="11"/>
    <w:semiHidden/>
    <w:qFormat/>
    <w:uiPriority w:val="99"/>
    <w:rPr>
      <w:kern w:val="2"/>
      <w:sz w:val="16"/>
      <w:szCs w:val="16"/>
    </w:rPr>
  </w:style>
  <w:style w:type="character" w:customStyle="1" w:styleId="52">
    <w:name w:val="纯文本 字符1"/>
    <w:qFormat/>
    <w:uiPriority w:val="0"/>
    <w:rPr>
      <w:rFonts w:ascii="宋体" w:hAnsi="Courier New"/>
    </w:rPr>
  </w:style>
  <w:style w:type="character" w:customStyle="1" w:styleId="53">
    <w:name w:val="标题 8 字符"/>
    <w:link w:val="8"/>
    <w:semiHidden/>
    <w:qFormat/>
    <w:uiPriority w:val="9"/>
    <w:rPr>
      <w:rFonts w:ascii="等线 Light" w:hAnsi="等线 Light" w:eastAsia="等线 Light" w:cs="Times New Roman"/>
      <w:kern w:val="2"/>
      <w:sz w:val="24"/>
      <w:szCs w:val="24"/>
    </w:rPr>
  </w:style>
  <w:style w:type="character" w:customStyle="1" w:styleId="54">
    <w:name w:val="标题 8 Char"/>
    <w:qFormat/>
    <w:uiPriority w:val="0"/>
    <w:rPr>
      <w:rFonts w:ascii="Arial" w:hAnsi="Arial" w:eastAsia="黑体"/>
      <w:kern w:val="2"/>
      <w:sz w:val="24"/>
      <w:szCs w:val="24"/>
    </w:rPr>
  </w:style>
  <w:style w:type="character" w:customStyle="1" w:styleId="55">
    <w:name w:val="日期 字符"/>
    <w:link w:val="16"/>
    <w:semiHidden/>
    <w:qFormat/>
    <w:uiPriority w:val="99"/>
    <w:rPr>
      <w:rFonts w:ascii="Times New Roman" w:hAnsi="Times New Roman"/>
      <w:kern w:val="2"/>
      <w:sz w:val="21"/>
      <w:szCs w:val="24"/>
    </w:rPr>
  </w:style>
  <w:style w:type="character" w:customStyle="1" w:styleId="56">
    <w:name w:val="标题 2 Char"/>
    <w:qFormat/>
    <w:uiPriority w:val="9"/>
    <w:rPr>
      <w:rFonts w:ascii="Cambria" w:hAnsi="Cambria" w:eastAsia="宋体" w:cs="Times New Roman"/>
      <w:b/>
      <w:bCs/>
      <w:kern w:val="2"/>
      <w:sz w:val="32"/>
      <w:szCs w:val="32"/>
    </w:rPr>
  </w:style>
  <w:style w:type="character" w:customStyle="1" w:styleId="57">
    <w:name w:val="标题 2 字符"/>
    <w:link w:val="3"/>
    <w:qFormat/>
    <w:uiPriority w:val="9"/>
    <w:rPr>
      <w:rFonts w:ascii="Cambria" w:hAnsi="Cambria" w:eastAsia="宋体" w:cs="Times New Roman"/>
      <w:b/>
      <w:bCs/>
      <w:kern w:val="2"/>
      <w:sz w:val="32"/>
      <w:szCs w:val="32"/>
    </w:rPr>
  </w:style>
  <w:style w:type="character" w:customStyle="1" w:styleId="58">
    <w:name w:val="font41"/>
    <w:qFormat/>
    <w:uiPriority w:val="0"/>
    <w:rPr>
      <w:rFonts w:hint="eastAsia" w:ascii="宋体" w:hAnsi="宋体" w:eastAsia="宋体" w:cs="宋体"/>
      <w:color w:val="000000"/>
      <w:sz w:val="20"/>
      <w:szCs w:val="20"/>
      <w:u w:val="none"/>
    </w:rPr>
  </w:style>
  <w:style w:type="character" w:customStyle="1" w:styleId="59">
    <w:name w:val="font31"/>
    <w:qFormat/>
    <w:uiPriority w:val="0"/>
    <w:rPr>
      <w:rFonts w:hint="default" w:ascii="Times New Roman" w:hAnsi="Times New Roman" w:cs="Times New Roman"/>
      <w:color w:val="000000"/>
      <w:sz w:val="20"/>
      <w:szCs w:val="20"/>
      <w:u w:val="none"/>
    </w:rPr>
  </w:style>
  <w:style w:type="paragraph" w:styleId="60">
    <w:name w:val="List Paragraph"/>
    <w:basedOn w:val="1"/>
    <w:qFormat/>
    <w:uiPriority w:val="34"/>
    <w:pPr>
      <w:ind w:firstLine="420" w:firstLineChars="200"/>
    </w:p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2">
    <w:name w:val="Normal Indent1"/>
    <w:basedOn w:val="1"/>
    <w:qFormat/>
    <w:uiPriority w:val="0"/>
    <w:pPr>
      <w:spacing w:line="660" w:lineRule="exact"/>
      <w:ind w:firstLine="720"/>
    </w:pPr>
    <w:rPr>
      <w:rFonts w:eastAsia="Cambria Math"/>
      <w:sz w:val="36"/>
      <w:szCs w:val="36"/>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customStyle="1" w:styleId="6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66</Pages>
  <Words>34671</Words>
  <Characters>36294</Characters>
  <Lines>305</Lines>
  <Paragraphs>86</Paragraphs>
  <TotalTime>9</TotalTime>
  <ScaleCrop>false</ScaleCrop>
  <LinksUpToDate>false</LinksUpToDate>
  <CharactersWithSpaces>40751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2023-11-08T02:08:00Z</dcterms:created>
  <dc:creator>唐冰</dc:creator>
  <cp:lastModifiedBy>招标代理</cp:lastModifiedBy>
  <cp:lastPrinted>2024-04-09T11:03:00Z</cp:lastPrinted>
  <dcterms:modified xsi:type="dcterms:W3CDTF">2024-08-07T08:26:28Z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34F027192D394E9BAF7F4795E80066C8_13</vt:lpwstr>
  </property>
</Properties>
</file>