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560" w:lineRule="exact"/>
        <w:textAlignment w:val="auto"/>
        <w:outlineLvl w:val="9"/>
        <w:rPr>
          <w:rFonts w:ascii="黑体" w:eastAsia="黑体" w:cs="方正小标宋简体"/>
          <w:sz w:val="32"/>
          <w:szCs w:val="32"/>
        </w:rPr>
      </w:pPr>
      <w:bookmarkStart w:id="0" w:name="_GoBack"/>
      <w:bookmarkEnd w:id="0"/>
      <w:r>
        <w:rPr>
          <w:rFonts w:hint="eastAsia" w:ascii="黑体" w:eastAsia="黑体" w:cs="方正小标宋简体"/>
          <w:sz w:val="32"/>
          <w:szCs w:val="32"/>
        </w:rPr>
        <w:t>附件</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outlineLvl w:val="9"/>
        <w:rPr>
          <w:rFonts w:ascii="方正小标宋简体" w:eastAsia="方正小标宋简体" w:cs="方正小标宋简体"/>
          <w:sz w:val="44"/>
          <w:szCs w:val="44"/>
        </w:rPr>
      </w:pPr>
      <w:r>
        <w:rPr>
          <w:rFonts w:hint="eastAsia" w:ascii="方正小标宋简体" w:eastAsia="方正小标宋简体" w:cs="方正小标宋简体"/>
          <w:sz w:val="44"/>
          <w:szCs w:val="44"/>
        </w:rPr>
        <w:t>广西壮族自治区</w:t>
      </w:r>
      <w:r>
        <w:rPr>
          <w:rFonts w:hint="eastAsia" w:ascii="方正小标宋简体" w:eastAsia="方正小标宋简体" w:cs="方正小标宋简体"/>
          <w:sz w:val="44"/>
          <w:szCs w:val="44"/>
          <w:lang w:val="en-US" w:eastAsia="zh-CN"/>
        </w:rPr>
        <w:t>2020</w:t>
      </w:r>
      <w:r>
        <w:rPr>
          <w:rFonts w:hint="eastAsia" w:ascii="方正小标宋简体" w:eastAsia="方正小标宋简体" w:cs="方正小标宋简体"/>
          <w:sz w:val="44"/>
          <w:szCs w:val="44"/>
        </w:rPr>
        <w:t>年纠正医药购销领域和医疗服务中不正之风</w:t>
      </w:r>
    </w:p>
    <w:p>
      <w:pPr>
        <w:keepNext w:val="0"/>
        <w:keepLines w:val="0"/>
        <w:pageBreakBefore w:val="0"/>
        <w:widowControl/>
        <w:kinsoku/>
        <w:wordWrap/>
        <w:overflowPunct/>
        <w:topLinePunct w:val="0"/>
        <w:autoSpaceDE/>
        <w:autoSpaceDN/>
        <w:bidi w:val="0"/>
        <w:adjustRightInd w:val="0"/>
        <w:snapToGrid w:val="0"/>
        <w:spacing w:after="181" w:afterLines="50" w:line="600" w:lineRule="exact"/>
        <w:jc w:val="center"/>
        <w:textAlignment w:val="auto"/>
        <w:outlineLvl w:val="9"/>
        <w:rPr>
          <w:rFonts w:ascii="方正小标宋简体" w:eastAsia="方正小标宋简体" w:cs="方正小标宋简体"/>
          <w:sz w:val="44"/>
          <w:szCs w:val="44"/>
        </w:rPr>
      </w:pPr>
      <w:r>
        <w:rPr>
          <w:rFonts w:hint="eastAsia" w:ascii="方正小标宋简体" w:eastAsia="方正小标宋简体" w:cs="方正小标宋简体"/>
          <w:sz w:val="44"/>
          <w:szCs w:val="44"/>
        </w:rPr>
        <w:t>专项治理工作要点任务分工表</w:t>
      </w:r>
    </w:p>
    <w:tbl>
      <w:tblPr>
        <w:tblStyle w:val="6"/>
        <w:tblW w:w="15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180"/>
        <w:gridCol w:w="9460"/>
        <w:gridCol w:w="2557"/>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77"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center"/>
              <w:textAlignment w:val="auto"/>
              <w:outlineLvl w:val="9"/>
              <w:rPr>
                <w:rFonts w:hint="eastAsia" w:ascii="黑体" w:hAnsi="黑体" w:eastAsia="黑体" w:cs="黑体"/>
                <w:b w:val="0"/>
                <w:bCs w:val="0"/>
                <w:sz w:val="24"/>
                <w:szCs w:val="24"/>
              </w:rPr>
            </w:pPr>
            <w:r>
              <w:rPr>
                <w:rFonts w:hint="eastAsia" w:ascii="黑体" w:hAnsi="黑体" w:eastAsia="黑体" w:cs="黑体"/>
                <w:b w:val="0"/>
                <w:bCs w:val="0"/>
                <w:sz w:val="24"/>
                <w:szCs w:val="24"/>
              </w:rPr>
              <w:t>序号</w:t>
            </w:r>
          </w:p>
        </w:tc>
        <w:tc>
          <w:tcPr>
            <w:tcW w:w="10640" w:type="dxa"/>
            <w:gridSpan w:val="2"/>
            <w:vAlign w:val="center"/>
          </w:tcPr>
          <w:p>
            <w:pPr>
              <w:keepNext w:val="0"/>
              <w:keepLines w:val="0"/>
              <w:pageBreakBefore w:val="0"/>
              <w:kinsoku/>
              <w:wordWrap/>
              <w:overflowPunct/>
              <w:topLinePunct w:val="0"/>
              <w:autoSpaceDE/>
              <w:autoSpaceDN/>
              <w:bidi w:val="0"/>
              <w:adjustRightInd w:val="0"/>
              <w:snapToGrid w:val="0"/>
              <w:spacing w:after="0" w:line="360" w:lineRule="exact"/>
              <w:jc w:val="center"/>
              <w:textAlignment w:val="auto"/>
              <w:outlineLvl w:val="9"/>
              <w:rPr>
                <w:rFonts w:hint="eastAsia" w:ascii="黑体" w:hAnsi="黑体" w:eastAsia="黑体" w:cs="黑体"/>
                <w:b w:val="0"/>
                <w:bCs w:val="0"/>
                <w:sz w:val="24"/>
                <w:szCs w:val="24"/>
              </w:rPr>
            </w:pPr>
            <w:r>
              <w:rPr>
                <w:rFonts w:hint="eastAsia" w:ascii="黑体" w:hAnsi="黑体" w:eastAsia="黑体" w:cs="黑体"/>
                <w:b w:val="0"/>
                <w:bCs w:val="0"/>
                <w:sz w:val="24"/>
                <w:szCs w:val="24"/>
              </w:rPr>
              <w:t>重点任务</w:t>
            </w:r>
          </w:p>
        </w:tc>
        <w:tc>
          <w:tcPr>
            <w:tcW w:w="2557"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center"/>
              <w:textAlignment w:val="auto"/>
              <w:outlineLvl w:val="9"/>
              <w:rPr>
                <w:rFonts w:hint="eastAsia" w:ascii="黑体" w:hAnsi="黑体" w:eastAsia="黑体" w:cs="黑体"/>
                <w:b w:val="0"/>
                <w:bCs w:val="0"/>
                <w:sz w:val="24"/>
                <w:szCs w:val="24"/>
              </w:rPr>
            </w:pPr>
            <w:r>
              <w:rPr>
                <w:rFonts w:hint="eastAsia" w:ascii="黑体" w:hAnsi="黑体" w:eastAsia="黑体" w:cs="黑体"/>
                <w:b w:val="0"/>
                <w:bCs w:val="0"/>
                <w:sz w:val="24"/>
                <w:szCs w:val="24"/>
              </w:rPr>
              <w:t>责任单位</w:t>
            </w:r>
          </w:p>
        </w:tc>
        <w:tc>
          <w:tcPr>
            <w:tcW w:w="1440"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center"/>
              <w:textAlignment w:val="auto"/>
              <w:outlineLvl w:val="9"/>
              <w:rPr>
                <w:rFonts w:hint="eastAsia" w:ascii="黑体" w:hAnsi="黑体" w:eastAsia="黑体" w:cs="黑体"/>
                <w:b w:val="0"/>
                <w:bCs w:val="0"/>
                <w:spacing w:val="-20"/>
                <w:sz w:val="24"/>
                <w:szCs w:val="24"/>
              </w:rPr>
            </w:pPr>
            <w:r>
              <w:rPr>
                <w:rFonts w:hint="eastAsia" w:ascii="黑体" w:hAnsi="黑体" w:eastAsia="黑体" w:cs="黑体"/>
                <w:b w:val="0"/>
                <w:bCs w:val="0"/>
                <w:spacing w:val="-20"/>
                <w:sz w:val="24"/>
                <w:szCs w:val="24"/>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7"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1</w:t>
            </w:r>
          </w:p>
        </w:tc>
        <w:tc>
          <w:tcPr>
            <w:tcW w:w="1180" w:type="dxa"/>
            <w:vMerge w:val="restart"/>
            <w:vAlign w:val="center"/>
          </w:tcPr>
          <w:p>
            <w:pPr>
              <w:keepNext w:val="0"/>
              <w:keepLines w:val="0"/>
              <w:pageBreakBefore w:val="0"/>
              <w:kinsoku/>
              <w:wordWrap/>
              <w:overflowPunct/>
              <w:topLinePunct w:val="0"/>
              <w:autoSpaceDE/>
              <w:autoSpaceDN/>
              <w:bidi w:val="0"/>
              <w:adjustRightInd w:val="0"/>
              <w:snapToGrid w:val="0"/>
              <w:spacing w:after="0" w:line="360" w:lineRule="exact"/>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加强党对纠风工作的全面</w:t>
            </w:r>
          </w:p>
          <w:p>
            <w:pPr>
              <w:keepNext w:val="0"/>
              <w:keepLines w:val="0"/>
              <w:pageBreakBefore w:val="0"/>
              <w:kinsoku/>
              <w:wordWrap/>
              <w:overflowPunct/>
              <w:topLinePunct w:val="0"/>
              <w:autoSpaceDE/>
              <w:autoSpaceDN/>
              <w:bidi w:val="0"/>
              <w:adjustRightInd w:val="0"/>
              <w:snapToGrid w:val="0"/>
              <w:spacing w:after="0" w:line="360" w:lineRule="exact"/>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领导</w:t>
            </w:r>
          </w:p>
        </w:tc>
        <w:tc>
          <w:tcPr>
            <w:tcW w:w="9460" w:type="dxa"/>
            <w:vAlign w:val="center"/>
          </w:tcPr>
          <w:p>
            <w:pPr>
              <w:keepNext w:val="0"/>
              <w:keepLines w:val="0"/>
              <w:pageBreakBefore w:val="0"/>
              <w:widowControl w:val="0"/>
              <w:tabs>
                <w:tab w:val="left" w:pos="7938"/>
                <w:tab w:val="left" w:pos="8080"/>
              </w:tabs>
              <w:kinsoku/>
              <w:wordWrap/>
              <w:overflowPunct/>
              <w:topLinePunct w:val="0"/>
              <w:autoSpaceDE/>
              <w:autoSpaceDN/>
              <w:bidi w:val="0"/>
              <w:adjustRightInd w:val="0"/>
              <w:snapToGrid w:val="0"/>
              <w:spacing w:after="0" w:line="360" w:lineRule="exact"/>
              <w:ind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坚持党对纠风工作的全面领导，加强医疗战线党的建设。大力加强医疗战线思想政治建设和党的组织建设，将习近平新时代中国特色社会主义思想、党的十九大精神、“健康中国2030”规划纲要纳入住院医师培养和医疗机构各级各类领导岗位入职前行风教育内容。将党建与业务相结合，将“九不准”和纠建并举的行风要求融入医院管理。充分发挥党支部的战斗堡垒作用和党员先锋模范作用，按规定及时完善党的各级组织，积极吸纳，发展优秀医务人员成为党员，把广大医务人员凝聚在党的周围。</w:t>
            </w:r>
          </w:p>
        </w:tc>
        <w:tc>
          <w:tcPr>
            <w:tcW w:w="2557"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机制成员单位</w:t>
            </w:r>
          </w:p>
        </w:tc>
        <w:tc>
          <w:tcPr>
            <w:tcW w:w="1440"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lang w:val="en-US" w:eastAsia="zh-CN"/>
              </w:rPr>
              <w:t>12</w:t>
            </w:r>
            <w:r>
              <w:rPr>
                <w:rFonts w:hint="eastAsia" w:ascii="仿宋_GB2312" w:hAnsi="仿宋_GB2312" w:eastAsia="仿宋_GB2312" w:cs="仿宋_GB2312"/>
                <w:bCs/>
                <w:sz w:val="24"/>
                <w:szCs w:val="24"/>
              </w:rPr>
              <w:t>月前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777"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2</w:t>
            </w:r>
          </w:p>
        </w:tc>
        <w:tc>
          <w:tcPr>
            <w:tcW w:w="1180"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outlineLvl w:val="9"/>
              <w:rPr>
                <w:rFonts w:hint="eastAsia" w:ascii="仿宋_GB2312" w:hAnsi="仿宋_GB2312" w:eastAsia="仿宋_GB2312" w:cs="仿宋_GB2312"/>
                <w:sz w:val="24"/>
                <w:szCs w:val="24"/>
              </w:rPr>
            </w:pPr>
          </w:p>
        </w:tc>
        <w:tc>
          <w:tcPr>
            <w:tcW w:w="9460" w:type="dxa"/>
            <w:vAlign w:val="center"/>
          </w:tcPr>
          <w:p>
            <w:pPr>
              <w:keepNext w:val="0"/>
              <w:keepLines w:val="0"/>
              <w:pageBreakBefore w:val="0"/>
              <w:kinsoku/>
              <w:wordWrap/>
              <w:overflowPunct/>
              <w:topLinePunct w:val="0"/>
              <w:autoSpaceDE/>
              <w:autoSpaceDN/>
              <w:bidi w:val="0"/>
              <w:adjustRightInd w:val="0"/>
              <w:snapToGrid w:val="0"/>
              <w:spacing w:after="0" w:line="360" w:lineRule="exac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坚持“一岗双责”，落实纠风工作主体责任。各级各类医疗机构党委要履行全面从严治党主体责任，坚持“一岗双责”，落实“管行业必须管行风”，围绕年度工作要点进行专题部署，推动工作落实。医院纪委要全面履行监督执纪问责职责，切实承担行风问题查处和领导干部责任追究职责，升级完善行业“九不准”，配套完善相关政策措施，保证“九不准”高压线时时通电。要建立内部监控机制，梳理行风和廉政风险防控点。</w:t>
            </w:r>
          </w:p>
        </w:tc>
        <w:tc>
          <w:tcPr>
            <w:tcW w:w="2557"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自治区卫生健康委、</w:t>
            </w:r>
          </w:p>
          <w:p>
            <w:pPr>
              <w:keepNext w:val="0"/>
              <w:keepLines w:val="0"/>
              <w:pageBreakBefore w:val="0"/>
              <w:kinsoku/>
              <w:wordWrap/>
              <w:overflowPunct/>
              <w:topLinePunct w:val="0"/>
              <w:autoSpaceDE/>
              <w:autoSpaceDN/>
              <w:bidi w:val="0"/>
              <w:adjustRightInd w:val="0"/>
              <w:snapToGrid w:val="0"/>
              <w:spacing w:after="0" w:line="360" w:lineRule="exact"/>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自治区中医药局</w:t>
            </w:r>
          </w:p>
        </w:tc>
        <w:tc>
          <w:tcPr>
            <w:tcW w:w="1440"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12月前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777"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3</w:t>
            </w:r>
          </w:p>
        </w:tc>
        <w:tc>
          <w:tcPr>
            <w:tcW w:w="1180"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outlineLvl w:val="9"/>
              <w:rPr>
                <w:rFonts w:hint="eastAsia" w:ascii="仿宋_GB2312" w:hAnsi="仿宋_GB2312" w:eastAsia="仿宋_GB2312" w:cs="仿宋_GB2312"/>
                <w:sz w:val="24"/>
                <w:szCs w:val="24"/>
              </w:rPr>
            </w:pPr>
          </w:p>
        </w:tc>
        <w:tc>
          <w:tcPr>
            <w:tcW w:w="9460" w:type="dxa"/>
            <w:vAlign w:val="center"/>
          </w:tcPr>
          <w:p>
            <w:pPr>
              <w:keepNext w:val="0"/>
              <w:keepLines w:val="0"/>
              <w:pageBreakBefore w:val="0"/>
              <w:kinsoku/>
              <w:wordWrap/>
              <w:overflowPunct/>
              <w:topLinePunct w:val="0"/>
              <w:autoSpaceDE/>
              <w:autoSpaceDN/>
              <w:bidi w:val="0"/>
              <w:adjustRightInd w:val="0"/>
              <w:snapToGrid w:val="0"/>
              <w:spacing w:after="0" w:line="360" w:lineRule="exac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弘扬行业新风正气，营造尊医重卫社会氛围。大力弘扬，总结推广行风建设优秀成果，组织开展行业先进典范评选、表扬和宣传，塑造全社会认可的卫生健康行风品牌。新冠肺炎疫情发生以来，广大医务工作者义无反顾冲在疫情防控第一线，生动诠释了“敬佑生命、救死扶伤、甘于奉献、大爱无疆”的新时期崇高职业精神，涌现出以梁小霞同志为代表的一大批感人肺腑、催人奋进的先进典型事迹，要大力宣传抗疫精神和医务人员先进事迹，发挥典型示范和引领作用，营造尊医重卫的社会氛围。</w:t>
            </w:r>
          </w:p>
        </w:tc>
        <w:tc>
          <w:tcPr>
            <w:tcW w:w="2557"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自治区卫生健康委、</w:t>
            </w:r>
          </w:p>
          <w:p>
            <w:pPr>
              <w:keepNext w:val="0"/>
              <w:keepLines w:val="0"/>
              <w:pageBreakBefore w:val="0"/>
              <w:kinsoku/>
              <w:wordWrap/>
              <w:overflowPunct/>
              <w:topLinePunct w:val="0"/>
              <w:autoSpaceDE/>
              <w:autoSpaceDN/>
              <w:bidi w:val="0"/>
              <w:adjustRightInd w:val="0"/>
              <w:snapToGrid w:val="0"/>
              <w:spacing w:after="0" w:line="360" w:lineRule="exact"/>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自治区中医药局</w:t>
            </w:r>
          </w:p>
        </w:tc>
        <w:tc>
          <w:tcPr>
            <w:tcW w:w="1440"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center"/>
              <w:textAlignment w:val="auto"/>
              <w:outlineLvl w:val="9"/>
              <w:rPr>
                <w:rFonts w:hint="eastAsia" w:ascii="仿宋_GB2312" w:hAnsi="仿宋_GB2312" w:eastAsia="仿宋_GB2312" w:cs="仿宋_GB2312"/>
                <w:spacing w:val="-10"/>
                <w:sz w:val="24"/>
                <w:szCs w:val="24"/>
              </w:rPr>
            </w:pPr>
            <w:r>
              <w:rPr>
                <w:rFonts w:hint="eastAsia" w:ascii="仿宋_GB2312" w:hAnsi="仿宋_GB2312" w:eastAsia="仿宋_GB2312" w:cs="仿宋_GB2312"/>
                <w:spacing w:val="-10"/>
                <w:sz w:val="24"/>
                <w:szCs w:val="24"/>
              </w:rPr>
              <w:t>12月前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jc w:val="center"/>
        </w:trPr>
        <w:tc>
          <w:tcPr>
            <w:tcW w:w="777"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4</w:t>
            </w:r>
          </w:p>
        </w:tc>
        <w:tc>
          <w:tcPr>
            <w:tcW w:w="1180" w:type="dxa"/>
            <w:vMerge w:val="restart"/>
            <w:vAlign w:val="center"/>
          </w:tcPr>
          <w:p>
            <w:pPr>
              <w:keepNext w:val="0"/>
              <w:keepLines w:val="0"/>
              <w:pageBreakBefore w:val="0"/>
              <w:kinsoku/>
              <w:wordWrap/>
              <w:overflowPunct/>
              <w:topLinePunct w:val="0"/>
              <w:autoSpaceDE/>
              <w:autoSpaceDN/>
              <w:bidi w:val="0"/>
              <w:adjustRightInd w:val="0"/>
              <w:snapToGrid w:val="0"/>
              <w:spacing w:after="0" w:line="360" w:lineRule="exact"/>
              <w:jc w:val="center"/>
              <w:textAlignment w:val="auto"/>
              <w:outlineLvl w:val="9"/>
              <w:rPr>
                <w:rFonts w:hint="eastAsia" w:ascii="仿宋_GB2312" w:hAnsi="仿宋_GB2312" w:eastAsia="仿宋_GB2312" w:cs="仿宋_GB2312"/>
                <w:spacing w:val="-20"/>
                <w:sz w:val="24"/>
                <w:szCs w:val="24"/>
              </w:rPr>
            </w:pPr>
            <w:r>
              <w:rPr>
                <w:rFonts w:hint="eastAsia" w:ascii="仿宋_GB2312" w:hAnsi="仿宋_GB2312" w:eastAsia="仿宋_GB2312" w:cs="仿宋_GB2312"/>
                <w:b/>
                <w:bCs/>
                <w:spacing w:val="-20"/>
                <w:sz w:val="24"/>
                <w:szCs w:val="24"/>
              </w:rPr>
              <w:t>严厉打击欺诈骗取医保基金行为</w:t>
            </w:r>
          </w:p>
        </w:tc>
        <w:tc>
          <w:tcPr>
            <w:tcW w:w="9460" w:type="dxa"/>
            <w:vAlign w:val="center"/>
          </w:tcPr>
          <w:p>
            <w:pPr>
              <w:keepNext w:val="0"/>
              <w:keepLines w:val="0"/>
              <w:pageBreakBefore w:val="0"/>
              <w:kinsoku/>
              <w:wordWrap/>
              <w:overflowPunct/>
              <w:topLinePunct w:val="0"/>
              <w:autoSpaceDE/>
              <w:autoSpaceDN/>
              <w:bidi w:val="0"/>
              <w:adjustRightInd w:val="0"/>
              <w:snapToGrid w:val="0"/>
              <w:spacing w:after="0" w:line="360" w:lineRule="exac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展违规使用医保基金自查自纠整改活动。组织各级各类医保定点医疗机构开展保障医保基金安全自查自纠专项活动，对照医保基金管理要求，全面纠正不规范使用医保基金行为。对违规使用资金的情况要立行立改，完善内控措施。对自查自纠后仍出现问题的医疗机构严肃追责。</w:t>
            </w:r>
          </w:p>
        </w:tc>
        <w:tc>
          <w:tcPr>
            <w:tcW w:w="2557"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自治区医保局牵头，自治区卫生健康委、自治区中医药局根据职责分工配合</w:t>
            </w:r>
          </w:p>
        </w:tc>
        <w:tc>
          <w:tcPr>
            <w:tcW w:w="1440"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12月前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jc w:val="center"/>
        </w:trPr>
        <w:tc>
          <w:tcPr>
            <w:tcW w:w="777"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5</w:t>
            </w:r>
          </w:p>
        </w:tc>
        <w:tc>
          <w:tcPr>
            <w:tcW w:w="1180"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outlineLvl w:val="9"/>
              <w:rPr>
                <w:rFonts w:hint="eastAsia" w:ascii="仿宋_GB2312" w:hAnsi="仿宋_GB2312" w:eastAsia="仿宋_GB2312" w:cs="仿宋_GB2312"/>
                <w:sz w:val="24"/>
                <w:szCs w:val="24"/>
              </w:rPr>
            </w:pPr>
          </w:p>
        </w:tc>
        <w:tc>
          <w:tcPr>
            <w:tcW w:w="9460" w:type="dxa"/>
            <w:vAlign w:val="center"/>
          </w:tcPr>
          <w:p>
            <w:pPr>
              <w:keepNext w:val="0"/>
              <w:keepLines w:val="0"/>
              <w:pageBreakBefore w:val="0"/>
              <w:kinsoku/>
              <w:wordWrap/>
              <w:overflowPunct/>
              <w:topLinePunct w:val="0"/>
              <w:autoSpaceDE/>
              <w:autoSpaceDN/>
              <w:bidi w:val="0"/>
              <w:adjustRightInd w:val="0"/>
              <w:snapToGrid w:val="0"/>
              <w:spacing w:after="0" w:line="360" w:lineRule="exac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严厉打击欺诈骗取医保基金行为。突出重点，强化监管举措，开展专项整治行动，形成打击欺诈骗保的高压态势。精准施策，分类处置违规使用医保基金行为。公立医疗机构应当着重纠正超医保支付政策范围、无指征诊疗、高套病种、对临床药物试验项目纳入医保重复报销等行为；非公立医疗机构要着重处置虚假结算、人证不符、诱导住院、无指征住院等行为。对恶意骗取医保基金的机构依法依规严肃查处，解除医保服务资格。对违规违纪案件，要一案双查，追究违纪人员党纪政纪责任的同时，还要查清单位领导班子和领导干部应承担的责任，涉嫌犯罪的，移送司法机关。</w:t>
            </w:r>
          </w:p>
        </w:tc>
        <w:tc>
          <w:tcPr>
            <w:tcW w:w="2557"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自治区医保局牵头，自治区卫生健康委、公安厅、自治区中医药局配合</w:t>
            </w:r>
          </w:p>
        </w:tc>
        <w:tc>
          <w:tcPr>
            <w:tcW w:w="1440"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12月前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jc w:val="center"/>
        </w:trPr>
        <w:tc>
          <w:tcPr>
            <w:tcW w:w="777"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6</w:t>
            </w:r>
          </w:p>
        </w:tc>
        <w:tc>
          <w:tcPr>
            <w:tcW w:w="1180"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outlineLvl w:val="9"/>
              <w:rPr>
                <w:rFonts w:hint="eastAsia" w:ascii="仿宋_GB2312" w:hAnsi="仿宋_GB2312" w:eastAsia="仿宋_GB2312" w:cs="仿宋_GB2312"/>
                <w:sz w:val="24"/>
                <w:szCs w:val="24"/>
              </w:rPr>
            </w:pPr>
          </w:p>
        </w:tc>
        <w:tc>
          <w:tcPr>
            <w:tcW w:w="9460" w:type="dxa"/>
            <w:vAlign w:val="center"/>
          </w:tcPr>
          <w:p>
            <w:pPr>
              <w:keepNext w:val="0"/>
              <w:keepLines w:val="0"/>
              <w:pageBreakBefore w:val="0"/>
              <w:kinsoku/>
              <w:wordWrap/>
              <w:overflowPunct/>
              <w:topLinePunct w:val="0"/>
              <w:autoSpaceDE/>
              <w:autoSpaceDN/>
              <w:bidi w:val="0"/>
              <w:adjustRightInd w:val="0"/>
              <w:snapToGrid w:val="0"/>
              <w:spacing w:after="0" w:line="360" w:lineRule="exac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建立健全医保基金安全长效机制。医保基金的监管和使用工作是一项复杂的系统工程，各级各相关部门要保持信息互通共享，及时移交相关线索，落实医保基金相关政策法规，建立健全长效机制。</w:t>
            </w:r>
          </w:p>
        </w:tc>
        <w:tc>
          <w:tcPr>
            <w:tcW w:w="2557"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自治区医保局牵头，自治区卫生健康委、公安厅、自治区市场监管局、财政厅、自治区中医药局配合</w:t>
            </w:r>
          </w:p>
        </w:tc>
        <w:tc>
          <w:tcPr>
            <w:tcW w:w="1440"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12月前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0" w:hRule="atLeast"/>
          <w:jc w:val="center"/>
        </w:trPr>
        <w:tc>
          <w:tcPr>
            <w:tcW w:w="777"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7</w:t>
            </w:r>
          </w:p>
        </w:tc>
        <w:tc>
          <w:tcPr>
            <w:tcW w:w="1180" w:type="dxa"/>
            <w:vMerge w:val="restart"/>
            <w:vAlign w:val="center"/>
          </w:tcPr>
          <w:p>
            <w:pPr>
              <w:keepNext w:val="0"/>
              <w:keepLines w:val="0"/>
              <w:pageBreakBefore w:val="0"/>
              <w:kinsoku/>
              <w:wordWrap/>
              <w:overflowPunct/>
              <w:topLinePunct w:val="0"/>
              <w:autoSpaceDE/>
              <w:autoSpaceDN/>
              <w:bidi w:val="0"/>
              <w:adjustRightInd w:val="0"/>
              <w:snapToGrid w:val="0"/>
              <w:spacing w:after="0" w:line="3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巩固医药流通领域改革成效</w:t>
            </w:r>
          </w:p>
        </w:tc>
        <w:tc>
          <w:tcPr>
            <w:tcW w:w="9460"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exact"/>
              <w:textAlignment w:val="auto"/>
              <w:outlineLvl w:val="9"/>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加强医药生产流通管理。继续推进药品流通行业发展规划落实，建立完善安全生产责任体系。鼓励我区药品生产经营企业技术进步和升级改造，完善短缺药品清单管理制度和分级应对机制，多渠道、多方式保障基本药物供应。杜绝公立医院外包、出租或托管药房。加大对药品耗材生产经营单位、医疗机构发票开具、使用等情况的检查处理，严查虚开发票、偷逃税等违法行为。</w:t>
            </w:r>
          </w:p>
        </w:tc>
        <w:tc>
          <w:tcPr>
            <w:tcW w:w="2557"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both"/>
              <w:textAlignment w:val="auto"/>
              <w:outlineLvl w:val="9"/>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工业和信息化厅、商务厅、</w:t>
            </w:r>
            <w:r>
              <w:rPr>
                <w:rFonts w:hint="eastAsia" w:ascii="仿宋_GB2312" w:hAnsi="仿宋_GB2312" w:eastAsia="仿宋_GB2312" w:cs="仿宋_GB2312"/>
                <w:spacing w:val="-6"/>
                <w:sz w:val="24"/>
                <w:szCs w:val="24"/>
                <w:lang w:eastAsia="zh-CN"/>
              </w:rPr>
              <w:t>广西</w:t>
            </w:r>
            <w:r>
              <w:rPr>
                <w:rFonts w:hint="eastAsia" w:ascii="仿宋_GB2312" w:hAnsi="仿宋_GB2312" w:eastAsia="仿宋_GB2312" w:cs="仿宋_GB2312"/>
                <w:spacing w:val="-6"/>
                <w:sz w:val="24"/>
                <w:szCs w:val="24"/>
              </w:rPr>
              <w:t>税务局、公安厅、自治区卫生健康委、自治区市场监管局、自治区中医药局</w:t>
            </w:r>
            <w:r>
              <w:rPr>
                <w:rFonts w:hint="eastAsia" w:ascii="仿宋_GB2312" w:hAnsi="仿宋_GB2312" w:eastAsia="仿宋_GB2312" w:cs="仿宋_GB2312"/>
                <w:spacing w:val="-6"/>
                <w:sz w:val="24"/>
                <w:szCs w:val="24"/>
                <w:lang w:eastAsia="zh-CN"/>
              </w:rPr>
              <w:t>、自治区药监局</w:t>
            </w:r>
            <w:r>
              <w:rPr>
                <w:rFonts w:hint="eastAsia" w:ascii="仿宋_GB2312" w:hAnsi="仿宋_GB2312" w:eastAsia="仿宋_GB2312" w:cs="仿宋_GB2312"/>
                <w:spacing w:val="-6"/>
                <w:sz w:val="24"/>
                <w:szCs w:val="24"/>
              </w:rPr>
              <w:t>按职责分别牵头负责</w:t>
            </w:r>
          </w:p>
        </w:tc>
        <w:tc>
          <w:tcPr>
            <w:tcW w:w="1440"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11月前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777"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8</w:t>
            </w:r>
          </w:p>
        </w:tc>
        <w:tc>
          <w:tcPr>
            <w:tcW w:w="118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after="0" w:line="360" w:lineRule="exact"/>
              <w:jc w:val="center"/>
              <w:textAlignment w:val="auto"/>
              <w:outlineLvl w:val="9"/>
              <w:rPr>
                <w:rFonts w:hint="eastAsia" w:ascii="仿宋_GB2312" w:hAnsi="仿宋_GB2312" w:eastAsia="仿宋_GB2312" w:cs="仿宋_GB2312"/>
                <w:b/>
                <w:bCs/>
                <w:sz w:val="24"/>
                <w:szCs w:val="24"/>
              </w:rPr>
            </w:pPr>
          </w:p>
        </w:tc>
        <w:tc>
          <w:tcPr>
            <w:tcW w:w="9460" w:type="dxa"/>
            <w:vAlign w:val="center"/>
          </w:tcPr>
          <w:p>
            <w:pPr>
              <w:keepNext w:val="0"/>
              <w:keepLines w:val="0"/>
              <w:pageBreakBefore w:val="0"/>
              <w:kinsoku/>
              <w:wordWrap/>
              <w:overflowPunct/>
              <w:topLinePunct w:val="0"/>
              <w:autoSpaceDE/>
              <w:autoSpaceDN/>
              <w:bidi w:val="0"/>
              <w:adjustRightInd w:val="0"/>
              <w:snapToGrid w:val="0"/>
              <w:spacing w:after="0" w:line="360" w:lineRule="exac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打击重点领域违法行为。严厉打击医药企业虚构费用套现以支付非法营销费用的违法行为。聚焦医药购销、医疗服务和“保健”市场等重点领域，加强反不正当竞争和广告监管执法，严厉打击商业贿赂等违法犯罪，维护行业秩序。</w:t>
            </w:r>
          </w:p>
        </w:tc>
        <w:tc>
          <w:tcPr>
            <w:tcW w:w="2557"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自治区市场监管局牵头，自治区卫生健康委、公安厅配合</w:t>
            </w:r>
          </w:p>
        </w:tc>
        <w:tc>
          <w:tcPr>
            <w:tcW w:w="1440"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10月前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777"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9</w:t>
            </w:r>
          </w:p>
        </w:tc>
        <w:tc>
          <w:tcPr>
            <w:tcW w:w="1180" w:type="dxa"/>
            <w:vMerge w:val="continue"/>
            <w:vAlign w:val="center"/>
          </w:tcPr>
          <w:p>
            <w:pPr>
              <w:keepNext w:val="0"/>
              <w:keepLines w:val="0"/>
              <w:pageBreakBefore w:val="0"/>
              <w:kinsoku/>
              <w:wordWrap/>
              <w:overflowPunct/>
              <w:topLinePunct w:val="0"/>
              <w:autoSpaceDE/>
              <w:autoSpaceDN/>
              <w:bidi w:val="0"/>
              <w:adjustRightInd w:val="0"/>
              <w:snapToGrid w:val="0"/>
              <w:spacing w:after="0" w:line="360" w:lineRule="exact"/>
              <w:jc w:val="center"/>
              <w:textAlignment w:val="auto"/>
              <w:outlineLvl w:val="9"/>
              <w:rPr>
                <w:rFonts w:hint="eastAsia" w:ascii="仿宋_GB2312" w:hAnsi="仿宋_GB2312" w:eastAsia="仿宋_GB2312" w:cs="仿宋_GB2312"/>
                <w:sz w:val="24"/>
                <w:szCs w:val="24"/>
              </w:rPr>
            </w:pPr>
          </w:p>
        </w:tc>
        <w:tc>
          <w:tcPr>
            <w:tcW w:w="9460" w:type="dxa"/>
            <w:vAlign w:val="center"/>
          </w:tcPr>
          <w:p>
            <w:pPr>
              <w:keepNext w:val="0"/>
              <w:keepLines w:val="0"/>
              <w:pageBreakBefore w:val="0"/>
              <w:kinsoku/>
              <w:wordWrap/>
              <w:overflowPunct/>
              <w:topLinePunct w:val="0"/>
              <w:autoSpaceDE/>
              <w:autoSpaceDN/>
              <w:bidi w:val="0"/>
              <w:adjustRightInd w:val="0"/>
              <w:snapToGrid w:val="0"/>
              <w:spacing w:after="0" w:line="360" w:lineRule="exac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推进医药购销体系改革。深入推进药品耗材集中带量采购和保供稳价工作。逐步推广药品集中采购和使用试点（“4+7”试点）工作经验。推动各地开展非过评药品带量采购和高值医用耗材带量采购试点。完善医保支付与招标采购价格联动机制。完善疫苗集中采购机制。</w:t>
            </w:r>
          </w:p>
        </w:tc>
        <w:tc>
          <w:tcPr>
            <w:tcW w:w="2557"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自治区医保局、自治区卫生健康委、自治区中医药局按职责分工分别牵头负责</w:t>
            </w:r>
          </w:p>
        </w:tc>
        <w:tc>
          <w:tcPr>
            <w:tcW w:w="1440"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长期工作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jc w:val="center"/>
        </w:trPr>
        <w:tc>
          <w:tcPr>
            <w:tcW w:w="777"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10</w:t>
            </w:r>
          </w:p>
        </w:tc>
        <w:tc>
          <w:tcPr>
            <w:tcW w:w="1180"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outlineLvl w:val="9"/>
              <w:rPr>
                <w:rFonts w:hint="eastAsia" w:ascii="仿宋_GB2312" w:hAnsi="仿宋_GB2312" w:eastAsia="仿宋_GB2312" w:cs="仿宋_GB2312"/>
                <w:sz w:val="24"/>
                <w:szCs w:val="24"/>
              </w:rPr>
            </w:pPr>
          </w:p>
        </w:tc>
        <w:tc>
          <w:tcPr>
            <w:tcW w:w="9460" w:type="dxa"/>
            <w:vAlign w:val="center"/>
          </w:tcPr>
          <w:p>
            <w:pPr>
              <w:keepNext w:val="0"/>
              <w:keepLines w:val="0"/>
              <w:pageBreakBefore w:val="0"/>
              <w:kinsoku/>
              <w:wordWrap/>
              <w:overflowPunct/>
              <w:topLinePunct w:val="0"/>
              <w:autoSpaceDE/>
              <w:autoSpaceDN/>
              <w:bidi w:val="0"/>
              <w:adjustRightInd w:val="0"/>
              <w:snapToGrid w:val="0"/>
              <w:spacing w:after="0" w:line="360" w:lineRule="exac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范医商合作交往途径。严格规范医学协(学)会、医疗机构、医务人员与医药相关企业间的学术会议、科研协作、学术支持、捐赠资助行为，医务人员不得参与未经医疗机构批准同意的学术推广等活动。严厉打击假借学术会议、科研协作、学术支持、捐赠资助进行利益输送的不当行为。允许在合规、合法的前提下，开展医商交往行为，建立健全双方交往合作的事前公示、事中监管、事后备案的全流程管理制度。</w:t>
            </w:r>
          </w:p>
        </w:tc>
        <w:tc>
          <w:tcPr>
            <w:tcW w:w="2557"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自治区卫生健康委牵头负责，各成员单位按照职责分工配合</w:t>
            </w:r>
          </w:p>
        </w:tc>
        <w:tc>
          <w:tcPr>
            <w:tcW w:w="1440"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12月前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0" w:hRule="atLeast"/>
          <w:jc w:val="center"/>
        </w:trPr>
        <w:tc>
          <w:tcPr>
            <w:tcW w:w="777"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11</w:t>
            </w:r>
          </w:p>
        </w:tc>
        <w:tc>
          <w:tcPr>
            <w:tcW w:w="118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after="0" w:line="360" w:lineRule="exact"/>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深入清理群众身边的医疗行业乱象</w:t>
            </w:r>
          </w:p>
        </w:tc>
        <w:tc>
          <w:tcPr>
            <w:tcW w:w="9460" w:type="dxa"/>
            <w:vAlign w:val="center"/>
          </w:tcPr>
          <w:p>
            <w:pPr>
              <w:keepNext w:val="0"/>
              <w:keepLines w:val="0"/>
              <w:pageBreakBefore w:val="0"/>
              <w:kinsoku/>
              <w:wordWrap/>
              <w:overflowPunct/>
              <w:topLinePunct w:val="0"/>
              <w:autoSpaceDE/>
              <w:autoSpaceDN/>
              <w:bidi w:val="0"/>
              <w:adjustRightInd w:val="0"/>
              <w:snapToGrid w:val="0"/>
              <w:spacing w:after="0" w:line="360" w:lineRule="exac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切实加强对医疗行为的监管，严厉打击各类违法违规执业行为。严格落实依法依规执业和医疗技术临床应用相关管理制度，严厉打击治疗过程中随意增加项目、违规开展禁止类和限制类技术临床应用、超出登记范围执业、以医疗名义向患者推销产品、使用“医托”或发布虚假广告、夸大宣传诱导患者就医、编造疾病欺骗群众就医、诱使群众接受虚假医疗检查或手术等行为。加大部门间联合执法强度，重点检查和整治“保健”、健康体检、医疗美容、生殖（不孕不育）、泌尿、皮肤（性传播疾病）、妇产、肿瘤、精神、眼科等社会办医活跃、出现问题较多、群众反映强烈的领域。</w:t>
            </w:r>
          </w:p>
        </w:tc>
        <w:tc>
          <w:tcPr>
            <w:tcW w:w="2557"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both"/>
              <w:textAlignment w:val="auto"/>
              <w:outlineLvl w:val="9"/>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自治区卫生健康委、自治区中医药局、自治区市场监管局按照职责分工分别牵头</w:t>
            </w:r>
          </w:p>
        </w:tc>
        <w:tc>
          <w:tcPr>
            <w:tcW w:w="1440"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12月前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777"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12</w:t>
            </w:r>
          </w:p>
        </w:tc>
        <w:tc>
          <w:tcPr>
            <w:tcW w:w="118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outlineLvl w:val="9"/>
              <w:rPr>
                <w:rFonts w:hint="eastAsia" w:ascii="仿宋_GB2312" w:hAnsi="仿宋_GB2312" w:eastAsia="仿宋_GB2312" w:cs="仿宋_GB2312"/>
                <w:sz w:val="24"/>
                <w:szCs w:val="24"/>
              </w:rPr>
            </w:pPr>
          </w:p>
        </w:tc>
        <w:tc>
          <w:tcPr>
            <w:tcW w:w="9460" w:type="dxa"/>
            <w:vAlign w:val="center"/>
          </w:tcPr>
          <w:p>
            <w:pPr>
              <w:keepNext w:val="0"/>
              <w:keepLines w:val="0"/>
              <w:pageBreakBefore w:val="0"/>
              <w:kinsoku/>
              <w:wordWrap/>
              <w:overflowPunct/>
              <w:topLinePunct w:val="0"/>
              <w:autoSpaceDE/>
              <w:autoSpaceDN/>
              <w:bidi w:val="0"/>
              <w:adjustRightInd w:val="0"/>
              <w:snapToGrid w:val="0"/>
              <w:spacing w:after="0" w:line="360" w:lineRule="exac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坚决惩处患者身边“微腐败”，严肃查处收取医药耗材企业回扣行为。对各级各类医疗卫生机构在医疗服务中索取或收受患者及其家属赠送的“红包”礼金或其他不正当利益等违规违法行为进行坚决的惩处，对严重损害行业形象的人员要坚决开除出队伍。严肃查处医疗机构及医务人员利用执业之便谋取不正当利益、收取回扣的行为，杜绝医师在药品处方、医学检查、检验等医疗服务中实行开单提成。对查实的医务人员要依法依纪依规严肃处理，对涉案的医药产品经营者给予回扣的违法线索移交市场监管部门，对受到行政处罚的涉事企业通过国家企业信用信息公示系统予以公示。探索建立企业信用评价和惩戒机制。</w:t>
            </w:r>
          </w:p>
        </w:tc>
        <w:tc>
          <w:tcPr>
            <w:tcW w:w="2557"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自治区卫生健康委、自治区中医药局、自治区医保局按职责分别牵头，自治区市场监管局、公安厅按照职责配合</w:t>
            </w:r>
          </w:p>
        </w:tc>
        <w:tc>
          <w:tcPr>
            <w:tcW w:w="1440"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12月前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jc w:val="center"/>
        </w:trPr>
        <w:tc>
          <w:tcPr>
            <w:tcW w:w="777"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13</w:t>
            </w:r>
          </w:p>
        </w:tc>
        <w:tc>
          <w:tcPr>
            <w:tcW w:w="118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outlineLvl w:val="9"/>
              <w:rPr>
                <w:rFonts w:hint="eastAsia" w:ascii="仿宋_GB2312" w:hAnsi="仿宋_GB2312" w:eastAsia="仿宋_GB2312" w:cs="仿宋_GB2312"/>
                <w:sz w:val="24"/>
                <w:szCs w:val="24"/>
              </w:rPr>
            </w:pPr>
          </w:p>
        </w:tc>
        <w:tc>
          <w:tcPr>
            <w:tcW w:w="9460" w:type="dxa"/>
            <w:vAlign w:val="center"/>
          </w:tcPr>
          <w:p>
            <w:pPr>
              <w:keepNext w:val="0"/>
              <w:keepLines w:val="0"/>
              <w:pageBreakBefore w:val="0"/>
              <w:kinsoku/>
              <w:wordWrap/>
              <w:overflowPunct/>
              <w:topLinePunct w:val="0"/>
              <w:autoSpaceDE/>
              <w:autoSpaceDN/>
              <w:bidi w:val="0"/>
              <w:adjustRightInd w:val="0"/>
              <w:snapToGrid w:val="0"/>
              <w:spacing w:after="0" w:line="360" w:lineRule="exac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持续推进医疗领域扫黑除恶，全面开展平安医院建设。加强与公安机关的联动配合，结合卫生健康系统实际，加强线索精准排查、深挖细查涉黑恶案件和整治行业乱象。对“黑陪护”、“医闹”、“涉黑案件”等要研判问题线索，集中力量全面排查。深化“平安医院”创建工作，健全涉医伤医事（案）件预防与处置机制，推动医院安防建设，实施网格化服务管理，强化医疗机构的纠纷预防和处理业务能力。完善安全保卫措施，坚决打击医闹和伤医等侵害医务人员生命健康的行为，维护医务人员尊严和生命安全，切实保障医患双方权益，努力营造和谐稳定的就医环境。</w:t>
            </w:r>
          </w:p>
        </w:tc>
        <w:tc>
          <w:tcPr>
            <w:tcW w:w="2557"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公安厅、自治区卫生健康委、自治区中医药局按照职责分工分别牵头</w:t>
            </w:r>
          </w:p>
        </w:tc>
        <w:tc>
          <w:tcPr>
            <w:tcW w:w="1440"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12月前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9" w:hRule="atLeast"/>
          <w:jc w:val="center"/>
        </w:trPr>
        <w:tc>
          <w:tcPr>
            <w:tcW w:w="777"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14</w:t>
            </w:r>
          </w:p>
        </w:tc>
        <w:tc>
          <w:tcPr>
            <w:tcW w:w="1180" w:type="dxa"/>
            <w:vMerge w:val="restart"/>
            <w:vAlign w:val="center"/>
          </w:tcPr>
          <w:p>
            <w:pPr>
              <w:keepNext w:val="0"/>
              <w:keepLines w:val="0"/>
              <w:pageBreakBefore w:val="0"/>
              <w:kinsoku/>
              <w:wordWrap/>
              <w:overflowPunct/>
              <w:topLinePunct w:val="0"/>
              <w:autoSpaceDE/>
              <w:autoSpaceDN/>
              <w:bidi w:val="0"/>
              <w:adjustRightInd w:val="0"/>
              <w:snapToGrid w:val="0"/>
              <w:spacing w:after="0" w:line="3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完善制度</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确保工作落实</w:t>
            </w:r>
          </w:p>
        </w:tc>
        <w:tc>
          <w:tcPr>
            <w:tcW w:w="9460" w:type="dxa"/>
            <w:vAlign w:val="center"/>
          </w:tcPr>
          <w:p>
            <w:pPr>
              <w:keepNext w:val="0"/>
              <w:keepLines w:val="0"/>
              <w:pageBreakBefore w:val="0"/>
              <w:kinsoku/>
              <w:wordWrap/>
              <w:overflowPunct/>
              <w:topLinePunct w:val="0"/>
              <w:autoSpaceDE/>
              <w:autoSpaceDN/>
              <w:bidi w:val="0"/>
              <w:adjustRightInd w:val="0"/>
              <w:snapToGrid w:val="0"/>
              <w:spacing w:after="0" w:line="360" w:lineRule="exac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完善与纪检监察部门的衔接机制。在落实工作要点过程中，要重视及时与纪检监察部门沟通，重视与机制相关成员单位协作，形成“一案多查”机制，既要处理本部门领域内的违规行为，又要向机制相关部门和单位移交线索。对出现问题的单位和地区要加大追责力度，将发现的违规违纪线索及时向纪检监察部门移交，对充当不法行为“保护伞”或漠视群众利益受损的害群之马要坚决处理。</w:t>
            </w:r>
          </w:p>
        </w:tc>
        <w:tc>
          <w:tcPr>
            <w:tcW w:w="2557"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both"/>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自治区卫生健康委牵头</w:t>
            </w:r>
          </w:p>
        </w:tc>
        <w:tc>
          <w:tcPr>
            <w:tcW w:w="1440"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center"/>
              <w:textAlignment w:val="auto"/>
              <w:outlineLvl w:val="9"/>
              <w:rPr>
                <w:rFonts w:hint="eastAsia" w:ascii="仿宋_GB2312" w:hAnsi="仿宋_GB2312" w:eastAsia="仿宋_GB2312" w:cs="仿宋_GB2312"/>
                <w:spacing w:val="-10"/>
                <w:sz w:val="24"/>
                <w:szCs w:val="24"/>
              </w:rPr>
            </w:pPr>
            <w:r>
              <w:rPr>
                <w:rFonts w:hint="eastAsia" w:ascii="仿宋_GB2312" w:hAnsi="仿宋_GB2312" w:eastAsia="仿宋_GB2312" w:cs="仿宋_GB2312"/>
                <w:spacing w:val="-10"/>
                <w:sz w:val="24"/>
                <w:szCs w:val="24"/>
              </w:rPr>
              <w:t>12月前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77"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15</w:t>
            </w:r>
          </w:p>
        </w:tc>
        <w:tc>
          <w:tcPr>
            <w:tcW w:w="1180" w:type="dxa"/>
            <w:vMerge w:val="continue"/>
          </w:tcPr>
          <w:p>
            <w:pPr>
              <w:keepNext w:val="0"/>
              <w:keepLines w:val="0"/>
              <w:pageBreakBefore w:val="0"/>
              <w:kinsoku/>
              <w:wordWrap/>
              <w:overflowPunct/>
              <w:topLinePunct w:val="0"/>
              <w:autoSpaceDE/>
              <w:autoSpaceDN/>
              <w:bidi w:val="0"/>
              <w:adjustRightInd w:val="0"/>
              <w:snapToGrid w:val="0"/>
              <w:spacing w:line="360" w:lineRule="exact"/>
              <w:textAlignment w:val="auto"/>
              <w:outlineLvl w:val="9"/>
              <w:rPr>
                <w:rFonts w:hint="eastAsia" w:ascii="仿宋_GB2312" w:hAnsi="仿宋_GB2312" w:eastAsia="仿宋_GB2312" w:cs="仿宋_GB2312"/>
                <w:sz w:val="24"/>
                <w:szCs w:val="24"/>
              </w:rPr>
            </w:pPr>
          </w:p>
        </w:tc>
        <w:tc>
          <w:tcPr>
            <w:tcW w:w="9460" w:type="dxa"/>
            <w:vAlign w:val="center"/>
          </w:tcPr>
          <w:p>
            <w:pPr>
              <w:keepNext w:val="0"/>
              <w:keepLines w:val="0"/>
              <w:pageBreakBefore w:val="0"/>
              <w:kinsoku/>
              <w:wordWrap/>
              <w:overflowPunct/>
              <w:topLinePunct w:val="0"/>
              <w:autoSpaceDE/>
              <w:autoSpaceDN/>
              <w:bidi w:val="0"/>
              <w:adjustRightInd w:val="0"/>
              <w:snapToGrid w:val="0"/>
              <w:spacing w:after="0" w:line="360" w:lineRule="exact"/>
              <w:textAlignment w:val="auto"/>
              <w:outlineLvl w:val="9"/>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强化担当作为加强履职尽责。坚持“谁主管谁负责”，机制成员单位承担纠风工作主体责任。对所辖领域出现重大行风问题、履职不力的下级单位，要严格行政问责。</w:t>
            </w:r>
          </w:p>
        </w:tc>
        <w:tc>
          <w:tcPr>
            <w:tcW w:w="2557"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机制各成员单位按照职责共同推进</w:t>
            </w:r>
          </w:p>
        </w:tc>
        <w:tc>
          <w:tcPr>
            <w:tcW w:w="1440"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长期工作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0" w:hRule="atLeast"/>
          <w:jc w:val="center"/>
        </w:trPr>
        <w:tc>
          <w:tcPr>
            <w:tcW w:w="777"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16</w:t>
            </w:r>
          </w:p>
        </w:tc>
        <w:tc>
          <w:tcPr>
            <w:tcW w:w="1180" w:type="dxa"/>
            <w:vMerge w:val="continue"/>
          </w:tcPr>
          <w:p>
            <w:pPr>
              <w:keepNext w:val="0"/>
              <w:keepLines w:val="0"/>
              <w:pageBreakBefore w:val="0"/>
              <w:kinsoku/>
              <w:wordWrap/>
              <w:overflowPunct/>
              <w:topLinePunct w:val="0"/>
              <w:autoSpaceDE/>
              <w:autoSpaceDN/>
              <w:bidi w:val="0"/>
              <w:adjustRightInd w:val="0"/>
              <w:snapToGrid w:val="0"/>
              <w:spacing w:line="360" w:lineRule="exact"/>
              <w:textAlignment w:val="auto"/>
              <w:outlineLvl w:val="9"/>
              <w:rPr>
                <w:rFonts w:hint="eastAsia" w:ascii="仿宋_GB2312" w:hAnsi="仿宋_GB2312" w:eastAsia="仿宋_GB2312" w:cs="仿宋_GB2312"/>
                <w:sz w:val="24"/>
                <w:szCs w:val="24"/>
              </w:rPr>
            </w:pPr>
          </w:p>
        </w:tc>
        <w:tc>
          <w:tcPr>
            <w:tcW w:w="9460" w:type="dxa"/>
            <w:vAlign w:val="center"/>
          </w:tcPr>
          <w:p>
            <w:pPr>
              <w:keepNext w:val="0"/>
              <w:keepLines w:val="0"/>
              <w:pageBreakBefore w:val="0"/>
              <w:kinsoku/>
              <w:wordWrap/>
              <w:overflowPunct/>
              <w:topLinePunct w:val="0"/>
              <w:autoSpaceDE/>
              <w:autoSpaceDN/>
              <w:bidi w:val="0"/>
              <w:adjustRightInd w:val="0"/>
              <w:snapToGrid w:val="0"/>
              <w:spacing w:after="0" w:line="360" w:lineRule="exac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立完善机制成员间工作机制。各成员单位深入梳理本部门规章制度，实现各成员单位治理体系的贯通衔接，发挥制度防控作用。制订成员单位纠风年度重点工作协同机制，形成重点工作的部门合力。完善纠风联合惩戒“黑名单”制度，实现“一处违规，处处受限”。将纠风工作与扫黑除恶专项斗争协同推进，对于发现的涉黑涉恶线索及时移交公安部门。</w:t>
            </w:r>
          </w:p>
        </w:tc>
        <w:tc>
          <w:tcPr>
            <w:tcW w:w="2557"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机制各成员单位按照职责共同推进</w:t>
            </w:r>
          </w:p>
        </w:tc>
        <w:tc>
          <w:tcPr>
            <w:tcW w:w="1440" w:type="dxa"/>
            <w:vAlign w:val="center"/>
          </w:tcPr>
          <w:p>
            <w:pPr>
              <w:keepNext w:val="0"/>
              <w:keepLines w:val="0"/>
              <w:pageBreakBefore w:val="0"/>
              <w:kinsoku/>
              <w:wordWrap/>
              <w:overflowPunct/>
              <w:topLinePunct w:val="0"/>
              <w:autoSpaceDE/>
              <w:autoSpaceDN/>
              <w:bidi w:val="0"/>
              <w:adjustRightInd w:val="0"/>
              <w:snapToGrid w:val="0"/>
              <w:spacing w:after="0" w:line="360" w:lineRule="exact"/>
              <w:jc w:val="center"/>
              <w:textAlignment w:val="auto"/>
              <w:outlineLvl w:val="9"/>
              <w:rPr>
                <w:rFonts w:hint="eastAsia" w:ascii="仿宋_GB2312" w:hAnsi="仿宋_GB2312" w:eastAsia="仿宋_GB2312" w:cs="仿宋_GB2312"/>
                <w:spacing w:val="-10"/>
                <w:sz w:val="24"/>
                <w:szCs w:val="24"/>
              </w:rPr>
            </w:pPr>
            <w:r>
              <w:rPr>
                <w:rFonts w:hint="eastAsia" w:ascii="仿宋_GB2312" w:hAnsi="仿宋_GB2312" w:eastAsia="仿宋_GB2312" w:cs="仿宋_GB2312"/>
                <w:spacing w:val="-10"/>
                <w:sz w:val="24"/>
                <w:szCs w:val="24"/>
              </w:rPr>
              <w:t>12月前</w:t>
            </w:r>
          </w:p>
        </w:tc>
      </w:tr>
    </w:tbl>
    <w:p>
      <w:pPr>
        <w:tabs>
          <w:tab w:val="left" w:pos="7980"/>
          <w:tab w:val="left" w:pos="8190"/>
        </w:tabs>
        <w:spacing w:line="560" w:lineRule="exact"/>
        <w:rPr>
          <w:rFonts w:ascii="仿宋_GB2312" w:eastAsia="仿宋_GB2312"/>
          <w:sz w:val="28"/>
          <w:szCs w:val="28"/>
        </w:rPr>
      </w:pPr>
    </w:p>
    <w:sectPr>
      <w:footerReference r:id="rId5" w:type="first"/>
      <w:footerReference r:id="rId3" w:type="default"/>
      <w:footerReference r:id="rId4" w:type="even"/>
      <w:pgSz w:w="16840" w:h="11907" w:orient="landscape"/>
      <w:pgMar w:top="1701" w:right="1417" w:bottom="1417" w:left="1418" w:header="850" w:footer="992" w:gutter="0"/>
      <w:pgNumType w:fmt="decimal"/>
      <w:cols w:space="0" w:num="1"/>
      <w:titlePg/>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altName w:val="宋体-方正超大字符集"/>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宋体"/>
                              <w:sz w:val="28"/>
                              <w:szCs w:val="28"/>
                            </w:rPr>
                          </w:pPr>
                          <w:r>
                            <w:rPr>
                              <w:rStyle w:val="8"/>
                              <w:rFonts w:hint="eastAsia" w:ascii="宋体"/>
                              <w:sz w:val="28"/>
                              <w:szCs w:val="28"/>
                            </w:rPr>
                            <w:t>—</w:t>
                          </w:r>
                          <w:r>
                            <w:rPr>
                              <w:rStyle w:val="8"/>
                              <w:rFonts w:hint="eastAsia" w:ascii="宋体"/>
                              <w:sz w:val="28"/>
                              <w:szCs w:val="28"/>
                            </w:rPr>
                            <w:fldChar w:fldCharType="begin"/>
                          </w:r>
                          <w:r>
                            <w:rPr>
                              <w:rStyle w:val="8"/>
                              <w:rFonts w:hint="eastAsia" w:ascii="宋体"/>
                              <w:sz w:val="28"/>
                              <w:szCs w:val="28"/>
                            </w:rPr>
                            <w:instrText xml:space="preserve">Page</w:instrText>
                          </w:r>
                          <w:r>
                            <w:rPr>
                              <w:rStyle w:val="8"/>
                              <w:rFonts w:hint="eastAsia" w:ascii="宋体"/>
                              <w:sz w:val="28"/>
                              <w:szCs w:val="28"/>
                            </w:rPr>
                            <w:fldChar w:fldCharType="separate"/>
                          </w:r>
                          <w:r>
                            <w:rPr>
                              <w:rStyle w:val="8"/>
                              <w:rFonts w:ascii="宋体"/>
                              <w:sz w:val="28"/>
                              <w:szCs w:val="28"/>
                            </w:rPr>
                            <w:t>9</w:t>
                          </w:r>
                          <w:r>
                            <w:rPr>
                              <w:rStyle w:val="8"/>
                              <w:rFonts w:hint="eastAsia" w:ascii="宋体"/>
                              <w:sz w:val="28"/>
                              <w:szCs w:val="28"/>
                            </w:rPr>
                            <w:fldChar w:fldCharType="end"/>
                          </w:r>
                          <w:r>
                            <w:rPr>
                              <w:rStyle w:val="8"/>
                              <w:rFonts w:hint="eastAsia" w:ascii="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ascii="宋体"/>
                        <w:sz w:val="28"/>
                        <w:szCs w:val="28"/>
                      </w:rPr>
                    </w:pPr>
                    <w:r>
                      <w:rPr>
                        <w:rStyle w:val="8"/>
                        <w:rFonts w:hint="eastAsia" w:ascii="宋体"/>
                        <w:sz w:val="28"/>
                        <w:szCs w:val="28"/>
                      </w:rPr>
                      <w:t>—</w:t>
                    </w:r>
                    <w:r>
                      <w:rPr>
                        <w:rStyle w:val="8"/>
                        <w:rFonts w:hint="eastAsia" w:ascii="宋体"/>
                        <w:sz w:val="28"/>
                        <w:szCs w:val="28"/>
                      </w:rPr>
                      <w:fldChar w:fldCharType="begin"/>
                    </w:r>
                    <w:r>
                      <w:rPr>
                        <w:rStyle w:val="8"/>
                        <w:rFonts w:hint="eastAsia" w:ascii="宋体"/>
                        <w:sz w:val="28"/>
                        <w:szCs w:val="28"/>
                      </w:rPr>
                      <w:instrText xml:space="preserve">Page</w:instrText>
                    </w:r>
                    <w:r>
                      <w:rPr>
                        <w:rStyle w:val="8"/>
                        <w:rFonts w:hint="eastAsia" w:ascii="宋体"/>
                        <w:sz w:val="28"/>
                        <w:szCs w:val="28"/>
                      </w:rPr>
                      <w:fldChar w:fldCharType="separate"/>
                    </w:r>
                    <w:r>
                      <w:rPr>
                        <w:rStyle w:val="8"/>
                        <w:rFonts w:ascii="宋体"/>
                        <w:sz w:val="28"/>
                        <w:szCs w:val="28"/>
                      </w:rPr>
                      <w:t>9</w:t>
                    </w:r>
                    <w:r>
                      <w:rPr>
                        <w:rStyle w:val="8"/>
                        <w:rFonts w:hint="eastAsia" w:ascii="宋体"/>
                        <w:sz w:val="28"/>
                        <w:szCs w:val="28"/>
                      </w:rPr>
                      <w:fldChar w:fldCharType="end"/>
                    </w:r>
                    <w:r>
                      <w:rPr>
                        <w:rStyle w:val="8"/>
                        <w:rFonts w:hint="eastAsia" w:ascii="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宋体"/>
                              <w:sz w:val="28"/>
                              <w:szCs w:val="28"/>
                            </w:rPr>
                          </w:pPr>
                          <w:r>
                            <w:rPr>
                              <w:rStyle w:val="8"/>
                              <w:rFonts w:hint="eastAsia" w:ascii="宋体"/>
                              <w:sz w:val="28"/>
                              <w:szCs w:val="28"/>
                            </w:rPr>
                            <w:t>—</w:t>
                          </w:r>
                          <w:r>
                            <w:rPr>
                              <w:rStyle w:val="8"/>
                              <w:rFonts w:hint="eastAsia" w:ascii="宋体"/>
                              <w:sz w:val="28"/>
                              <w:szCs w:val="28"/>
                            </w:rPr>
                            <w:fldChar w:fldCharType="begin"/>
                          </w:r>
                          <w:r>
                            <w:rPr>
                              <w:rStyle w:val="8"/>
                              <w:rFonts w:hint="eastAsia" w:ascii="宋体"/>
                              <w:sz w:val="28"/>
                              <w:szCs w:val="28"/>
                            </w:rPr>
                            <w:instrText xml:space="preserve">Page</w:instrText>
                          </w:r>
                          <w:r>
                            <w:rPr>
                              <w:rStyle w:val="8"/>
                              <w:rFonts w:hint="eastAsia" w:ascii="宋体"/>
                              <w:sz w:val="28"/>
                              <w:szCs w:val="28"/>
                            </w:rPr>
                            <w:fldChar w:fldCharType="separate"/>
                          </w:r>
                          <w:r>
                            <w:rPr>
                              <w:rStyle w:val="8"/>
                              <w:rFonts w:ascii="宋体"/>
                              <w:sz w:val="28"/>
                              <w:szCs w:val="28"/>
                            </w:rPr>
                            <w:t>8</w:t>
                          </w:r>
                          <w:r>
                            <w:rPr>
                              <w:rStyle w:val="8"/>
                              <w:rFonts w:hint="eastAsia" w:ascii="宋体"/>
                              <w:sz w:val="28"/>
                              <w:szCs w:val="28"/>
                            </w:rPr>
                            <w:fldChar w:fldCharType="end"/>
                          </w:r>
                          <w:r>
                            <w:rPr>
                              <w:rStyle w:val="8"/>
                              <w:rFonts w:hint="eastAsia" w:ascii="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ascii="宋体"/>
                        <w:sz w:val="28"/>
                        <w:szCs w:val="28"/>
                      </w:rPr>
                    </w:pPr>
                    <w:r>
                      <w:rPr>
                        <w:rStyle w:val="8"/>
                        <w:rFonts w:hint="eastAsia" w:ascii="宋体"/>
                        <w:sz w:val="28"/>
                        <w:szCs w:val="28"/>
                      </w:rPr>
                      <w:t>—</w:t>
                    </w:r>
                    <w:r>
                      <w:rPr>
                        <w:rStyle w:val="8"/>
                        <w:rFonts w:hint="eastAsia" w:ascii="宋体"/>
                        <w:sz w:val="28"/>
                        <w:szCs w:val="28"/>
                      </w:rPr>
                      <w:fldChar w:fldCharType="begin"/>
                    </w:r>
                    <w:r>
                      <w:rPr>
                        <w:rStyle w:val="8"/>
                        <w:rFonts w:hint="eastAsia" w:ascii="宋体"/>
                        <w:sz w:val="28"/>
                        <w:szCs w:val="28"/>
                      </w:rPr>
                      <w:instrText xml:space="preserve">Page</w:instrText>
                    </w:r>
                    <w:r>
                      <w:rPr>
                        <w:rStyle w:val="8"/>
                        <w:rFonts w:hint="eastAsia" w:ascii="宋体"/>
                        <w:sz w:val="28"/>
                        <w:szCs w:val="28"/>
                      </w:rPr>
                      <w:fldChar w:fldCharType="separate"/>
                    </w:r>
                    <w:r>
                      <w:rPr>
                        <w:rStyle w:val="8"/>
                        <w:rFonts w:ascii="宋体"/>
                        <w:sz w:val="28"/>
                        <w:szCs w:val="28"/>
                      </w:rPr>
                      <w:t>8</w:t>
                    </w:r>
                    <w:r>
                      <w:rPr>
                        <w:rStyle w:val="8"/>
                        <w:rFonts w:hint="eastAsia" w:ascii="宋体"/>
                        <w:sz w:val="28"/>
                        <w:szCs w:val="28"/>
                      </w:rPr>
                      <w:fldChar w:fldCharType="end"/>
                    </w:r>
                    <w:r>
                      <w:rPr>
                        <w:rStyle w:val="8"/>
                        <w:rFonts w:hint="eastAsia" w:ascii="宋体"/>
                        <w:sz w:val="28"/>
                        <w:szCs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9</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9</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Formatting/>
  <w:documentProtection w:enforcement="0"/>
  <w:defaultTabStop w:val="720"/>
  <w:evenAndOddHeaders w:val="1"/>
  <w:drawingGridHorizontalSpacing w:val="220"/>
  <w:drawingGridVerticalSpacing w:val="156"/>
  <w:displayHorizontalDrawingGridEvery w:val="1"/>
  <w:displayVerticalDrawingGridEvery w:val="2"/>
  <w:noPunctuationKerning w:val="1"/>
  <w:characterSpacingControl w:val="doNotCompress"/>
  <w:compat>
    <w:spaceForUL/>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B56"/>
    <w:rsid w:val="001B2799"/>
    <w:rsid w:val="00211240"/>
    <w:rsid w:val="00256A87"/>
    <w:rsid w:val="002A0E03"/>
    <w:rsid w:val="0044715A"/>
    <w:rsid w:val="004E4D9F"/>
    <w:rsid w:val="00557B56"/>
    <w:rsid w:val="00734B3F"/>
    <w:rsid w:val="00761C8F"/>
    <w:rsid w:val="009D2712"/>
    <w:rsid w:val="00AB03BB"/>
    <w:rsid w:val="00B37494"/>
    <w:rsid w:val="00BF3DBE"/>
    <w:rsid w:val="00D05D36"/>
    <w:rsid w:val="00F8164E"/>
    <w:rsid w:val="01C47A11"/>
    <w:rsid w:val="024E3C5C"/>
    <w:rsid w:val="04AD4FC6"/>
    <w:rsid w:val="066844A7"/>
    <w:rsid w:val="067D2E6B"/>
    <w:rsid w:val="06E651CC"/>
    <w:rsid w:val="08CD41E8"/>
    <w:rsid w:val="08D43C74"/>
    <w:rsid w:val="0A9D74D4"/>
    <w:rsid w:val="0AC83084"/>
    <w:rsid w:val="0C2F50B6"/>
    <w:rsid w:val="0E14591F"/>
    <w:rsid w:val="0EBD1AC0"/>
    <w:rsid w:val="0EDB6020"/>
    <w:rsid w:val="111277C8"/>
    <w:rsid w:val="116E5778"/>
    <w:rsid w:val="122F1B2F"/>
    <w:rsid w:val="124E3090"/>
    <w:rsid w:val="157437F9"/>
    <w:rsid w:val="17ED5128"/>
    <w:rsid w:val="17F20F10"/>
    <w:rsid w:val="18E762BB"/>
    <w:rsid w:val="19524177"/>
    <w:rsid w:val="19936D6A"/>
    <w:rsid w:val="1A244547"/>
    <w:rsid w:val="1B6C011B"/>
    <w:rsid w:val="1B765D62"/>
    <w:rsid w:val="1B8E35F2"/>
    <w:rsid w:val="1B930149"/>
    <w:rsid w:val="1CC758CE"/>
    <w:rsid w:val="1CF839C7"/>
    <w:rsid w:val="1DE5364E"/>
    <w:rsid w:val="1E760AC3"/>
    <w:rsid w:val="1FE03DE1"/>
    <w:rsid w:val="202B6835"/>
    <w:rsid w:val="21070072"/>
    <w:rsid w:val="2291090F"/>
    <w:rsid w:val="22A77FBB"/>
    <w:rsid w:val="22FE7981"/>
    <w:rsid w:val="2344107E"/>
    <w:rsid w:val="23C01F37"/>
    <w:rsid w:val="244D2262"/>
    <w:rsid w:val="24D5114D"/>
    <w:rsid w:val="25AE3472"/>
    <w:rsid w:val="2606323F"/>
    <w:rsid w:val="27533042"/>
    <w:rsid w:val="27776CC9"/>
    <w:rsid w:val="28CF3BAF"/>
    <w:rsid w:val="28E6292D"/>
    <w:rsid w:val="29D21FA1"/>
    <w:rsid w:val="2A7869BE"/>
    <w:rsid w:val="2A8D1027"/>
    <w:rsid w:val="2B155549"/>
    <w:rsid w:val="2D011907"/>
    <w:rsid w:val="2D7F09E4"/>
    <w:rsid w:val="2D9D1C6D"/>
    <w:rsid w:val="2FCD01E2"/>
    <w:rsid w:val="30595A4C"/>
    <w:rsid w:val="3065474B"/>
    <w:rsid w:val="311B281B"/>
    <w:rsid w:val="326461C3"/>
    <w:rsid w:val="35337C70"/>
    <w:rsid w:val="368A44ED"/>
    <w:rsid w:val="371746FF"/>
    <w:rsid w:val="375C1B16"/>
    <w:rsid w:val="37D433CA"/>
    <w:rsid w:val="37D65649"/>
    <w:rsid w:val="390E094E"/>
    <w:rsid w:val="3A824DB6"/>
    <w:rsid w:val="3AC42713"/>
    <w:rsid w:val="3CAC1DBC"/>
    <w:rsid w:val="3E22335A"/>
    <w:rsid w:val="3E9C5CB9"/>
    <w:rsid w:val="3FF36857"/>
    <w:rsid w:val="40396852"/>
    <w:rsid w:val="417F11F8"/>
    <w:rsid w:val="41A14D51"/>
    <w:rsid w:val="42177AAD"/>
    <w:rsid w:val="43D92985"/>
    <w:rsid w:val="43F63103"/>
    <w:rsid w:val="43F760A0"/>
    <w:rsid w:val="44A26CA3"/>
    <w:rsid w:val="44F46F54"/>
    <w:rsid w:val="45773AA8"/>
    <w:rsid w:val="46594306"/>
    <w:rsid w:val="46CA1E95"/>
    <w:rsid w:val="47081BC3"/>
    <w:rsid w:val="47152218"/>
    <w:rsid w:val="478C74B7"/>
    <w:rsid w:val="4A4F5FFB"/>
    <w:rsid w:val="4BBD4075"/>
    <w:rsid w:val="4C1A4A31"/>
    <w:rsid w:val="4D9D6FFE"/>
    <w:rsid w:val="4DD37A90"/>
    <w:rsid w:val="4E0C618E"/>
    <w:rsid w:val="4F0115FB"/>
    <w:rsid w:val="4F6970D1"/>
    <w:rsid w:val="50871A93"/>
    <w:rsid w:val="519732DF"/>
    <w:rsid w:val="525840B6"/>
    <w:rsid w:val="528E2229"/>
    <w:rsid w:val="54A27759"/>
    <w:rsid w:val="54CD49AE"/>
    <w:rsid w:val="551844C1"/>
    <w:rsid w:val="56D03CB3"/>
    <w:rsid w:val="57002D86"/>
    <w:rsid w:val="570D5CB9"/>
    <w:rsid w:val="575C170C"/>
    <w:rsid w:val="58E35064"/>
    <w:rsid w:val="59252D32"/>
    <w:rsid w:val="59B65B99"/>
    <w:rsid w:val="5AB1580B"/>
    <w:rsid w:val="5ABD2CF1"/>
    <w:rsid w:val="5B5B704E"/>
    <w:rsid w:val="5B8233C6"/>
    <w:rsid w:val="5CC9293D"/>
    <w:rsid w:val="5CDC44E3"/>
    <w:rsid w:val="5E6315AB"/>
    <w:rsid w:val="5F2B6E7F"/>
    <w:rsid w:val="5F8B57F4"/>
    <w:rsid w:val="614A0C80"/>
    <w:rsid w:val="625E055F"/>
    <w:rsid w:val="62C2297F"/>
    <w:rsid w:val="63D342E8"/>
    <w:rsid w:val="64B31BE0"/>
    <w:rsid w:val="655304F4"/>
    <w:rsid w:val="6767714D"/>
    <w:rsid w:val="68233DFD"/>
    <w:rsid w:val="68A652E2"/>
    <w:rsid w:val="68F152C8"/>
    <w:rsid w:val="696A44DD"/>
    <w:rsid w:val="6C050204"/>
    <w:rsid w:val="6C3A73F7"/>
    <w:rsid w:val="6C3E27FA"/>
    <w:rsid w:val="6FBB650E"/>
    <w:rsid w:val="70211CBC"/>
    <w:rsid w:val="708D4911"/>
    <w:rsid w:val="70A83BFC"/>
    <w:rsid w:val="70BB63D4"/>
    <w:rsid w:val="70EE256E"/>
    <w:rsid w:val="70FC5EAD"/>
    <w:rsid w:val="7301757A"/>
    <w:rsid w:val="7373533C"/>
    <w:rsid w:val="73AB3549"/>
    <w:rsid w:val="74164CB1"/>
    <w:rsid w:val="74491803"/>
    <w:rsid w:val="74F277DB"/>
    <w:rsid w:val="75B50127"/>
    <w:rsid w:val="75F57FD6"/>
    <w:rsid w:val="77202A8D"/>
    <w:rsid w:val="77635B88"/>
    <w:rsid w:val="77AC0313"/>
    <w:rsid w:val="78010CC7"/>
    <w:rsid w:val="79DD7A8C"/>
    <w:rsid w:val="7C196801"/>
    <w:rsid w:val="7C755E67"/>
    <w:rsid w:val="7CD24187"/>
    <w:rsid w:val="7D152E3E"/>
    <w:rsid w:val="7D3A3E9D"/>
    <w:rsid w:val="7D7E73A1"/>
    <w:rsid w:val="7E566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Arial"/>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qFormat/>
    <w:uiPriority w:val="0"/>
    <w:pPr>
      <w:spacing w:after="0"/>
    </w:pPr>
    <w:rPr>
      <w:sz w:val="18"/>
      <w:szCs w:val="18"/>
    </w:rPr>
  </w:style>
  <w:style w:type="paragraph" w:styleId="3">
    <w:name w:val="footer"/>
    <w:qFormat/>
    <w:uiPriority w:val="0"/>
    <w:pPr>
      <w:widowControl w:val="0"/>
      <w:tabs>
        <w:tab w:val="center" w:pos="4153"/>
        <w:tab w:val="right" w:pos="8306"/>
      </w:tabs>
      <w:snapToGrid w:val="0"/>
    </w:pPr>
    <w:rPr>
      <w:rFonts w:ascii="Calibri" w:hAnsi="Calibri" w:eastAsia="宋体" w:cs="Arial"/>
      <w:kern w:val="2"/>
      <w:sz w:val="18"/>
      <w:szCs w:val="24"/>
      <w:lang w:val="en-US" w:eastAsia="zh-CN" w:bidi="ar-SA"/>
    </w:rPr>
  </w:style>
  <w:style w:type="paragraph" w:styleId="4">
    <w:name w:val="header"/>
    <w:basedOn w:val="1"/>
    <w:qFormat/>
    <w:uiPriority w:val="0"/>
    <w:pPr>
      <w:pBdr>
        <w:bottom w:val="single" w:color="auto" w:sz="6" w:space="1"/>
      </w:pBdr>
      <w:tabs>
        <w:tab w:val="center" w:pos="4153"/>
        <w:tab w:val="right" w:pos="8306"/>
      </w:tabs>
      <w:jc w:val="center"/>
    </w:pPr>
    <w:rPr>
      <w:sz w:val="18"/>
      <w:szCs w:val="18"/>
    </w:rPr>
  </w:style>
  <w:style w:type="paragraph" w:styleId="5">
    <w:name w:val="Normal (Web)"/>
    <w:basedOn w:val="1"/>
    <w:qFormat/>
    <w:uiPriority w:val="0"/>
    <w:pPr>
      <w:widowControl w:val="0"/>
      <w:adjustRightInd/>
      <w:snapToGrid/>
      <w:spacing w:beforeAutospacing="1" w:after="0" w:afterAutospacing="1"/>
    </w:pPr>
    <w:rPr>
      <w:rFonts w:ascii="Calibri" w:hAnsi="Calibri" w:eastAsia="宋体" w:cs="Times New Roman"/>
      <w:sz w:val="24"/>
      <w:szCs w:val="24"/>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19</Pages>
  <Words>4361</Words>
  <Characters>4362</Characters>
  <Lines>290</Lines>
  <Paragraphs>167</Paragraphs>
  <TotalTime>29</TotalTime>
  <ScaleCrop>false</ScaleCrop>
  <LinksUpToDate>false</LinksUpToDate>
  <CharactersWithSpaces>8556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lenovo.lenovo-PC.000</dc:creator>
  <cp:lastModifiedBy>DELL</cp:lastModifiedBy>
  <cp:lastPrinted>2020-08-03T01:49:00Z</cp:lastPrinted>
  <dcterms:modified xsi:type="dcterms:W3CDTF">2020-08-04T10:22:03Z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